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4D462" w14:textId="77777777" w:rsidR="0006743C" w:rsidRDefault="0006743C" w:rsidP="00FA5D56">
      <w:pPr>
        <w:spacing w:after="0" w:line="240" w:lineRule="auto"/>
        <w:rPr>
          <w:rFonts w:ascii="Times New Roman" w:hAnsi="Times New Roman" w:cs="Times New Roman"/>
          <w:sz w:val="24"/>
          <w:szCs w:val="24"/>
        </w:rPr>
      </w:pPr>
      <w:bookmarkStart w:id="0" w:name="_GoBack"/>
      <w:bookmarkEnd w:id="0"/>
    </w:p>
    <w:p w14:paraId="04747B16" w14:textId="77777777" w:rsidR="0006743C" w:rsidRPr="00E47748" w:rsidRDefault="0006743C" w:rsidP="00FA5D56">
      <w:pPr>
        <w:spacing w:after="0" w:line="240" w:lineRule="auto"/>
        <w:rPr>
          <w:rFonts w:ascii="Times New Roman" w:hAnsi="Times New Roman" w:cs="Times New Roman"/>
          <w:sz w:val="24"/>
          <w:szCs w:val="24"/>
        </w:rPr>
      </w:pPr>
    </w:p>
    <w:p w14:paraId="06730AE8" w14:textId="59EF27ED" w:rsidR="00C74199" w:rsidRDefault="00471C1C" w:rsidP="00FA5D5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DANIEL ALEXANDER HARTMAN N.O. </w:t>
      </w:r>
      <w:r w:rsidR="00C74199">
        <w:rPr>
          <w:rFonts w:ascii="Times New Roman" w:hAnsi="Times New Roman" w:cs="Times New Roman"/>
          <w:sz w:val="24"/>
          <w:szCs w:val="24"/>
        </w:rPr>
        <w:t xml:space="preserve"> </w:t>
      </w:r>
    </w:p>
    <w:p w14:paraId="20E8AE32" w14:textId="77777777" w:rsidR="00B5385D" w:rsidRPr="00E47748" w:rsidRDefault="00B33663" w:rsidP="00FA5D56">
      <w:pPr>
        <w:spacing w:after="0" w:line="240" w:lineRule="auto"/>
        <w:rPr>
          <w:rFonts w:ascii="Times New Roman" w:hAnsi="Times New Roman" w:cs="Times New Roman"/>
          <w:sz w:val="24"/>
          <w:szCs w:val="24"/>
        </w:rPr>
      </w:pPr>
      <w:r w:rsidRPr="00E47748">
        <w:rPr>
          <w:rFonts w:ascii="Times New Roman" w:hAnsi="Times New Roman" w:cs="Times New Roman"/>
          <w:sz w:val="24"/>
          <w:szCs w:val="24"/>
        </w:rPr>
        <w:t>versus</w:t>
      </w:r>
    </w:p>
    <w:p w14:paraId="42B2ED98" w14:textId="534A659B" w:rsidR="00C74199" w:rsidRDefault="00471C1C" w:rsidP="00FA5D5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MINISTER OF LANDS, AGRICULTURE, WATER, CLIMATE AND RURAL RESETTLEMENT </w:t>
      </w:r>
    </w:p>
    <w:p w14:paraId="6828C479" w14:textId="2C44ACB2" w:rsidR="00471C1C" w:rsidRDefault="00471C1C" w:rsidP="00FA5D5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and </w:t>
      </w:r>
    </w:p>
    <w:p w14:paraId="7F0635A3" w14:textId="1D07FA67" w:rsidR="00471C1C" w:rsidRDefault="00471C1C" w:rsidP="00FA5D56">
      <w:pPr>
        <w:spacing w:after="0" w:line="240" w:lineRule="auto"/>
        <w:rPr>
          <w:rFonts w:ascii="Times New Roman" w:hAnsi="Times New Roman" w:cs="Times New Roman"/>
          <w:sz w:val="24"/>
          <w:szCs w:val="24"/>
        </w:rPr>
      </w:pPr>
      <w:r>
        <w:rPr>
          <w:rFonts w:ascii="Times New Roman" w:hAnsi="Times New Roman" w:cs="Times New Roman"/>
          <w:sz w:val="24"/>
          <w:szCs w:val="24"/>
        </w:rPr>
        <w:t>FLORENCE ZIYAMBI</w:t>
      </w:r>
    </w:p>
    <w:p w14:paraId="61A1F384" w14:textId="59006791" w:rsidR="00471C1C" w:rsidRDefault="00471C1C" w:rsidP="00FA5D5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and </w:t>
      </w:r>
    </w:p>
    <w:p w14:paraId="561E0706" w14:textId="7F91FF36" w:rsidR="00471C1C" w:rsidRDefault="00471C1C" w:rsidP="00FA5D5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CHIEF REGISTRAR OF DEEDS </w:t>
      </w:r>
    </w:p>
    <w:p w14:paraId="5BFC7944" w14:textId="77777777" w:rsidR="00D85FAF" w:rsidRDefault="00D85FAF" w:rsidP="00FA5D56">
      <w:pPr>
        <w:spacing w:after="0" w:line="240" w:lineRule="auto"/>
        <w:rPr>
          <w:rFonts w:ascii="Times New Roman" w:hAnsi="Times New Roman" w:cs="Times New Roman"/>
          <w:sz w:val="24"/>
          <w:szCs w:val="24"/>
        </w:rPr>
      </w:pPr>
    </w:p>
    <w:p w14:paraId="4B9A292F" w14:textId="6551AFF1" w:rsidR="0006743C" w:rsidRPr="00E47748" w:rsidRDefault="0006743C" w:rsidP="00FA5D56">
      <w:pPr>
        <w:spacing w:after="0" w:line="240" w:lineRule="auto"/>
        <w:rPr>
          <w:rFonts w:ascii="Times New Roman" w:hAnsi="Times New Roman" w:cs="Times New Roman"/>
          <w:sz w:val="24"/>
          <w:szCs w:val="24"/>
        </w:rPr>
      </w:pPr>
      <w:r w:rsidRPr="00E47748">
        <w:rPr>
          <w:rFonts w:ascii="Times New Roman" w:hAnsi="Times New Roman" w:cs="Times New Roman"/>
          <w:sz w:val="24"/>
          <w:szCs w:val="24"/>
        </w:rPr>
        <w:t xml:space="preserve"> </w:t>
      </w:r>
    </w:p>
    <w:p w14:paraId="0CC36880" w14:textId="77777777" w:rsidR="0000054D" w:rsidRPr="005F15C1" w:rsidRDefault="0000054D" w:rsidP="0000054D">
      <w:pPr>
        <w:spacing w:after="0"/>
        <w:rPr>
          <w:rFonts w:ascii="Times New Roman" w:hAnsi="Times New Roman" w:cs="Times New Roman"/>
          <w:sz w:val="24"/>
          <w:szCs w:val="24"/>
        </w:rPr>
      </w:pPr>
      <w:r w:rsidRPr="005F15C1">
        <w:rPr>
          <w:rFonts w:ascii="Times New Roman" w:hAnsi="Times New Roman" w:cs="Times New Roman"/>
          <w:sz w:val="24"/>
          <w:szCs w:val="24"/>
        </w:rPr>
        <w:t>HIGH COURT OF ZIMBABWE</w:t>
      </w:r>
    </w:p>
    <w:p w14:paraId="3F8CB13E" w14:textId="77777777" w:rsidR="0000054D" w:rsidRPr="005F15C1" w:rsidRDefault="0000054D" w:rsidP="0000054D">
      <w:pPr>
        <w:spacing w:after="0"/>
        <w:rPr>
          <w:rFonts w:ascii="Times New Roman" w:hAnsi="Times New Roman" w:cs="Times New Roman"/>
          <w:sz w:val="24"/>
          <w:szCs w:val="24"/>
        </w:rPr>
      </w:pPr>
      <w:r w:rsidRPr="005F15C1">
        <w:rPr>
          <w:rFonts w:ascii="Times New Roman" w:hAnsi="Times New Roman" w:cs="Times New Roman"/>
          <w:sz w:val="24"/>
          <w:szCs w:val="24"/>
        </w:rPr>
        <w:t>M</w:t>
      </w:r>
      <w:r w:rsidR="0060607A" w:rsidRPr="005F15C1">
        <w:rPr>
          <w:rFonts w:ascii="Times New Roman" w:hAnsi="Times New Roman" w:cs="Times New Roman"/>
          <w:sz w:val="24"/>
          <w:szCs w:val="24"/>
        </w:rPr>
        <w:t xml:space="preserve">USITHU </w:t>
      </w:r>
      <w:r w:rsidRPr="005F15C1">
        <w:rPr>
          <w:rFonts w:ascii="Times New Roman" w:hAnsi="Times New Roman" w:cs="Times New Roman"/>
          <w:sz w:val="24"/>
          <w:szCs w:val="24"/>
        </w:rPr>
        <w:t>J</w:t>
      </w:r>
    </w:p>
    <w:p w14:paraId="137880F3" w14:textId="09A96C1C" w:rsidR="0000054D" w:rsidRDefault="0000054D" w:rsidP="0000054D">
      <w:pPr>
        <w:spacing w:after="0"/>
        <w:rPr>
          <w:rFonts w:ascii="Times New Roman" w:hAnsi="Times New Roman" w:cs="Times New Roman"/>
          <w:sz w:val="24"/>
          <w:szCs w:val="24"/>
        </w:rPr>
      </w:pPr>
      <w:r w:rsidRPr="005F15C1">
        <w:rPr>
          <w:rFonts w:ascii="Times New Roman" w:hAnsi="Times New Roman" w:cs="Times New Roman"/>
          <w:sz w:val="24"/>
          <w:szCs w:val="24"/>
        </w:rPr>
        <w:t>HARARE,</w:t>
      </w:r>
      <w:r w:rsidR="00B10942" w:rsidRPr="005F15C1">
        <w:rPr>
          <w:rFonts w:ascii="Times New Roman" w:hAnsi="Times New Roman" w:cs="Times New Roman"/>
          <w:sz w:val="24"/>
          <w:szCs w:val="24"/>
        </w:rPr>
        <w:t xml:space="preserve"> </w:t>
      </w:r>
      <w:r w:rsidR="00443BFD">
        <w:rPr>
          <w:rFonts w:ascii="Times New Roman" w:hAnsi="Times New Roman" w:cs="Times New Roman"/>
          <w:sz w:val="24"/>
          <w:szCs w:val="24"/>
        </w:rPr>
        <w:t>4 November 2021 &amp; 1 March 2023</w:t>
      </w:r>
    </w:p>
    <w:p w14:paraId="53CCD830" w14:textId="77777777" w:rsidR="00D85FAF" w:rsidRPr="005F15C1" w:rsidRDefault="00D85FAF" w:rsidP="0000054D">
      <w:pPr>
        <w:spacing w:after="0"/>
        <w:rPr>
          <w:rFonts w:ascii="Times New Roman" w:hAnsi="Times New Roman" w:cs="Times New Roman"/>
          <w:sz w:val="24"/>
          <w:szCs w:val="24"/>
        </w:rPr>
      </w:pPr>
    </w:p>
    <w:p w14:paraId="10F7B38F" w14:textId="77777777" w:rsidR="0000054D" w:rsidRPr="005F15C1" w:rsidRDefault="0000054D" w:rsidP="0000054D">
      <w:pPr>
        <w:spacing w:after="0"/>
        <w:rPr>
          <w:rFonts w:ascii="Times New Roman" w:hAnsi="Times New Roman" w:cs="Times New Roman"/>
          <w:sz w:val="24"/>
          <w:szCs w:val="24"/>
        </w:rPr>
      </w:pPr>
    </w:p>
    <w:p w14:paraId="748E7AA8" w14:textId="77777777" w:rsidR="00D85FAF" w:rsidRDefault="00C74199" w:rsidP="0000054D">
      <w:pPr>
        <w:spacing w:after="0"/>
        <w:rPr>
          <w:rFonts w:ascii="Times New Roman" w:hAnsi="Times New Roman" w:cs="Times New Roman"/>
          <w:b/>
          <w:sz w:val="24"/>
          <w:szCs w:val="24"/>
        </w:rPr>
      </w:pPr>
      <w:r>
        <w:rPr>
          <w:rFonts w:ascii="Times New Roman" w:hAnsi="Times New Roman" w:cs="Times New Roman"/>
          <w:b/>
          <w:sz w:val="24"/>
          <w:szCs w:val="24"/>
        </w:rPr>
        <w:t xml:space="preserve">Opposed Application </w:t>
      </w:r>
      <w:r w:rsidR="00A801B5">
        <w:rPr>
          <w:rFonts w:ascii="Times New Roman" w:hAnsi="Times New Roman" w:cs="Times New Roman"/>
          <w:b/>
          <w:sz w:val="24"/>
          <w:szCs w:val="24"/>
        </w:rPr>
        <w:t xml:space="preserve">– </w:t>
      </w:r>
      <w:r w:rsidR="00A801B5" w:rsidRPr="00A801B5">
        <w:rPr>
          <w:rFonts w:ascii="Times New Roman" w:hAnsi="Times New Roman" w:cs="Times New Roman"/>
          <w:b/>
          <w:i/>
          <w:sz w:val="24"/>
          <w:szCs w:val="24"/>
        </w:rPr>
        <w:t>Res Judicata</w:t>
      </w:r>
      <w:r w:rsidR="00A801B5">
        <w:rPr>
          <w:rFonts w:ascii="Times New Roman" w:hAnsi="Times New Roman" w:cs="Times New Roman"/>
          <w:b/>
          <w:sz w:val="24"/>
          <w:szCs w:val="24"/>
        </w:rPr>
        <w:t xml:space="preserve"> </w:t>
      </w:r>
    </w:p>
    <w:p w14:paraId="7014435F" w14:textId="7FC51C89" w:rsidR="0000054D" w:rsidRPr="005F15C1" w:rsidRDefault="0006743C" w:rsidP="0000054D">
      <w:pPr>
        <w:spacing w:after="0"/>
        <w:rPr>
          <w:rFonts w:ascii="Times New Roman" w:hAnsi="Times New Roman" w:cs="Times New Roman"/>
          <w:sz w:val="24"/>
          <w:szCs w:val="24"/>
        </w:rPr>
      </w:pPr>
      <w:r>
        <w:rPr>
          <w:rFonts w:ascii="Times New Roman" w:hAnsi="Times New Roman" w:cs="Times New Roman"/>
          <w:b/>
          <w:sz w:val="24"/>
          <w:szCs w:val="24"/>
        </w:rPr>
        <w:t xml:space="preserve"> </w:t>
      </w:r>
      <w:r w:rsidR="00791FD2">
        <w:rPr>
          <w:rFonts w:ascii="Times New Roman" w:hAnsi="Times New Roman" w:cs="Times New Roman"/>
          <w:b/>
          <w:sz w:val="24"/>
          <w:szCs w:val="24"/>
        </w:rPr>
        <w:t xml:space="preserve"> </w:t>
      </w:r>
      <w:r w:rsidR="00500406">
        <w:rPr>
          <w:rFonts w:ascii="Times New Roman" w:hAnsi="Times New Roman" w:cs="Times New Roman"/>
          <w:b/>
          <w:sz w:val="24"/>
          <w:szCs w:val="24"/>
        </w:rPr>
        <w:t xml:space="preserve"> </w:t>
      </w:r>
    </w:p>
    <w:p w14:paraId="70DECA9A" w14:textId="315EEB19" w:rsidR="0000054D" w:rsidRPr="005F15C1" w:rsidRDefault="00443BFD" w:rsidP="00B10942">
      <w:pPr>
        <w:spacing w:after="0" w:line="240" w:lineRule="auto"/>
        <w:rPr>
          <w:rFonts w:ascii="Times New Roman" w:hAnsi="Times New Roman" w:cs="Times New Roman"/>
          <w:sz w:val="24"/>
          <w:szCs w:val="24"/>
        </w:rPr>
      </w:pPr>
      <w:r>
        <w:rPr>
          <w:rFonts w:ascii="Times New Roman" w:hAnsi="Times New Roman" w:cs="Times New Roman"/>
          <w:i/>
          <w:sz w:val="24"/>
          <w:szCs w:val="24"/>
        </w:rPr>
        <w:t>D</w:t>
      </w:r>
      <w:r w:rsidR="00C74199">
        <w:rPr>
          <w:rFonts w:ascii="Times New Roman" w:hAnsi="Times New Roman" w:cs="Times New Roman"/>
          <w:i/>
          <w:sz w:val="24"/>
          <w:szCs w:val="24"/>
        </w:rPr>
        <w:t xml:space="preserve"> Ochieng</w:t>
      </w:r>
      <w:r w:rsidR="00CC6961" w:rsidRPr="005F15C1">
        <w:rPr>
          <w:rFonts w:ascii="Times New Roman" w:hAnsi="Times New Roman" w:cs="Times New Roman"/>
          <w:i/>
          <w:sz w:val="24"/>
          <w:szCs w:val="24"/>
        </w:rPr>
        <w:t xml:space="preserve">, </w:t>
      </w:r>
      <w:r w:rsidR="0000054D" w:rsidRPr="005F15C1">
        <w:rPr>
          <w:rFonts w:ascii="Times New Roman" w:hAnsi="Times New Roman" w:cs="Times New Roman"/>
          <w:sz w:val="24"/>
          <w:szCs w:val="24"/>
        </w:rPr>
        <w:t xml:space="preserve">for the </w:t>
      </w:r>
      <w:r w:rsidR="00471C1C">
        <w:rPr>
          <w:rFonts w:ascii="Times New Roman" w:hAnsi="Times New Roman" w:cs="Times New Roman"/>
          <w:sz w:val="24"/>
          <w:szCs w:val="24"/>
        </w:rPr>
        <w:t>applicant</w:t>
      </w:r>
    </w:p>
    <w:p w14:paraId="2E0F6CC8" w14:textId="1173F9EE" w:rsidR="0000054D" w:rsidRDefault="00443BFD" w:rsidP="00B10942">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 </w:t>
      </w:r>
      <w:r w:rsidR="00471C1C">
        <w:rPr>
          <w:rFonts w:ascii="Times New Roman" w:hAnsi="Times New Roman" w:cs="Times New Roman"/>
          <w:i/>
          <w:sz w:val="24"/>
          <w:szCs w:val="24"/>
        </w:rPr>
        <w:t>Mutomba,</w:t>
      </w:r>
      <w:r w:rsidR="0000054D" w:rsidRPr="005F15C1">
        <w:rPr>
          <w:rFonts w:ascii="Times New Roman" w:hAnsi="Times New Roman" w:cs="Times New Roman"/>
          <w:sz w:val="24"/>
          <w:szCs w:val="24"/>
        </w:rPr>
        <w:t xml:space="preserve"> for the </w:t>
      </w:r>
      <w:r w:rsidR="00471C1C">
        <w:rPr>
          <w:rFonts w:ascii="Times New Roman" w:hAnsi="Times New Roman" w:cs="Times New Roman"/>
          <w:sz w:val="24"/>
          <w:szCs w:val="24"/>
        </w:rPr>
        <w:t>1</w:t>
      </w:r>
      <w:r w:rsidR="00471C1C" w:rsidRPr="00471C1C">
        <w:rPr>
          <w:rFonts w:ascii="Times New Roman" w:hAnsi="Times New Roman" w:cs="Times New Roman"/>
          <w:sz w:val="24"/>
          <w:szCs w:val="24"/>
          <w:vertAlign w:val="superscript"/>
        </w:rPr>
        <w:t>st</w:t>
      </w:r>
      <w:r w:rsidR="00471C1C">
        <w:rPr>
          <w:rFonts w:ascii="Times New Roman" w:hAnsi="Times New Roman" w:cs="Times New Roman"/>
          <w:sz w:val="24"/>
          <w:szCs w:val="24"/>
        </w:rPr>
        <w:t xml:space="preserve"> </w:t>
      </w:r>
      <w:r w:rsidR="00C74199">
        <w:rPr>
          <w:rFonts w:ascii="Times New Roman" w:hAnsi="Times New Roman" w:cs="Times New Roman"/>
          <w:sz w:val="24"/>
          <w:szCs w:val="24"/>
        </w:rPr>
        <w:t xml:space="preserve">respondent </w:t>
      </w:r>
    </w:p>
    <w:p w14:paraId="336E3999" w14:textId="42C1DAE1" w:rsidR="00057DBF" w:rsidRDefault="00443BFD" w:rsidP="00B10942">
      <w:pPr>
        <w:spacing w:after="0" w:line="240" w:lineRule="auto"/>
        <w:rPr>
          <w:rFonts w:ascii="Times New Roman" w:hAnsi="Times New Roman" w:cs="Times New Roman"/>
          <w:sz w:val="24"/>
          <w:szCs w:val="24"/>
        </w:rPr>
      </w:pPr>
      <w:r>
        <w:rPr>
          <w:rFonts w:ascii="Times New Roman" w:hAnsi="Times New Roman" w:cs="Times New Roman"/>
          <w:i/>
          <w:sz w:val="24"/>
          <w:szCs w:val="24"/>
        </w:rPr>
        <w:t>R</w:t>
      </w:r>
      <w:r w:rsidR="00471C1C">
        <w:rPr>
          <w:rFonts w:ascii="Times New Roman" w:hAnsi="Times New Roman" w:cs="Times New Roman"/>
          <w:i/>
          <w:sz w:val="24"/>
          <w:szCs w:val="24"/>
        </w:rPr>
        <w:t xml:space="preserve"> Mabwe, </w:t>
      </w:r>
      <w:r w:rsidR="00471C1C">
        <w:rPr>
          <w:rFonts w:ascii="Times New Roman" w:hAnsi="Times New Roman" w:cs="Times New Roman"/>
          <w:sz w:val="24"/>
          <w:szCs w:val="24"/>
        </w:rPr>
        <w:t>for the 2</w:t>
      </w:r>
      <w:r w:rsidR="00471C1C" w:rsidRPr="00471C1C">
        <w:rPr>
          <w:rFonts w:ascii="Times New Roman" w:hAnsi="Times New Roman" w:cs="Times New Roman"/>
          <w:sz w:val="24"/>
          <w:szCs w:val="24"/>
          <w:vertAlign w:val="superscript"/>
        </w:rPr>
        <w:t>nd</w:t>
      </w:r>
      <w:r w:rsidR="00471C1C">
        <w:rPr>
          <w:rFonts w:ascii="Times New Roman" w:hAnsi="Times New Roman" w:cs="Times New Roman"/>
          <w:sz w:val="24"/>
          <w:szCs w:val="24"/>
        </w:rPr>
        <w:t xml:space="preserve"> respondent</w:t>
      </w:r>
    </w:p>
    <w:p w14:paraId="1DA393C8" w14:textId="26A475D4" w:rsidR="00471C1C" w:rsidRPr="00471C1C" w:rsidRDefault="00471C1C" w:rsidP="00B1094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39F4C7A" w14:textId="77777777" w:rsidR="00506B27" w:rsidRPr="005F15C1" w:rsidRDefault="00506B27" w:rsidP="00B10942">
      <w:pPr>
        <w:spacing w:after="0" w:line="240" w:lineRule="auto"/>
        <w:rPr>
          <w:rFonts w:ascii="Times New Roman" w:hAnsi="Times New Roman" w:cs="Times New Roman"/>
          <w:sz w:val="24"/>
          <w:szCs w:val="24"/>
        </w:rPr>
      </w:pPr>
    </w:p>
    <w:p w14:paraId="4C23F493" w14:textId="47E4B71E" w:rsidR="002957F8" w:rsidRDefault="00436523" w:rsidP="002957F8">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2957F8" w:rsidRPr="005F15C1">
        <w:rPr>
          <w:rFonts w:ascii="Times New Roman" w:hAnsi="Times New Roman" w:cs="Times New Roman"/>
          <w:b/>
          <w:sz w:val="24"/>
          <w:szCs w:val="24"/>
        </w:rPr>
        <w:t>MUSITHU J:</w:t>
      </w:r>
      <w:r w:rsidR="002957F8" w:rsidRPr="005F15C1">
        <w:rPr>
          <w:rFonts w:ascii="Times New Roman" w:hAnsi="Times New Roman" w:cs="Times New Roman"/>
          <w:sz w:val="24"/>
          <w:szCs w:val="24"/>
        </w:rPr>
        <w:t xml:space="preserve"> </w:t>
      </w:r>
      <w:r w:rsidR="00D85FAF">
        <w:rPr>
          <w:rFonts w:ascii="Times New Roman" w:hAnsi="Times New Roman" w:cs="Times New Roman"/>
          <w:sz w:val="24"/>
          <w:szCs w:val="24"/>
        </w:rPr>
        <w:t xml:space="preserve"> </w:t>
      </w:r>
      <w:r w:rsidR="0015291E">
        <w:rPr>
          <w:rFonts w:ascii="Times New Roman" w:hAnsi="Times New Roman" w:cs="Times New Roman"/>
          <w:sz w:val="24"/>
          <w:szCs w:val="24"/>
        </w:rPr>
        <w:t xml:space="preserve">The applicant seeks a </w:t>
      </w:r>
      <w:r w:rsidR="0015291E" w:rsidRPr="0015291E">
        <w:rPr>
          <w:rFonts w:ascii="Times New Roman" w:hAnsi="Times New Roman" w:cs="Times New Roman"/>
          <w:i/>
          <w:sz w:val="24"/>
          <w:szCs w:val="24"/>
        </w:rPr>
        <w:t>declaratur</w:t>
      </w:r>
      <w:r w:rsidR="0015291E">
        <w:rPr>
          <w:rFonts w:ascii="Times New Roman" w:hAnsi="Times New Roman" w:cs="Times New Roman"/>
          <w:sz w:val="24"/>
          <w:szCs w:val="24"/>
        </w:rPr>
        <w:t xml:space="preserve"> and other consequential relief. The draft order aptly captures the relief sought in the following terms:</w:t>
      </w:r>
    </w:p>
    <w:p w14:paraId="37A77CF4" w14:textId="1222A8DA" w:rsidR="0015291E" w:rsidRPr="000116FE" w:rsidRDefault="0015291E" w:rsidP="000116FE">
      <w:pPr>
        <w:spacing w:after="0" w:line="240" w:lineRule="auto"/>
        <w:jc w:val="both"/>
        <w:rPr>
          <w:rFonts w:ascii="Times New Roman" w:hAnsi="Times New Roman" w:cs="Times New Roman"/>
        </w:rPr>
      </w:pPr>
      <w:r>
        <w:rPr>
          <w:rFonts w:ascii="Times New Roman" w:hAnsi="Times New Roman" w:cs="Times New Roman"/>
          <w:sz w:val="24"/>
          <w:szCs w:val="24"/>
        </w:rPr>
        <w:tab/>
      </w:r>
      <w:r w:rsidRPr="000116FE">
        <w:rPr>
          <w:rFonts w:ascii="Times New Roman" w:hAnsi="Times New Roman" w:cs="Times New Roman"/>
        </w:rPr>
        <w:t>“1. It is declared that:</w:t>
      </w:r>
    </w:p>
    <w:p w14:paraId="477C99BC" w14:textId="51D97B35" w:rsidR="0015291E" w:rsidRPr="000116FE" w:rsidRDefault="0015291E" w:rsidP="000116FE">
      <w:pPr>
        <w:pStyle w:val="ListParagraph"/>
        <w:numPr>
          <w:ilvl w:val="1"/>
          <w:numId w:val="25"/>
        </w:numPr>
        <w:spacing w:after="0" w:line="240" w:lineRule="auto"/>
        <w:jc w:val="both"/>
        <w:rPr>
          <w:rFonts w:ascii="Times New Roman" w:hAnsi="Times New Roman" w:cs="Times New Roman"/>
        </w:rPr>
      </w:pPr>
      <w:r w:rsidRPr="000116FE">
        <w:rPr>
          <w:rFonts w:ascii="Times New Roman" w:hAnsi="Times New Roman" w:cs="Times New Roman"/>
        </w:rPr>
        <w:t xml:space="preserve">As of August 2006, the piece of land known as subdivision </w:t>
      </w:r>
      <w:r w:rsidR="000116FE" w:rsidRPr="000116FE">
        <w:rPr>
          <w:rFonts w:ascii="Times New Roman" w:hAnsi="Times New Roman" w:cs="Times New Roman"/>
        </w:rPr>
        <w:t>G of Kinvarra situate in the District of Salisbury measuring 50.7910 hectares (“the property”) did not constitute agricultural land that was liable to acquisiti</w:t>
      </w:r>
      <w:r w:rsidR="00D13554">
        <w:rPr>
          <w:rFonts w:ascii="Times New Roman" w:hAnsi="Times New Roman" w:cs="Times New Roman"/>
        </w:rPr>
        <w:t>on in terms of s 16B of the for</w:t>
      </w:r>
      <w:r w:rsidR="000116FE" w:rsidRPr="000116FE">
        <w:rPr>
          <w:rFonts w:ascii="Times New Roman" w:hAnsi="Times New Roman" w:cs="Times New Roman"/>
        </w:rPr>
        <w:t>mer Constitution of Zimbabwe, 1980.</w:t>
      </w:r>
    </w:p>
    <w:p w14:paraId="46D22CF7" w14:textId="34EEAC8B" w:rsidR="000116FE" w:rsidRDefault="000116FE" w:rsidP="000116FE">
      <w:pPr>
        <w:pStyle w:val="ListParagraph"/>
        <w:numPr>
          <w:ilvl w:val="1"/>
          <w:numId w:val="25"/>
        </w:numPr>
        <w:spacing w:after="0" w:line="240" w:lineRule="auto"/>
        <w:jc w:val="both"/>
        <w:rPr>
          <w:rFonts w:ascii="Times New Roman" w:hAnsi="Times New Roman" w:cs="Times New Roman"/>
        </w:rPr>
      </w:pPr>
      <w:r>
        <w:rPr>
          <w:rFonts w:ascii="Times New Roman" w:hAnsi="Times New Roman" w:cs="Times New Roman"/>
        </w:rPr>
        <w:t>Any purported acquisition of the property in terms of either s 16B of the former Constitution or s 72(2) of the current Constitution occurring after August 2006 is invalid and of no force and effect.</w:t>
      </w:r>
    </w:p>
    <w:p w14:paraId="1181A048" w14:textId="0E293B51" w:rsidR="000116FE" w:rsidRDefault="000116FE" w:rsidP="000116FE">
      <w:pPr>
        <w:pStyle w:val="ListParagraph"/>
        <w:numPr>
          <w:ilvl w:val="1"/>
          <w:numId w:val="25"/>
        </w:numPr>
        <w:spacing w:after="0" w:line="240" w:lineRule="auto"/>
        <w:jc w:val="both"/>
        <w:rPr>
          <w:rFonts w:ascii="Times New Roman" w:hAnsi="Times New Roman" w:cs="Times New Roman"/>
        </w:rPr>
      </w:pPr>
      <w:r>
        <w:rPr>
          <w:rFonts w:ascii="Times New Roman" w:hAnsi="Times New Roman" w:cs="Times New Roman"/>
        </w:rPr>
        <w:t>Consequently, the applicant, in his capacity as executor of the estate of the late Daniel Alexander Hartman who died at Hamilton, New Zealand, on 26 August 2018, is the true owner of the property.</w:t>
      </w:r>
    </w:p>
    <w:p w14:paraId="5ED5381D" w14:textId="70943D41" w:rsidR="000116FE" w:rsidRDefault="00436523" w:rsidP="000116FE">
      <w:pPr>
        <w:spacing w:after="0" w:line="240" w:lineRule="auto"/>
        <w:ind w:left="720"/>
        <w:jc w:val="both"/>
        <w:rPr>
          <w:rFonts w:ascii="Times New Roman" w:hAnsi="Times New Roman" w:cs="Times New Roman"/>
        </w:rPr>
      </w:pPr>
      <w:r>
        <w:rPr>
          <w:rFonts w:ascii="Times New Roman" w:hAnsi="Times New Roman" w:cs="Times New Roman"/>
        </w:rPr>
        <w:t xml:space="preserve"> </w:t>
      </w:r>
      <w:r w:rsidR="000116FE">
        <w:rPr>
          <w:rFonts w:ascii="Times New Roman" w:hAnsi="Times New Roman" w:cs="Times New Roman"/>
        </w:rPr>
        <w:t>2. Consequently, it is ordered that:</w:t>
      </w:r>
    </w:p>
    <w:p w14:paraId="435E27CA" w14:textId="66D037FE" w:rsidR="000116FE" w:rsidRDefault="000116FE" w:rsidP="000116FE">
      <w:pPr>
        <w:pStyle w:val="ListParagraph"/>
        <w:numPr>
          <w:ilvl w:val="1"/>
          <w:numId w:val="26"/>
        </w:numPr>
        <w:spacing w:after="0" w:line="240" w:lineRule="auto"/>
        <w:jc w:val="both"/>
        <w:rPr>
          <w:rFonts w:ascii="Times New Roman" w:hAnsi="Times New Roman" w:cs="Times New Roman"/>
        </w:rPr>
      </w:pPr>
      <w:r>
        <w:rPr>
          <w:rFonts w:ascii="Times New Roman" w:hAnsi="Times New Roman" w:cs="Times New Roman"/>
        </w:rPr>
        <w:t>The purported acquisition of the property by the first respondent be and is hereby set aside.</w:t>
      </w:r>
    </w:p>
    <w:p w14:paraId="7285B36E" w14:textId="317AD8FC" w:rsidR="00216F48" w:rsidRDefault="00216F48" w:rsidP="000116FE">
      <w:pPr>
        <w:pStyle w:val="ListParagraph"/>
        <w:numPr>
          <w:ilvl w:val="1"/>
          <w:numId w:val="26"/>
        </w:numPr>
        <w:spacing w:after="0" w:line="240" w:lineRule="auto"/>
        <w:jc w:val="both"/>
        <w:rPr>
          <w:rFonts w:ascii="Times New Roman" w:hAnsi="Times New Roman" w:cs="Times New Roman"/>
        </w:rPr>
      </w:pPr>
      <w:r>
        <w:rPr>
          <w:rFonts w:ascii="Times New Roman" w:hAnsi="Times New Roman" w:cs="Times New Roman"/>
        </w:rPr>
        <w:t xml:space="preserve">The second respondent shall, within seven days of the grant of service of this order, expunge from his registers and from </w:t>
      </w:r>
      <w:r w:rsidR="00D13554">
        <w:rPr>
          <w:rFonts w:ascii="Times New Roman" w:hAnsi="Times New Roman" w:cs="Times New Roman"/>
        </w:rPr>
        <w:t>each of Deed of Transfer 5114/1980 and Deed of Transfer 956/1989 any entry therein or endorsement thereon cancelling the respective deeds or vesting ownership of the property in the State.</w:t>
      </w:r>
    </w:p>
    <w:p w14:paraId="2446215E" w14:textId="2EA1F7B6" w:rsidR="00D13554" w:rsidRDefault="00D13554" w:rsidP="000116FE">
      <w:pPr>
        <w:pStyle w:val="ListParagraph"/>
        <w:numPr>
          <w:ilvl w:val="1"/>
          <w:numId w:val="26"/>
        </w:numPr>
        <w:spacing w:after="0" w:line="240" w:lineRule="auto"/>
        <w:jc w:val="both"/>
        <w:rPr>
          <w:rFonts w:ascii="Times New Roman" w:hAnsi="Times New Roman" w:cs="Times New Roman"/>
        </w:rPr>
      </w:pPr>
      <w:r>
        <w:rPr>
          <w:rFonts w:ascii="Times New Roman" w:hAnsi="Times New Roman" w:cs="Times New Roman"/>
        </w:rPr>
        <w:t>Any offer letter granted in respect of the property is hereby set aside and declared to be of no force and effect.</w:t>
      </w:r>
    </w:p>
    <w:p w14:paraId="16A8DE68" w14:textId="01FECFE4" w:rsidR="00D13554" w:rsidRPr="00D13554" w:rsidRDefault="00436523" w:rsidP="00D13554">
      <w:pPr>
        <w:spacing w:after="0" w:line="240" w:lineRule="auto"/>
        <w:ind w:left="720"/>
        <w:jc w:val="both"/>
        <w:rPr>
          <w:rFonts w:ascii="Times New Roman" w:hAnsi="Times New Roman" w:cs="Times New Roman"/>
        </w:rPr>
      </w:pPr>
      <w:r>
        <w:rPr>
          <w:rFonts w:ascii="Times New Roman" w:hAnsi="Times New Roman" w:cs="Times New Roman"/>
        </w:rPr>
        <w:t xml:space="preserve"> </w:t>
      </w:r>
      <w:r w:rsidR="00D13554">
        <w:rPr>
          <w:rFonts w:ascii="Times New Roman" w:hAnsi="Times New Roman" w:cs="Times New Roman"/>
        </w:rPr>
        <w:t xml:space="preserve">3. There shall be no order as to costs.” </w:t>
      </w:r>
    </w:p>
    <w:p w14:paraId="50E2FA1C" w14:textId="77777777" w:rsidR="00D13554" w:rsidRDefault="00D13554" w:rsidP="00D13554">
      <w:pPr>
        <w:spacing w:after="0" w:line="240" w:lineRule="auto"/>
        <w:jc w:val="both"/>
        <w:rPr>
          <w:rFonts w:ascii="Times New Roman" w:hAnsi="Times New Roman" w:cs="Times New Roman"/>
        </w:rPr>
      </w:pPr>
    </w:p>
    <w:p w14:paraId="2160E37E" w14:textId="45DB7004" w:rsidR="00D13554" w:rsidRDefault="00483371" w:rsidP="00D13554">
      <w:pPr>
        <w:spacing w:after="0" w:line="360" w:lineRule="auto"/>
        <w:jc w:val="both"/>
        <w:rPr>
          <w:rFonts w:ascii="Times New Roman" w:hAnsi="Times New Roman" w:cs="Times New Roman"/>
          <w:b/>
        </w:rPr>
      </w:pPr>
      <w:r>
        <w:rPr>
          <w:rFonts w:ascii="Times New Roman" w:hAnsi="Times New Roman" w:cs="Times New Roman"/>
          <w:b/>
        </w:rPr>
        <w:t xml:space="preserve">Factual </w:t>
      </w:r>
      <w:r w:rsidRPr="00D13554">
        <w:rPr>
          <w:rFonts w:ascii="Times New Roman" w:hAnsi="Times New Roman" w:cs="Times New Roman"/>
          <w:b/>
        </w:rPr>
        <w:t>Background</w:t>
      </w:r>
      <w:r>
        <w:rPr>
          <w:rFonts w:ascii="Times New Roman" w:hAnsi="Times New Roman" w:cs="Times New Roman"/>
          <w:b/>
        </w:rPr>
        <w:t xml:space="preserve"> and the Applicant’s Case</w:t>
      </w:r>
    </w:p>
    <w:p w14:paraId="76AB2120" w14:textId="59FC79FE" w:rsidR="0015291E" w:rsidRDefault="00D13554" w:rsidP="00D1355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applicant deposed to the founding affidavit in his capacity </w:t>
      </w:r>
      <w:r w:rsidR="00110D64">
        <w:rPr>
          <w:rFonts w:ascii="Times New Roman" w:hAnsi="Times New Roman" w:cs="Times New Roman"/>
          <w:sz w:val="24"/>
          <w:szCs w:val="24"/>
        </w:rPr>
        <w:t>as the executor testamentary of the estate of his late father who also answered to the same name</w:t>
      </w:r>
      <w:r w:rsidR="00E655C7">
        <w:rPr>
          <w:rFonts w:ascii="Times New Roman" w:hAnsi="Times New Roman" w:cs="Times New Roman"/>
          <w:sz w:val="24"/>
          <w:szCs w:val="24"/>
        </w:rPr>
        <w:t xml:space="preserve"> as the applicant</w:t>
      </w:r>
      <w:r w:rsidR="00110D64">
        <w:rPr>
          <w:rFonts w:ascii="Times New Roman" w:hAnsi="Times New Roman" w:cs="Times New Roman"/>
          <w:sz w:val="24"/>
          <w:szCs w:val="24"/>
        </w:rPr>
        <w:t xml:space="preserve">. The late Daniel Alexander Hartman (the deceased) was the registered owner of a piece of land situate in the District of Salisbury known as Subdivision G of Kinvarra (the property). The property </w:t>
      </w:r>
      <w:r w:rsidR="00E655C7">
        <w:rPr>
          <w:rFonts w:ascii="Times New Roman" w:hAnsi="Times New Roman" w:cs="Times New Roman"/>
          <w:sz w:val="24"/>
          <w:szCs w:val="24"/>
        </w:rPr>
        <w:t xml:space="preserve">is </w:t>
      </w:r>
      <w:r w:rsidR="006E5E1C">
        <w:rPr>
          <w:rFonts w:ascii="Times New Roman" w:hAnsi="Times New Roman" w:cs="Times New Roman"/>
          <w:sz w:val="24"/>
          <w:szCs w:val="24"/>
        </w:rPr>
        <w:t xml:space="preserve">50,7910 hectares in extent, and is located in the Mount Hampden area on the outskirts of Harare. </w:t>
      </w:r>
      <w:r w:rsidR="005739EF">
        <w:rPr>
          <w:rFonts w:ascii="Times New Roman" w:hAnsi="Times New Roman" w:cs="Times New Roman"/>
          <w:sz w:val="24"/>
          <w:szCs w:val="24"/>
        </w:rPr>
        <w:t xml:space="preserve">It </w:t>
      </w:r>
      <w:r w:rsidR="006E5E1C">
        <w:rPr>
          <w:rFonts w:ascii="Times New Roman" w:hAnsi="Times New Roman" w:cs="Times New Roman"/>
          <w:sz w:val="24"/>
          <w:szCs w:val="24"/>
        </w:rPr>
        <w:t>was held under two separate title deeds, with each confirming ownership of an undi</w:t>
      </w:r>
      <w:r w:rsidR="00E655C7">
        <w:rPr>
          <w:rFonts w:ascii="Times New Roman" w:hAnsi="Times New Roman" w:cs="Times New Roman"/>
          <w:sz w:val="24"/>
          <w:szCs w:val="24"/>
        </w:rPr>
        <w:t>vided one half share. These</w:t>
      </w:r>
      <w:r w:rsidR="006E5E1C">
        <w:rPr>
          <w:rFonts w:ascii="Times New Roman" w:hAnsi="Times New Roman" w:cs="Times New Roman"/>
          <w:sz w:val="24"/>
          <w:szCs w:val="24"/>
        </w:rPr>
        <w:t xml:space="preserve"> Deed</w:t>
      </w:r>
      <w:r w:rsidR="00E655C7">
        <w:rPr>
          <w:rFonts w:ascii="Times New Roman" w:hAnsi="Times New Roman" w:cs="Times New Roman"/>
          <w:sz w:val="24"/>
          <w:szCs w:val="24"/>
        </w:rPr>
        <w:t>s</w:t>
      </w:r>
      <w:r w:rsidR="006E5E1C">
        <w:rPr>
          <w:rFonts w:ascii="Times New Roman" w:hAnsi="Times New Roman" w:cs="Times New Roman"/>
          <w:sz w:val="24"/>
          <w:szCs w:val="24"/>
        </w:rPr>
        <w:t xml:space="preserve"> of Transfer </w:t>
      </w:r>
      <w:r w:rsidR="00E655C7">
        <w:rPr>
          <w:rFonts w:ascii="Times New Roman" w:hAnsi="Times New Roman" w:cs="Times New Roman"/>
          <w:sz w:val="24"/>
          <w:szCs w:val="24"/>
        </w:rPr>
        <w:t xml:space="preserve">were </w:t>
      </w:r>
      <w:r w:rsidR="006E5E1C">
        <w:rPr>
          <w:rFonts w:ascii="Times New Roman" w:hAnsi="Times New Roman" w:cs="Times New Roman"/>
          <w:sz w:val="24"/>
          <w:szCs w:val="24"/>
        </w:rPr>
        <w:t xml:space="preserve">No. 5114/1980 and No. 956/1989. </w:t>
      </w:r>
      <w:r w:rsidR="00403840">
        <w:rPr>
          <w:rFonts w:ascii="Times New Roman" w:hAnsi="Times New Roman" w:cs="Times New Roman"/>
          <w:sz w:val="24"/>
          <w:szCs w:val="24"/>
        </w:rPr>
        <w:t xml:space="preserve">According to the applicant, a local development plan approved in 2006 zoned the area for general industrial use. </w:t>
      </w:r>
    </w:p>
    <w:p w14:paraId="23C944DD" w14:textId="0186D3AE" w:rsidR="00403840" w:rsidRDefault="00403840" w:rsidP="00D1355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In July of 2007, the deceased obtained a permit in terms of the s 40 of the Regional, Town and Country Planning Act</w:t>
      </w:r>
      <w:r>
        <w:rPr>
          <w:rStyle w:val="FootnoteReference"/>
          <w:rFonts w:ascii="Times New Roman" w:hAnsi="Times New Roman" w:cs="Times New Roman"/>
          <w:sz w:val="24"/>
          <w:szCs w:val="24"/>
        </w:rPr>
        <w:footnoteReference w:id="1"/>
      </w:r>
      <w:r w:rsidR="002855B2">
        <w:rPr>
          <w:rFonts w:ascii="Times New Roman" w:hAnsi="Times New Roman" w:cs="Times New Roman"/>
          <w:sz w:val="24"/>
          <w:szCs w:val="24"/>
        </w:rPr>
        <w:t xml:space="preserve">, for the subdivision of the property into four stands. The condition of the permit was that each of the stands </w:t>
      </w:r>
      <w:r w:rsidR="006B64BC">
        <w:rPr>
          <w:rFonts w:ascii="Times New Roman" w:hAnsi="Times New Roman" w:cs="Times New Roman"/>
          <w:sz w:val="24"/>
          <w:szCs w:val="24"/>
        </w:rPr>
        <w:t xml:space="preserve">was to be </w:t>
      </w:r>
      <w:r w:rsidR="002855B2">
        <w:rPr>
          <w:rFonts w:ascii="Times New Roman" w:hAnsi="Times New Roman" w:cs="Times New Roman"/>
          <w:sz w:val="24"/>
          <w:szCs w:val="24"/>
        </w:rPr>
        <w:t xml:space="preserve">used for agro-processing industrial purposes. </w:t>
      </w:r>
      <w:r w:rsidR="004E334E">
        <w:rPr>
          <w:rFonts w:ascii="Times New Roman" w:hAnsi="Times New Roman" w:cs="Times New Roman"/>
          <w:sz w:val="24"/>
          <w:szCs w:val="24"/>
        </w:rPr>
        <w:t xml:space="preserve">The required developments were not undertaken due to innumerable challenges that </w:t>
      </w:r>
      <w:r w:rsidR="00BE0D35">
        <w:rPr>
          <w:rFonts w:ascii="Times New Roman" w:hAnsi="Times New Roman" w:cs="Times New Roman"/>
          <w:sz w:val="24"/>
          <w:szCs w:val="24"/>
        </w:rPr>
        <w:t xml:space="preserve">ranged from the harsh economic conditions to ill-health on the part of the deceased. </w:t>
      </w:r>
      <w:r w:rsidR="005B45A9">
        <w:rPr>
          <w:rFonts w:ascii="Times New Roman" w:hAnsi="Times New Roman" w:cs="Times New Roman"/>
          <w:sz w:val="24"/>
          <w:szCs w:val="24"/>
        </w:rPr>
        <w:t xml:space="preserve"> </w:t>
      </w:r>
      <w:r w:rsidR="000D7EB5">
        <w:rPr>
          <w:rFonts w:ascii="Times New Roman" w:hAnsi="Times New Roman" w:cs="Times New Roman"/>
          <w:sz w:val="24"/>
          <w:szCs w:val="24"/>
        </w:rPr>
        <w:t xml:space="preserve">A decision was then made to lease the property to a party that would be responsible for payment of outgoings and the labour force resident at the property.  Initially the deceased and his wife moved to Mazowe Valley for paid employment before relocating to New Zealand. </w:t>
      </w:r>
    </w:p>
    <w:p w14:paraId="1ED5DB6D" w14:textId="7DE9E7B1" w:rsidR="00DA49C8" w:rsidRDefault="00C27FB8" w:rsidP="00D1355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On 6 April 2012, the first respondent published </w:t>
      </w:r>
      <w:r w:rsidR="00DA49C8">
        <w:rPr>
          <w:rFonts w:ascii="Times New Roman" w:hAnsi="Times New Roman" w:cs="Times New Roman"/>
          <w:sz w:val="24"/>
          <w:szCs w:val="24"/>
        </w:rPr>
        <w:t xml:space="preserve">a </w:t>
      </w:r>
      <w:r>
        <w:rPr>
          <w:rFonts w:ascii="Times New Roman" w:hAnsi="Times New Roman" w:cs="Times New Roman"/>
          <w:sz w:val="24"/>
          <w:szCs w:val="24"/>
        </w:rPr>
        <w:t xml:space="preserve">notice of acquisition of the farm for </w:t>
      </w:r>
      <w:r w:rsidR="00DA49C8">
        <w:rPr>
          <w:rFonts w:ascii="Times New Roman" w:hAnsi="Times New Roman" w:cs="Times New Roman"/>
          <w:sz w:val="24"/>
          <w:szCs w:val="24"/>
        </w:rPr>
        <w:t>the purpose of s</w:t>
      </w:r>
      <w:r>
        <w:rPr>
          <w:rFonts w:ascii="Times New Roman" w:hAnsi="Times New Roman" w:cs="Times New Roman"/>
          <w:sz w:val="24"/>
          <w:szCs w:val="24"/>
        </w:rPr>
        <w:t xml:space="preserve">ettlement </w:t>
      </w:r>
      <w:r w:rsidR="00DA49C8">
        <w:rPr>
          <w:rFonts w:ascii="Times New Roman" w:hAnsi="Times New Roman" w:cs="Times New Roman"/>
          <w:sz w:val="24"/>
          <w:szCs w:val="24"/>
        </w:rPr>
        <w:t xml:space="preserve">for agriculture </w:t>
      </w:r>
      <w:r>
        <w:rPr>
          <w:rFonts w:ascii="Times New Roman" w:hAnsi="Times New Roman" w:cs="Times New Roman"/>
          <w:sz w:val="24"/>
          <w:szCs w:val="24"/>
        </w:rPr>
        <w:t>in terms of s 16B</w:t>
      </w:r>
      <w:r w:rsidR="00436523">
        <w:rPr>
          <w:rFonts w:ascii="Times New Roman" w:hAnsi="Times New Roman" w:cs="Times New Roman"/>
          <w:sz w:val="24"/>
          <w:szCs w:val="24"/>
        </w:rPr>
        <w:t xml:space="preserve"> </w:t>
      </w:r>
      <w:r>
        <w:rPr>
          <w:rFonts w:ascii="Times New Roman" w:hAnsi="Times New Roman" w:cs="Times New Roman"/>
          <w:sz w:val="24"/>
          <w:szCs w:val="24"/>
        </w:rPr>
        <w:t xml:space="preserve">(2)(a)(iii) of the old Constitution. </w:t>
      </w:r>
      <w:r w:rsidR="00F45F23">
        <w:rPr>
          <w:rFonts w:ascii="Times New Roman" w:hAnsi="Times New Roman" w:cs="Times New Roman"/>
          <w:sz w:val="24"/>
          <w:szCs w:val="24"/>
        </w:rPr>
        <w:t xml:space="preserve">The applicant maintains that the notice was defective as it </w:t>
      </w:r>
      <w:r w:rsidR="006B64BC">
        <w:rPr>
          <w:rFonts w:ascii="Times New Roman" w:hAnsi="Times New Roman" w:cs="Times New Roman"/>
          <w:sz w:val="24"/>
          <w:szCs w:val="24"/>
        </w:rPr>
        <w:t xml:space="preserve">just referred </w:t>
      </w:r>
      <w:r w:rsidR="00F45F23">
        <w:rPr>
          <w:rFonts w:ascii="Times New Roman" w:hAnsi="Times New Roman" w:cs="Times New Roman"/>
          <w:sz w:val="24"/>
          <w:szCs w:val="24"/>
        </w:rPr>
        <w:t xml:space="preserve">to one title deed attesting to ownership of only one undivided half share of the property. </w:t>
      </w:r>
      <w:r w:rsidR="005B45A9">
        <w:rPr>
          <w:rFonts w:ascii="Times New Roman" w:hAnsi="Times New Roman" w:cs="Times New Roman"/>
          <w:sz w:val="24"/>
          <w:szCs w:val="24"/>
        </w:rPr>
        <w:t xml:space="preserve"> </w:t>
      </w:r>
      <w:r w:rsidR="00F45F23">
        <w:rPr>
          <w:rFonts w:ascii="Times New Roman" w:hAnsi="Times New Roman" w:cs="Times New Roman"/>
          <w:sz w:val="24"/>
          <w:szCs w:val="24"/>
        </w:rPr>
        <w:t xml:space="preserve">It was also defective as it alleged that the property was owned by Daniel Alexandra, who was not the deceased. </w:t>
      </w:r>
      <w:r w:rsidR="005B45A9">
        <w:rPr>
          <w:rFonts w:ascii="Times New Roman" w:hAnsi="Times New Roman" w:cs="Times New Roman"/>
          <w:sz w:val="24"/>
          <w:szCs w:val="24"/>
        </w:rPr>
        <w:t xml:space="preserve"> </w:t>
      </w:r>
      <w:r w:rsidR="00F45F23">
        <w:rPr>
          <w:rFonts w:ascii="Times New Roman" w:hAnsi="Times New Roman" w:cs="Times New Roman"/>
          <w:sz w:val="24"/>
          <w:szCs w:val="24"/>
        </w:rPr>
        <w:t xml:space="preserve">Further, by the </w:t>
      </w:r>
      <w:r w:rsidR="003C7D9D">
        <w:rPr>
          <w:rFonts w:ascii="Times New Roman" w:hAnsi="Times New Roman" w:cs="Times New Roman"/>
          <w:sz w:val="24"/>
          <w:szCs w:val="24"/>
        </w:rPr>
        <w:t xml:space="preserve">time the </w:t>
      </w:r>
      <w:r w:rsidR="00F45F23">
        <w:rPr>
          <w:rFonts w:ascii="Times New Roman" w:hAnsi="Times New Roman" w:cs="Times New Roman"/>
          <w:sz w:val="24"/>
          <w:szCs w:val="24"/>
        </w:rPr>
        <w:t xml:space="preserve">first respondent identified the property for acquisition for agricultural purposes, it </w:t>
      </w:r>
      <w:r w:rsidR="00DA49C8">
        <w:rPr>
          <w:rFonts w:ascii="Times New Roman" w:hAnsi="Times New Roman" w:cs="Times New Roman"/>
          <w:sz w:val="24"/>
          <w:szCs w:val="24"/>
        </w:rPr>
        <w:t xml:space="preserve">had </w:t>
      </w:r>
      <w:r w:rsidR="00F45F23">
        <w:rPr>
          <w:rFonts w:ascii="Times New Roman" w:hAnsi="Times New Roman" w:cs="Times New Roman"/>
          <w:sz w:val="24"/>
          <w:szCs w:val="24"/>
        </w:rPr>
        <w:t>already been zoned for industrial purposes for about six years</w:t>
      </w:r>
      <w:r w:rsidR="00DA49C8">
        <w:rPr>
          <w:rFonts w:ascii="Times New Roman" w:hAnsi="Times New Roman" w:cs="Times New Roman"/>
          <w:sz w:val="24"/>
          <w:szCs w:val="24"/>
        </w:rPr>
        <w:t xml:space="preserve"> prior to the date of acquisition</w:t>
      </w:r>
      <w:r w:rsidR="00F45F23">
        <w:rPr>
          <w:rFonts w:ascii="Times New Roman" w:hAnsi="Times New Roman" w:cs="Times New Roman"/>
          <w:sz w:val="24"/>
          <w:szCs w:val="24"/>
        </w:rPr>
        <w:t xml:space="preserve">. </w:t>
      </w:r>
    </w:p>
    <w:p w14:paraId="0594EAE4" w14:textId="0DC8D444" w:rsidR="00C27FB8" w:rsidRDefault="003C7D9D" w:rsidP="00D1355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deceased had acceded to the change in use and proceeded to plan the appropriate industrial designs. The necessary permit had also been granted. </w:t>
      </w:r>
      <w:r w:rsidR="005B45A9">
        <w:rPr>
          <w:rFonts w:ascii="Times New Roman" w:hAnsi="Times New Roman" w:cs="Times New Roman"/>
          <w:sz w:val="24"/>
          <w:szCs w:val="24"/>
        </w:rPr>
        <w:t xml:space="preserve"> </w:t>
      </w:r>
      <w:r>
        <w:rPr>
          <w:rFonts w:ascii="Times New Roman" w:hAnsi="Times New Roman" w:cs="Times New Roman"/>
          <w:sz w:val="24"/>
          <w:szCs w:val="24"/>
        </w:rPr>
        <w:t xml:space="preserve">An expert report procured at the instance of the applicant also confirmed that the property formed part of the urban core of Mount Hampden Development Plan. The general development context was urban. </w:t>
      </w:r>
    </w:p>
    <w:p w14:paraId="76E34E65" w14:textId="77777777" w:rsidR="00057DBF" w:rsidRDefault="00057DBF" w:rsidP="00D13554">
      <w:pPr>
        <w:spacing w:after="0" w:line="360" w:lineRule="auto"/>
        <w:ind w:firstLine="567"/>
        <w:jc w:val="both"/>
        <w:rPr>
          <w:rFonts w:ascii="Times New Roman" w:hAnsi="Times New Roman" w:cs="Times New Roman"/>
          <w:sz w:val="24"/>
          <w:szCs w:val="24"/>
        </w:rPr>
      </w:pPr>
    </w:p>
    <w:p w14:paraId="55346E93" w14:textId="72B92106" w:rsidR="003C7D9D" w:rsidRDefault="003C7D9D" w:rsidP="00D1355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The applicant averred that it was only agricultural land that could be acquired validly in the manner that the first respondent professed to have done. Th</w:t>
      </w:r>
      <w:r w:rsidR="00483371">
        <w:rPr>
          <w:rFonts w:ascii="Times New Roman" w:hAnsi="Times New Roman" w:cs="Times New Roman"/>
          <w:sz w:val="24"/>
          <w:szCs w:val="24"/>
        </w:rPr>
        <w:t xml:space="preserve">e acquisition </w:t>
      </w:r>
      <w:r>
        <w:rPr>
          <w:rFonts w:ascii="Times New Roman" w:hAnsi="Times New Roman" w:cs="Times New Roman"/>
          <w:sz w:val="24"/>
          <w:szCs w:val="24"/>
        </w:rPr>
        <w:t xml:space="preserve">may have occurred as a result of an error since the area was historically farmland that was only zoned for industrial purposes in 2006. </w:t>
      </w:r>
      <w:r w:rsidR="00647363">
        <w:rPr>
          <w:rFonts w:ascii="Times New Roman" w:hAnsi="Times New Roman" w:cs="Times New Roman"/>
          <w:sz w:val="24"/>
          <w:szCs w:val="24"/>
        </w:rPr>
        <w:t xml:space="preserve">The applicant argued that the property could not, for the aforesaid reason, constitute agricultural land liable for acquisition under the old constitution. The purported acquisition was therefore invalid on account of that error. </w:t>
      </w:r>
    </w:p>
    <w:p w14:paraId="1EBABF93" w14:textId="56D17F65" w:rsidR="00E4269A" w:rsidRPr="00057527" w:rsidRDefault="00647363" w:rsidP="00D1355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Following the death of </w:t>
      </w:r>
      <w:r w:rsidR="00DA49C8">
        <w:rPr>
          <w:rFonts w:ascii="Times New Roman" w:hAnsi="Times New Roman" w:cs="Times New Roman"/>
          <w:sz w:val="24"/>
          <w:szCs w:val="24"/>
        </w:rPr>
        <w:t xml:space="preserve">the </w:t>
      </w:r>
      <w:r>
        <w:rPr>
          <w:rFonts w:ascii="Times New Roman" w:hAnsi="Times New Roman" w:cs="Times New Roman"/>
          <w:sz w:val="24"/>
          <w:szCs w:val="24"/>
        </w:rPr>
        <w:t xml:space="preserve">deceased in New Zealand on 26 August 2018, the applicant claims that he was appointed executor of </w:t>
      </w:r>
      <w:r w:rsidR="00DA49C8">
        <w:rPr>
          <w:rFonts w:ascii="Times New Roman" w:hAnsi="Times New Roman" w:cs="Times New Roman"/>
          <w:sz w:val="24"/>
          <w:szCs w:val="24"/>
        </w:rPr>
        <w:t xml:space="preserve">the </w:t>
      </w:r>
      <w:r>
        <w:rPr>
          <w:rFonts w:ascii="Times New Roman" w:hAnsi="Times New Roman" w:cs="Times New Roman"/>
          <w:sz w:val="24"/>
          <w:szCs w:val="24"/>
        </w:rPr>
        <w:t xml:space="preserve">deceased’s estate in the High Court of New Zealand on 28 February 2019. </w:t>
      </w:r>
      <w:r w:rsidR="00E52E81">
        <w:rPr>
          <w:rFonts w:ascii="Times New Roman" w:hAnsi="Times New Roman" w:cs="Times New Roman"/>
          <w:sz w:val="24"/>
          <w:szCs w:val="24"/>
        </w:rPr>
        <w:t xml:space="preserve"> </w:t>
      </w:r>
      <w:r>
        <w:rPr>
          <w:rFonts w:ascii="Times New Roman" w:hAnsi="Times New Roman" w:cs="Times New Roman"/>
          <w:sz w:val="24"/>
          <w:szCs w:val="24"/>
        </w:rPr>
        <w:t>He engaged legal experts to assist him i</w:t>
      </w:r>
      <w:r w:rsidR="00DA49C8">
        <w:rPr>
          <w:rFonts w:ascii="Times New Roman" w:hAnsi="Times New Roman" w:cs="Times New Roman"/>
          <w:sz w:val="24"/>
          <w:szCs w:val="24"/>
        </w:rPr>
        <w:t xml:space="preserve">n the affairs of the estate. </w:t>
      </w:r>
      <w:r w:rsidR="00E52E81">
        <w:rPr>
          <w:rFonts w:ascii="Times New Roman" w:hAnsi="Times New Roman" w:cs="Times New Roman"/>
          <w:sz w:val="24"/>
          <w:szCs w:val="24"/>
        </w:rPr>
        <w:t xml:space="preserve"> </w:t>
      </w:r>
      <w:r w:rsidR="00DA49C8">
        <w:rPr>
          <w:rFonts w:ascii="Times New Roman" w:hAnsi="Times New Roman" w:cs="Times New Roman"/>
          <w:sz w:val="24"/>
          <w:szCs w:val="24"/>
        </w:rPr>
        <w:t xml:space="preserve">His appointment was endorsed under the </w:t>
      </w:r>
      <w:r w:rsidR="00BA4D3C">
        <w:rPr>
          <w:rFonts w:ascii="Times New Roman" w:hAnsi="Times New Roman" w:cs="Times New Roman"/>
          <w:sz w:val="24"/>
          <w:szCs w:val="24"/>
        </w:rPr>
        <w:t xml:space="preserve">Zimbabwean laws in June 2019. It is at that stage that investigations into the affairs of the estate commenced. </w:t>
      </w:r>
      <w:r w:rsidR="003B2EA6">
        <w:rPr>
          <w:rFonts w:ascii="Times New Roman" w:hAnsi="Times New Roman" w:cs="Times New Roman"/>
          <w:sz w:val="24"/>
          <w:szCs w:val="24"/>
        </w:rPr>
        <w:t xml:space="preserve">He instructed his legal practitioners to engage the second respondent in order to secure a reversal of the erroneous acquisition of the property. </w:t>
      </w:r>
      <w:r w:rsidR="00E4269A">
        <w:rPr>
          <w:rFonts w:ascii="Times New Roman" w:hAnsi="Times New Roman" w:cs="Times New Roman"/>
          <w:sz w:val="24"/>
          <w:szCs w:val="24"/>
        </w:rPr>
        <w:t>Correspondence w</w:t>
      </w:r>
      <w:r w:rsidR="00501BD2">
        <w:rPr>
          <w:rFonts w:ascii="Times New Roman" w:hAnsi="Times New Roman" w:cs="Times New Roman"/>
          <w:sz w:val="24"/>
          <w:szCs w:val="24"/>
        </w:rPr>
        <w:t>as</w:t>
      </w:r>
      <w:r w:rsidR="00E4269A">
        <w:rPr>
          <w:rFonts w:ascii="Times New Roman" w:hAnsi="Times New Roman" w:cs="Times New Roman"/>
          <w:sz w:val="24"/>
          <w:szCs w:val="24"/>
        </w:rPr>
        <w:t xml:space="preserve"> exchanged between the parties. In its response</w:t>
      </w:r>
      <w:r w:rsidR="00483371">
        <w:rPr>
          <w:rFonts w:ascii="Times New Roman" w:hAnsi="Times New Roman" w:cs="Times New Roman"/>
          <w:sz w:val="24"/>
          <w:szCs w:val="24"/>
        </w:rPr>
        <w:t xml:space="preserve"> to one of the letters</w:t>
      </w:r>
      <w:r w:rsidR="00E4269A">
        <w:rPr>
          <w:rFonts w:ascii="Times New Roman" w:hAnsi="Times New Roman" w:cs="Times New Roman"/>
          <w:sz w:val="24"/>
          <w:szCs w:val="24"/>
        </w:rPr>
        <w:t xml:space="preserve">, the first respondent advised the applicant to approach the Zimbabwe Land Commission </w:t>
      </w:r>
      <w:r w:rsidR="00FB5110">
        <w:rPr>
          <w:rFonts w:ascii="Times New Roman" w:hAnsi="Times New Roman" w:cs="Times New Roman"/>
          <w:sz w:val="24"/>
          <w:szCs w:val="24"/>
        </w:rPr>
        <w:t xml:space="preserve">(the Commission) </w:t>
      </w:r>
      <w:r w:rsidR="00E4269A">
        <w:rPr>
          <w:rFonts w:ascii="Times New Roman" w:hAnsi="Times New Roman" w:cs="Times New Roman"/>
          <w:sz w:val="24"/>
          <w:szCs w:val="24"/>
        </w:rPr>
        <w:t xml:space="preserve">for resolution of the matter. </w:t>
      </w:r>
      <w:r w:rsidR="001629C1">
        <w:rPr>
          <w:rFonts w:ascii="Times New Roman" w:hAnsi="Times New Roman" w:cs="Times New Roman"/>
          <w:sz w:val="24"/>
          <w:szCs w:val="24"/>
        </w:rPr>
        <w:t>The applicant contends that the Commission does not have the power to order the reversal of an erroneous acqu</w:t>
      </w:r>
      <w:r w:rsidR="00483371">
        <w:rPr>
          <w:rFonts w:ascii="Times New Roman" w:hAnsi="Times New Roman" w:cs="Times New Roman"/>
          <w:sz w:val="24"/>
          <w:szCs w:val="24"/>
        </w:rPr>
        <w:t>isition of urban land. For that</w:t>
      </w:r>
      <w:r w:rsidR="001629C1">
        <w:rPr>
          <w:rFonts w:ascii="Times New Roman" w:hAnsi="Times New Roman" w:cs="Times New Roman"/>
          <w:sz w:val="24"/>
          <w:szCs w:val="24"/>
        </w:rPr>
        <w:t xml:space="preserve"> reason the applicant reckoned that a dispute </w:t>
      </w:r>
      <w:r w:rsidR="001629C1" w:rsidRPr="00057527">
        <w:rPr>
          <w:rFonts w:ascii="Times New Roman" w:hAnsi="Times New Roman" w:cs="Times New Roman"/>
          <w:sz w:val="24"/>
          <w:szCs w:val="24"/>
        </w:rPr>
        <w:t xml:space="preserve">existed in the absence of a reversal of the acquisition by the first respondent. </w:t>
      </w:r>
    </w:p>
    <w:p w14:paraId="5A452537" w14:textId="7443E0C2" w:rsidR="00585CFC" w:rsidRPr="00057527" w:rsidRDefault="003B2EA6" w:rsidP="00D13554">
      <w:pPr>
        <w:spacing w:after="0" w:line="360" w:lineRule="auto"/>
        <w:ind w:firstLine="567"/>
        <w:jc w:val="both"/>
        <w:rPr>
          <w:rFonts w:ascii="Times New Roman" w:hAnsi="Times New Roman" w:cs="Times New Roman"/>
          <w:sz w:val="24"/>
          <w:szCs w:val="24"/>
        </w:rPr>
      </w:pPr>
      <w:r w:rsidRPr="00057527">
        <w:rPr>
          <w:rFonts w:ascii="Times New Roman" w:hAnsi="Times New Roman" w:cs="Times New Roman"/>
          <w:sz w:val="24"/>
          <w:szCs w:val="24"/>
        </w:rPr>
        <w:t xml:space="preserve">It was </w:t>
      </w:r>
      <w:r w:rsidR="001629C1" w:rsidRPr="00057527">
        <w:rPr>
          <w:rFonts w:ascii="Times New Roman" w:hAnsi="Times New Roman" w:cs="Times New Roman"/>
          <w:sz w:val="24"/>
          <w:szCs w:val="24"/>
        </w:rPr>
        <w:t xml:space="preserve">also </w:t>
      </w:r>
      <w:r w:rsidRPr="00057527">
        <w:rPr>
          <w:rFonts w:ascii="Times New Roman" w:hAnsi="Times New Roman" w:cs="Times New Roman"/>
          <w:sz w:val="24"/>
          <w:szCs w:val="24"/>
        </w:rPr>
        <w:t xml:space="preserve">at that </w:t>
      </w:r>
      <w:r w:rsidR="00E4269A" w:rsidRPr="00057527">
        <w:rPr>
          <w:rFonts w:ascii="Times New Roman" w:hAnsi="Times New Roman" w:cs="Times New Roman"/>
          <w:sz w:val="24"/>
          <w:szCs w:val="24"/>
        </w:rPr>
        <w:t xml:space="preserve">point that the applicant got to know that </w:t>
      </w:r>
      <w:r w:rsidR="0092639B" w:rsidRPr="00057527">
        <w:rPr>
          <w:rFonts w:ascii="Times New Roman" w:hAnsi="Times New Roman" w:cs="Times New Roman"/>
          <w:sz w:val="24"/>
          <w:szCs w:val="24"/>
        </w:rPr>
        <w:t xml:space="preserve">the second respondent had been issued with an offer letter for the property. </w:t>
      </w:r>
      <w:r w:rsidR="00585CFC" w:rsidRPr="00057527">
        <w:rPr>
          <w:rFonts w:ascii="Times New Roman" w:hAnsi="Times New Roman" w:cs="Times New Roman"/>
          <w:sz w:val="24"/>
          <w:szCs w:val="24"/>
        </w:rPr>
        <w:t xml:space="preserve">The applicant averred that the rights claimed </w:t>
      </w:r>
      <w:r w:rsidR="00E4269A" w:rsidRPr="00057527">
        <w:rPr>
          <w:rFonts w:ascii="Times New Roman" w:hAnsi="Times New Roman" w:cs="Times New Roman"/>
          <w:sz w:val="24"/>
          <w:szCs w:val="24"/>
        </w:rPr>
        <w:t xml:space="preserve">by the second respondent </w:t>
      </w:r>
      <w:r w:rsidR="00585CFC" w:rsidRPr="00057527">
        <w:rPr>
          <w:rFonts w:ascii="Times New Roman" w:hAnsi="Times New Roman" w:cs="Times New Roman"/>
          <w:sz w:val="24"/>
          <w:szCs w:val="24"/>
        </w:rPr>
        <w:t xml:space="preserve">under the offer letter were based on the impugned acquisition of the property by the first respondent. </w:t>
      </w:r>
      <w:r w:rsidR="004574AC" w:rsidRPr="00057527">
        <w:rPr>
          <w:rFonts w:ascii="Times New Roman" w:hAnsi="Times New Roman" w:cs="Times New Roman"/>
          <w:sz w:val="24"/>
          <w:szCs w:val="24"/>
        </w:rPr>
        <w:t>The second respondent’s rights w</w:t>
      </w:r>
      <w:r w:rsidR="00976656" w:rsidRPr="00057527">
        <w:rPr>
          <w:rFonts w:ascii="Times New Roman" w:hAnsi="Times New Roman" w:cs="Times New Roman"/>
          <w:sz w:val="24"/>
          <w:szCs w:val="24"/>
        </w:rPr>
        <w:t xml:space="preserve">ere of no effect </w:t>
      </w:r>
      <w:r w:rsidR="004574AC" w:rsidRPr="00057527">
        <w:rPr>
          <w:rFonts w:ascii="Times New Roman" w:hAnsi="Times New Roman" w:cs="Times New Roman"/>
          <w:sz w:val="24"/>
          <w:szCs w:val="24"/>
        </w:rPr>
        <w:t xml:space="preserve">the moment the first respondent’s acquisition was invalidated by the court. It was for that reason that the second respondent had been cited in the proceedings. </w:t>
      </w:r>
    </w:p>
    <w:p w14:paraId="4307B226" w14:textId="04C1CA87" w:rsidR="001629C1" w:rsidRPr="00057527" w:rsidRDefault="001629C1" w:rsidP="001629C1">
      <w:pPr>
        <w:spacing w:after="0" w:line="360" w:lineRule="auto"/>
        <w:jc w:val="both"/>
        <w:rPr>
          <w:rFonts w:ascii="Times New Roman" w:hAnsi="Times New Roman" w:cs="Times New Roman"/>
          <w:b/>
          <w:sz w:val="24"/>
          <w:szCs w:val="24"/>
        </w:rPr>
      </w:pPr>
      <w:r w:rsidRPr="00057527">
        <w:rPr>
          <w:rFonts w:ascii="Times New Roman" w:hAnsi="Times New Roman" w:cs="Times New Roman"/>
          <w:b/>
          <w:sz w:val="24"/>
          <w:szCs w:val="24"/>
        </w:rPr>
        <w:t xml:space="preserve">First Respondent’s Case </w:t>
      </w:r>
    </w:p>
    <w:p w14:paraId="0943753A" w14:textId="56A1FA11" w:rsidR="00057DBF" w:rsidRDefault="001629C1"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r>
      <w:r w:rsidR="00D77EFE" w:rsidRPr="00057527">
        <w:rPr>
          <w:rFonts w:ascii="Times New Roman" w:hAnsi="Times New Roman" w:cs="Times New Roman"/>
          <w:sz w:val="24"/>
          <w:szCs w:val="24"/>
        </w:rPr>
        <w:t xml:space="preserve">The opposing affidavit raised two preliminary points. The first was that the founding affidavit was irregular as it was not commissioned </w:t>
      </w:r>
      <w:r w:rsidR="0049333B" w:rsidRPr="00057527">
        <w:rPr>
          <w:rFonts w:ascii="Times New Roman" w:hAnsi="Times New Roman" w:cs="Times New Roman"/>
          <w:sz w:val="24"/>
          <w:szCs w:val="24"/>
        </w:rPr>
        <w:t xml:space="preserve">in </w:t>
      </w:r>
      <w:r w:rsidR="00D77EFE" w:rsidRPr="00057527">
        <w:rPr>
          <w:rFonts w:ascii="Times New Roman" w:hAnsi="Times New Roman" w:cs="Times New Roman"/>
          <w:sz w:val="24"/>
          <w:szCs w:val="24"/>
        </w:rPr>
        <w:t>accordance with the law. Affidavits commissioned outside Zimbabwe had to be authenticated in terms of the Justice of Peace and Commissioners of Oaths Act</w:t>
      </w:r>
      <w:r w:rsidR="00D77EFE" w:rsidRPr="00057527">
        <w:rPr>
          <w:rStyle w:val="FootnoteReference"/>
          <w:rFonts w:ascii="Times New Roman" w:hAnsi="Times New Roman" w:cs="Times New Roman"/>
          <w:sz w:val="24"/>
          <w:szCs w:val="24"/>
        </w:rPr>
        <w:footnoteReference w:id="2"/>
      </w:r>
      <w:r w:rsidR="00D77EFE" w:rsidRPr="00057527">
        <w:rPr>
          <w:rFonts w:ascii="Times New Roman" w:hAnsi="Times New Roman" w:cs="Times New Roman"/>
          <w:sz w:val="24"/>
          <w:szCs w:val="24"/>
        </w:rPr>
        <w:t xml:space="preserve">. </w:t>
      </w:r>
      <w:r w:rsidR="00057DBF">
        <w:rPr>
          <w:rFonts w:ascii="Times New Roman" w:hAnsi="Times New Roman" w:cs="Times New Roman"/>
          <w:sz w:val="24"/>
          <w:szCs w:val="24"/>
        </w:rPr>
        <w:t xml:space="preserve"> </w:t>
      </w:r>
      <w:r w:rsidR="00D77EFE" w:rsidRPr="00057527">
        <w:rPr>
          <w:rFonts w:ascii="Times New Roman" w:hAnsi="Times New Roman" w:cs="Times New Roman"/>
          <w:sz w:val="24"/>
          <w:szCs w:val="24"/>
        </w:rPr>
        <w:t xml:space="preserve">It was also averred that the words on the seal were not translated </w:t>
      </w:r>
    </w:p>
    <w:p w14:paraId="7C7604C5" w14:textId="77777777" w:rsidR="00057DBF" w:rsidRDefault="00057DBF" w:rsidP="001629C1">
      <w:pPr>
        <w:spacing w:after="0" w:line="360" w:lineRule="auto"/>
        <w:jc w:val="both"/>
        <w:rPr>
          <w:rFonts w:ascii="Times New Roman" w:hAnsi="Times New Roman" w:cs="Times New Roman"/>
          <w:sz w:val="24"/>
          <w:szCs w:val="24"/>
        </w:rPr>
      </w:pPr>
    </w:p>
    <w:p w14:paraId="1F034BCC" w14:textId="77777777" w:rsidR="00057DBF" w:rsidRDefault="00057DBF" w:rsidP="001629C1">
      <w:pPr>
        <w:spacing w:after="0" w:line="360" w:lineRule="auto"/>
        <w:jc w:val="both"/>
        <w:rPr>
          <w:rFonts w:ascii="Times New Roman" w:hAnsi="Times New Roman" w:cs="Times New Roman"/>
          <w:sz w:val="24"/>
          <w:szCs w:val="24"/>
        </w:rPr>
      </w:pPr>
    </w:p>
    <w:p w14:paraId="7C567014" w14:textId="7BF4E159" w:rsidR="00AD3504" w:rsidRPr="00057527" w:rsidRDefault="00D77EFE"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into the English language as required by s 49 of the High Court Act.</w:t>
      </w:r>
      <w:r w:rsidRPr="00057527">
        <w:rPr>
          <w:rStyle w:val="FootnoteReference"/>
          <w:rFonts w:ascii="Times New Roman" w:hAnsi="Times New Roman" w:cs="Times New Roman"/>
          <w:sz w:val="24"/>
          <w:szCs w:val="24"/>
        </w:rPr>
        <w:footnoteReference w:id="3"/>
      </w:r>
      <w:r w:rsidRPr="00057527">
        <w:rPr>
          <w:rFonts w:ascii="Times New Roman" w:hAnsi="Times New Roman" w:cs="Times New Roman"/>
          <w:sz w:val="24"/>
          <w:szCs w:val="24"/>
        </w:rPr>
        <w:t xml:space="preserve"> </w:t>
      </w:r>
      <w:r w:rsidR="00E52E81">
        <w:rPr>
          <w:rFonts w:ascii="Times New Roman" w:hAnsi="Times New Roman" w:cs="Times New Roman"/>
          <w:sz w:val="24"/>
          <w:szCs w:val="24"/>
        </w:rPr>
        <w:t xml:space="preserve"> </w:t>
      </w:r>
      <w:r w:rsidR="00AD3504" w:rsidRPr="00057527">
        <w:rPr>
          <w:rFonts w:ascii="Times New Roman" w:hAnsi="Times New Roman" w:cs="Times New Roman"/>
          <w:sz w:val="24"/>
          <w:szCs w:val="24"/>
        </w:rPr>
        <w:t>The absence of a translation left serious doubts about whether the person who allegedly authenticated the founding affidavit was qual</w:t>
      </w:r>
      <w:r w:rsidR="0049333B" w:rsidRPr="00057527">
        <w:rPr>
          <w:rFonts w:ascii="Times New Roman" w:hAnsi="Times New Roman" w:cs="Times New Roman"/>
          <w:sz w:val="24"/>
          <w:szCs w:val="24"/>
        </w:rPr>
        <w:t xml:space="preserve">ified to do so. For that reason, </w:t>
      </w:r>
      <w:r w:rsidR="00AD3504" w:rsidRPr="00057527">
        <w:rPr>
          <w:rFonts w:ascii="Times New Roman" w:hAnsi="Times New Roman" w:cs="Times New Roman"/>
          <w:sz w:val="24"/>
          <w:szCs w:val="24"/>
        </w:rPr>
        <w:t xml:space="preserve">the first respondent argued that there was no proper application before the court. </w:t>
      </w:r>
    </w:p>
    <w:p w14:paraId="198362F4" w14:textId="31CF3C31" w:rsidR="001629C1" w:rsidRPr="00057527" w:rsidRDefault="00AD3504"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t>The second</w:t>
      </w:r>
      <w:r w:rsidR="00FB5110" w:rsidRPr="00057527">
        <w:rPr>
          <w:rFonts w:ascii="Times New Roman" w:hAnsi="Times New Roman" w:cs="Times New Roman"/>
          <w:sz w:val="24"/>
          <w:szCs w:val="24"/>
        </w:rPr>
        <w:t xml:space="preserve"> preliminary point was that the applicant had approached the court prematurely, since administrative processes were not exhausted. Section 36 of the Land Commission Act clothed </w:t>
      </w:r>
      <w:r w:rsidR="00E84AA0" w:rsidRPr="00057527">
        <w:rPr>
          <w:rFonts w:ascii="Times New Roman" w:hAnsi="Times New Roman" w:cs="Times New Roman"/>
          <w:sz w:val="24"/>
          <w:szCs w:val="24"/>
        </w:rPr>
        <w:t xml:space="preserve">the Commission with dispute resolution powers. The applicant had still not approached the Commission with his grievance despite being advised to do so. </w:t>
      </w:r>
    </w:p>
    <w:p w14:paraId="7EFC582A" w14:textId="645BA4E0" w:rsidR="00E84AA0" w:rsidRPr="00057527" w:rsidRDefault="00E84AA0"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t xml:space="preserve">As regards the merits of the application, the second respondent commented as follows. The property was properly acquired in terms of the Constitution. The acquisition was never an error and it was for that reason that </w:t>
      </w:r>
      <w:r w:rsidR="0049333B" w:rsidRPr="00057527">
        <w:rPr>
          <w:rFonts w:ascii="Times New Roman" w:hAnsi="Times New Roman" w:cs="Times New Roman"/>
          <w:sz w:val="24"/>
          <w:szCs w:val="24"/>
        </w:rPr>
        <w:t xml:space="preserve">first </w:t>
      </w:r>
      <w:r w:rsidRPr="00057527">
        <w:rPr>
          <w:rFonts w:ascii="Times New Roman" w:hAnsi="Times New Roman" w:cs="Times New Roman"/>
          <w:sz w:val="24"/>
          <w:szCs w:val="24"/>
        </w:rPr>
        <w:t xml:space="preserve">respondent was under no obligation to reverse the acquisition. </w:t>
      </w:r>
      <w:r w:rsidR="00BA42B7" w:rsidRPr="00057527">
        <w:rPr>
          <w:rFonts w:ascii="Times New Roman" w:hAnsi="Times New Roman" w:cs="Times New Roman"/>
          <w:sz w:val="24"/>
          <w:szCs w:val="24"/>
        </w:rPr>
        <w:t xml:space="preserve">The property became State </w:t>
      </w:r>
      <w:r w:rsidR="00AC29D6" w:rsidRPr="00057527">
        <w:rPr>
          <w:rFonts w:ascii="Times New Roman" w:hAnsi="Times New Roman" w:cs="Times New Roman"/>
          <w:sz w:val="24"/>
          <w:szCs w:val="24"/>
        </w:rPr>
        <w:t xml:space="preserve">land following </w:t>
      </w:r>
      <w:r w:rsidR="005B110D" w:rsidRPr="00057527">
        <w:rPr>
          <w:rFonts w:ascii="Times New Roman" w:hAnsi="Times New Roman" w:cs="Times New Roman"/>
          <w:sz w:val="24"/>
          <w:szCs w:val="24"/>
        </w:rPr>
        <w:t xml:space="preserve">its </w:t>
      </w:r>
      <w:r w:rsidR="00AC29D6" w:rsidRPr="00057527">
        <w:rPr>
          <w:rFonts w:ascii="Times New Roman" w:hAnsi="Times New Roman" w:cs="Times New Roman"/>
          <w:sz w:val="24"/>
          <w:szCs w:val="24"/>
        </w:rPr>
        <w:t xml:space="preserve">compulsory acquisition. </w:t>
      </w:r>
      <w:r w:rsidR="005B110D" w:rsidRPr="00057527">
        <w:rPr>
          <w:rFonts w:ascii="Times New Roman" w:hAnsi="Times New Roman" w:cs="Times New Roman"/>
          <w:sz w:val="24"/>
          <w:szCs w:val="24"/>
        </w:rPr>
        <w:t>Ownership immediately vested in the State. Any developments which occurred prior to the compulsory acquisition were overtaken by events following the compulsory acquisition in 20</w:t>
      </w:r>
      <w:r w:rsidR="0049333B" w:rsidRPr="00057527">
        <w:rPr>
          <w:rFonts w:ascii="Times New Roman" w:hAnsi="Times New Roman" w:cs="Times New Roman"/>
          <w:sz w:val="24"/>
          <w:szCs w:val="24"/>
        </w:rPr>
        <w:t>12</w:t>
      </w:r>
      <w:r w:rsidR="005B110D" w:rsidRPr="00057527">
        <w:rPr>
          <w:rFonts w:ascii="Times New Roman" w:hAnsi="Times New Roman" w:cs="Times New Roman"/>
          <w:sz w:val="24"/>
          <w:szCs w:val="24"/>
        </w:rPr>
        <w:t xml:space="preserve">. </w:t>
      </w:r>
    </w:p>
    <w:p w14:paraId="5B54E33E" w14:textId="7D307D69" w:rsidR="00357687" w:rsidRPr="00057527" w:rsidRDefault="005B110D"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t xml:space="preserve">The </w:t>
      </w:r>
      <w:r w:rsidR="0049333B" w:rsidRPr="00057527">
        <w:rPr>
          <w:rFonts w:ascii="Times New Roman" w:hAnsi="Times New Roman" w:cs="Times New Roman"/>
          <w:sz w:val="24"/>
          <w:szCs w:val="24"/>
        </w:rPr>
        <w:t xml:space="preserve">first </w:t>
      </w:r>
      <w:r w:rsidRPr="00057527">
        <w:rPr>
          <w:rFonts w:ascii="Times New Roman" w:hAnsi="Times New Roman" w:cs="Times New Roman"/>
          <w:sz w:val="24"/>
          <w:szCs w:val="24"/>
        </w:rPr>
        <w:t xml:space="preserve">respondent argued that any inconsistencies contained in the notice relating to the </w:t>
      </w:r>
      <w:r w:rsidR="0049333B" w:rsidRPr="00057527">
        <w:rPr>
          <w:rFonts w:ascii="Times New Roman" w:hAnsi="Times New Roman" w:cs="Times New Roman"/>
          <w:sz w:val="24"/>
          <w:szCs w:val="24"/>
        </w:rPr>
        <w:t xml:space="preserve">description of the </w:t>
      </w:r>
      <w:r w:rsidRPr="00057527">
        <w:rPr>
          <w:rFonts w:ascii="Times New Roman" w:hAnsi="Times New Roman" w:cs="Times New Roman"/>
          <w:sz w:val="24"/>
          <w:szCs w:val="24"/>
        </w:rPr>
        <w:t xml:space="preserve">property and the title deed to which it referred did not invalidate the State’s title to the land concerned. Such errors were immaterial to the extent of being </w:t>
      </w:r>
      <w:r w:rsidRPr="00057527">
        <w:rPr>
          <w:rFonts w:ascii="Times New Roman" w:hAnsi="Times New Roman" w:cs="Times New Roman"/>
          <w:i/>
          <w:sz w:val="24"/>
          <w:szCs w:val="24"/>
        </w:rPr>
        <w:t>deminimis non curex lex</w:t>
      </w:r>
      <w:r w:rsidRPr="00057527">
        <w:rPr>
          <w:rFonts w:ascii="Times New Roman" w:hAnsi="Times New Roman" w:cs="Times New Roman"/>
          <w:sz w:val="24"/>
          <w:szCs w:val="24"/>
        </w:rPr>
        <w:t xml:space="preserve">. </w:t>
      </w:r>
      <w:r w:rsidR="00C36F13" w:rsidRPr="00057527">
        <w:rPr>
          <w:rFonts w:ascii="Times New Roman" w:hAnsi="Times New Roman" w:cs="Times New Roman"/>
          <w:sz w:val="24"/>
          <w:szCs w:val="24"/>
        </w:rPr>
        <w:t xml:space="preserve">The </w:t>
      </w:r>
      <w:r w:rsidR="0049333B" w:rsidRPr="00057527">
        <w:rPr>
          <w:rFonts w:ascii="Times New Roman" w:hAnsi="Times New Roman" w:cs="Times New Roman"/>
          <w:sz w:val="24"/>
          <w:szCs w:val="24"/>
        </w:rPr>
        <w:t xml:space="preserve">first </w:t>
      </w:r>
      <w:r w:rsidR="00C36F13" w:rsidRPr="00057527">
        <w:rPr>
          <w:rFonts w:ascii="Times New Roman" w:hAnsi="Times New Roman" w:cs="Times New Roman"/>
          <w:sz w:val="24"/>
          <w:szCs w:val="24"/>
        </w:rPr>
        <w:t>respondent also dismissed the expert report alluded</w:t>
      </w:r>
      <w:r w:rsidR="0049333B" w:rsidRPr="00057527">
        <w:rPr>
          <w:rFonts w:ascii="Times New Roman" w:hAnsi="Times New Roman" w:cs="Times New Roman"/>
          <w:sz w:val="24"/>
          <w:szCs w:val="24"/>
        </w:rPr>
        <w:t xml:space="preserve"> to</w:t>
      </w:r>
      <w:r w:rsidR="00C36F13" w:rsidRPr="00057527">
        <w:rPr>
          <w:rFonts w:ascii="Times New Roman" w:hAnsi="Times New Roman" w:cs="Times New Roman"/>
          <w:sz w:val="24"/>
          <w:szCs w:val="24"/>
        </w:rPr>
        <w:t xml:space="preserve"> </w:t>
      </w:r>
      <w:r w:rsidR="0049333B" w:rsidRPr="00057527">
        <w:rPr>
          <w:rFonts w:ascii="Times New Roman" w:hAnsi="Times New Roman" w:cs="Times New Roman"/>
          <w:sz w:val="24"/>
          <w:szCs w:val="24"/>
        </w:rPr>
        <w:t xml:space="preserve">by the applicant </w:t>
      </w:r>
      <w:r w:rsidR="00C36F13" w:rsidRPr="00057527">
        <w:rPr>
          <w:rFonts w:ascii="Times New Roman" w:hAnsi="Times New Roman" w:cs="Times New Roman"/>
          <w:sz w:val="24"/>
          <w:szCs w:val="24"/>
        </w:rPr>
        <w:t xml:space="preserve">as immaterial </w:t>
      </w:r>
      <w:r w:rsidR="00357687" w:rsidRPr="00057527">
        <w:rPr>
          <w:rFonts w:ascii="Times New Roman" w:hAnsi="Times New Roman" w:cs="Times New Roman"/>
          <w:sz w:val="24"/>
          <w:szCs w:val="24"/>
        </w:rPr>
        <w:t>in the face of the compulsory acquisition of the land by the State. The property was acquired lawfully and for agricultural purposes. Any alleged dispute had to be brought before the Commission for resolution.</w:t>
      </w:r>
    </w:p>
    <w:p w14:paraId="756EEF42" w14:textId="6CC29781" w:rsidR="00357687" w:rsidRPr="00057527" w:rsidRDefault="00357687"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t xml:space="preserve">The </w:t>
      </w:r>
      <w:r w:rsidR="0049333B" w:rsidRPr="00057527">
        <w:rPr>
          <w:rFonts w:ascii="Times New Roman" w:hAnsi="Times New Roman" w:cs="Times New Roman"/>
          <w:sz w:val="24"/>
          <w:szCs w:val="24"/>
        </w:rPr>
        <w:t xml:space="preserve">first </w:t>
      </w:r>
      <w:r w:rsidRPr="00057527">
        <w:rPr>
          <w:rFonts w:ascii="Times New Roman" w:hAnsi="Times New Roman" w:cs="Times New Roman"/>
          <w:sz w:val="24"/>
          <w:szCs w:val="24"/>
        </w:rPr>
        <w:t xml:space="preserve">respondent also averred that this court had no jurisdiction to order the upliftment of an endorsement of a property that was compulsorily acquired in terms of the Constitution. </w:t>
      </w:r>
      <w:r w:rsidR="00E60B91" w:rsidRPr="00057527">
        <w:rPr>
          <w:rFonts w:ascii="Times New Roman" w:hAnsi="Times New Roman" w:cs="Times New Roman"/>
          <w:sz w:val="24"/>
          <w:szCs w:val="24"/>
        </w:rPr>
        <w:t>The court could not inva</w:t>
      </w:r>
      <w:r w:rsidR="00467C74" w:rsidRPr="00057527">
        <w:rPr>
          <w:rFonts w:ascii="Times New Roman" w:hAnsi="Times New Roman" w:cs="Times New Roman"/>
          <w:sz w:val="24"/>
          <w:szCs w:val="24"/>
        </w:rPr>
        <w:t xml:space="preserve">lidate a constitutional process, being itself a </w:t>
      </w:r>
      <w:r w:rsidR="00E60B91" w:rsidRPr="00057527">
        <w:rPr>
          <w:rFonts w:ascii="Times New Roman" w:hAnsi="Times New Roman" w:cs="Times New Roman"/>
          <w:sz w:val="24"/>
          <w:szCs w:val="24"/>
        </w:rPr>
        <w:t xml:space="preserve">creature of the Constitution. </w:t>
      </w:r>
    </w:p>
    <w:p w14:paraId="62D94559" w14:textId="7598F310" w:rsidR="00E60B91" w:rsidRPr="00057527" w:rsidRDefault="00E60B91" w:rsidP="001629C1">
      <w:pPr>
        <w:spacing w:after="0" w:line="360" w:lineRule="auto"/>
        <w:jc w:val="both"/>
        <w:rPr>
          <w:rFonts w:ascii="Times New Roman" w:hAnsi="Times New Roman" w:cs="Times New Roman"/>
          <w:b/>
          <w:sz w:val="24"/>
          <w:szCs w:val="24"/>
        </w:rPr>
      </w:pPr>
      <w:r w:rsidRPr="00057527">
        <w:rPr>
          <w:rFonts w:ascii="Times New Roman" w:hAnsi="Times New Roman" w:cs="Times New Roman"/>
          <w:b/>
          <w:sz w:val="24"/>
          <w:szCs w:val="24"/>
        </w:rPr>
        <w:t xml:space="preserve">Second Respondent’s Case </w:t>
      </w:r>
    </w:p>
    <w:p w14:paraId="5C7FA0FB" w14:textId="77777777" w:rsidR="00057DBF" w:rsidRDefault="00E60B91"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t xml:space="preserve">The notice of opposition raised three preliminary points. The </w:t>
      </w:r>
      <w:r w:rsidRPr="00E52E81">
        <w:rPr>
          <w:rFonts w:ascii="Times New Roman" w:hAnsi="Times New Roman" w:cs="Times New Roman"/>
          <w:sz w:val="24"/>
          <w:szCs w:val="24"/>
        </w:rPr>
        <w:t>first</w:t>
      </w:r>
      <w:r w:rsidRPr="00057527">
        <w:rPr>
          <w:rFonts w:ascii="Times New Roman" w:hAnsi="Times New Roman" w:cs="Times New Roman"/>
          <w:color w:val="FF0000"/>
          <w:sz w:val="24"/>
          <w:szCs w:val="24"/>
        </w:rPr>
        <w:t xml:space="preserve"> </w:t>
      </w:r>
      <w:r w:rsidRPr="00057527">
        <w:rPr>
          <w:rFonts w:ascii="Times New Roman" w:hAnsi="Times New Roman" w:cs="Times New Roman"/>
          <w:sz w:val="24"/>
          <w:szCs w:val="24"/>
        </w:rPr>
        <w:t xml:space="preserve">was that the matter was </w:t>
      </w:r>
      <w:r w:rsidRPr="00057527">
        <w:rPr>
          <w:rFonts w:ascii="Times New Roman" w:hAnsi="Times New Roman" w:cs="Times New Roman"/>
          <w:i/>
          <w:sz w:val="24"/>
          <w:szCs w:val="24"/>
        </w:rPr>
        <w:t>lis alibi pendens</w:t>
      </w:r>
      <w:r w:rsidR="00E30C44" w:rsidRPr="00057527">
        <w:rPr>
          <w:rFonts w:ascii="Times New Roman" w:hAnsi="Times New Roman" w:cs="Times New Roman"/>
          <w:i/>
          <w:sz w:val="24"/>
          <w:szCs w:val="24"/>
        </w:rPr>
        <w:t xml:space="preserve">. </w:t>
      </w:r>
      <w:r w:rsidR="00E30C44" w:rsidRPr="00057527">
        <w:rPr>
          <w:rFonts w:ascii="Times New Roman" w:hAnsi="Times New Roman" w:cs="Times New Roman"/>
          <w:sz w:val="24"/>
          <w:szCs w:val="24"/>
        </w:rPr>
        <w:t xml:space="preserve">The relief sought in </w:t>
      </w:r>
      <w:r w:rsidR="00E30C44" w:rsidRPr="00057527">
        <w:rPr>
          <w:rFonts w:ascii="Times New Roman" w:hAnsi="Times New Roman" w:cs="Times New Roman"/>
          <w:i/>
          <w:sz w:val="24"/>
          <w:szCs w:val="24"/>
        </w:rPr>
        <w:t xml:space="preserve">casu </w:t>
      </w:r>
      <w:r w:rsidR="00E30C44" w:rsidRPr="00057527">
        <w:rPr>
          <w:rFonts w:ascii="Times New Roman" w:hAnsi="Times New Roman" w:cs="Times New Roman"/>
          <w:sz w:val="24"/>
          <w:szCs w:val="24"/>
        </w:rPr>
        <w:t xml:space="preserve">was also the subject of proceedings under </w:t>
      </w:r>
      <w:r w:rsidR="00E30C44" w:rsidRPr="00E52E81">
        <w:rPr>
          <w:rFonts w:ascii="Times New Roman" w:hAnsi="Times New Roman" w:cs="Times New Roman"/>
          <w:sz w:val="24"/>
          <w:szCs w:val="24"/>
        </w:rPr>
        <w:t xml:space="preserve">HC 8559/17. </w:t>
      </w:r>
      <w:r w:rsidR="00E30C44" w:rsidRPr="00057527">
        <w:rPr>
          <w:rFonts w:ascii="Times New Roman" w:hAnsi="Times New Roman" w:cs="Times New Roman"/>
          <w:sz w:val="24"/>
          <w:szCs w:val="24"/>
        </w:rPr>
        <w:t xml:space="preserve">The parties were similar and the subject matter was the same. The </w:t>
      </w:r>
      <w:r w:rsidR="00E30C44" w:rsidRPr="00E52E81">
        <w:rPr>
          <w:rFonts w:ascii="Times New Roman" w:hAnsi="Times New Roman" w:cs="Times New Roman"/>
          <w:sz w:val="24"/>
          <w:szCs w:val="24"/>
        </w:rPr>
        <w:t>second</w:t>
      </w:r>
      <w:r w:rsidR="00E30C44" w:rsidRPr="00057527">
        <w:rPr>
          <w:rFonts w:ascii="Times New Roman" w:hAnsi="Times New Roman" w:cs="Times New Roman"/>
          <w:color w:val="FF0000"/>
          <w:sz w:val="24"/>
          <w:szCs w:val="24"/>
        </w:rPr>
        <w:t xml:space="preserve"> </w:t>
      </w:r>
      <w:r w:rsidR="00E30C44" w:rsidRPr="00057527">
        <w:rPr>
          <w:rFonts w:ascii="Times New Roman" w:hAnsi="Times New Roman" w:cs="Times New Roman"/>
          <w:sz w:val="24"/>
          <w:szCs w:val="24"/>
        </w:rPr>
        <w:t xml:space="preserve">preliminary point was that following the demise of the deceased, the applicant should have simply proceeded in terms of </w:t>
      </w:r>
    </w:p>
    <w:p w14:paraId="36FF2936" w14:textId="77777777" w:rsidR="00057DBF" w:rsidRDefault="00057DBF" w:rsidP="001629C1">
      <w:pPr>
        <w:spacing w:after="0" w:line="360" w:lineRule="auto"/>
        <w:jc w:val="both"/>
        <w:rPr>
          <w:rFonts w:ascii="Times New Roman" w:hAnsi="Times New Roman" w:cs="Times New Roman"/>
          <w:sz w:val="24"/>
          <w:szCs w:val="24"/>
        </w:rPr>
      </w:pPr>
    </w:p>
    <w:p w14:paraId="07B1A035" w14:textId="72B11955" w:rsidR="00E60B91" w:rsidRPr="00057527" w:rsidRDefault="00E30C44"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r 85A of the rules</w:t>
      </w:r>
      <w:r w:rsidR="00860CC5">
        <w:rPr>
          <w:rFonts w:ascii="Times New Roman" w:hAnsi="Times New Roman" w:cs="Times New Roman"/>
          <w:sz w:val="24"/>
          <w:szCs w:val="24"/>
        </w:rPr>
        <w:t xml:space="preserve"> for the substitution of a party that was deceased</w:t>
      </w:r>
      <w:r w:rsidRPr="00057527">
        <w:rPr>
          <w:rFonts w:ascii="Times New Roman" w:hAnsi="Times New Roman" w:cs="Times New Roman"/>
          <w:sz w:val="24"/>
          <w:szCs w:val="24"/>
        </w:rPr>
        <w:t xml:space="preserve">. The </w:t>
      </w:r>
      <w:r w:rsidRPr="00E52E81">
        <w:rPr>
          <w:rFonts w:ascii="Times New Roman" w:hAnsi="Times New Roman" w:cs="Times New Roman"/>
          <w:sz w:val="24"/>
          <w:szCs w:val="24"/>
        </w:rPr>
        <w:t>third</w:t>
      </w:r>
      <w:r w:rsidRPr="00057527">
        <w:rPr>
          <w:rFonts w:ascii="Times New Roman" w:hAnsi="Times New Roman" w:cs="Times New Roman"/>
          <w:color w:val="FF0000"/>
          <w:sz w:val="24"/>
          <w:szCs w:val="24"/>
        </w:rPr>
        <w:t xml:space="preserve"> </w:t>
      </w:r>
      <w:r w:rsidRPr="00057527">
        <w:rPr>
          <w:rFonts w:ascii="Times New Roman" w:hAnsi="Times New Roman" w:cs="Times New Roman"/>
          <w:sz w:val="24"/>
          <w:szCs w:val="24"/>
        </w:rPr>
        <w:t xml:space="preserve">point was that </w:t>
      </w:r>
      <w:r w:rsidR="00841DBB" w:rsidRPr="00057527">
        <w:rPr>
          <w:rFonts w:ascii="Times New Roman" w:hAnsi="Times New Roman" w:cs="Times New Roman"/>
          <w:sz w:val="24"/>
          <w:szCs w:val="24"/>
        </w:rPr>
        <w:t xml:space="preserve">the applicant lacked </w:t>
      </w:r>
      <w:r w:rsidR="00841DBB" w:rsidRPr="00057527">
        <w:rPr>
          <w:rFonts w:ascii="Times New Roman" w:hAnsi="Times New Roman" w:cs="Times New Roman"/>
          <w:i/>
          <w:sz w:val="24"/>
          <w:szCs w:val="24"/>
        </w:rPr>
        <w:t xml:space="preserve">locus standi </w:t>
      </w:r>
      <w:r w:rsidR="00841DBB" w:rsidRPr="00057527">
        <w:rPr>
          <w:rFonts w:ascii="Times New Roman" w:hAnsi="Times New Roman" w:cs="Times New Roman"/>
          <w:sz w:val="24"/>
          <w:szCs w:val="24"/>
        </w:rPr>
        <w:t xml:space="preserve">as he claimed to be an executor based on an appointment by a foreign institution. The deceased could not </w:t>
      </w:r>
      <w:r w:rsidR="00D35260" w:rsidRPr="00057527">
        <w:rPr>
          <w:rFonts w:ascii="Times New Roman" w:hAnsi="Times New Roman" w:cs="Times New Roman"/>
          <w:sz w:val="24"/>
          <w:szCs w:val="24"/>
        </w:rPr>
        <w:t>appoint an heir to property that had already been gazette</w:t>
      </w:r>
      <w:r w:rsidR="00DB6BA4" w:rsidRPr="00057527">
        <w:rPr>
          <w:rFonts w:ascii="Times New Roman" w:hAnsi="Times New Roman" w:cs="Times New Roman"/>
          <w:sz w:val="24"/>
          <w:szCs w:val="24"/>
        </w:rPr>
        <w:t>d</w:t>
      </w:r>
      <w:r w:rsidR="00D35260" w:rsidRPr="00057527">
        <w:rPr>
          <w:rFonts w:ascii="Times New Roman" w:hAnsi="Times New Roman" w:cs="Times New Roman"/>
          <w:sz w:val="24"/>
          <w:szCs w:val="24"/>
        </w:rPr>
        <w:t xml:space="preserve"> for agricultural purposes. </w:t>
      </w:r>
    </w:p>
    <w:p w14:paraId="41505241" w14:textId="78ADAC30" w:rsidR="00DD6F0E" w:rsidRPr="00057527" w:rsidRDefault="00D35260"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t xml:space="preserve">Concerning the merits, the second respondent averred that </w:t>
      </w:r>
      <w:r w:rsidR="00AC7222" w:rsidRPr="00057527">
        <w:rPr>
          <w:rFonts w:ascii="Times New Roman" w:hAnsi="Times New Roman" w:cs="Times New Roman"/>
          <w:sz w:val="24"/>
          <w:szCs w:val="24"/>
        </w:rPr>
        <w:t>the land remained rural agricultural land even though the master plan show</w:t>
      </w:r>
      <w:r w:rsidR="00251506" w:rsidRPr="00057527">
        <w:rPr>
          <w:rFonts w:ascii="Times New Roman" w:hAnsi="Times New Roman" w:cs="Times New Roman"/>
          <w:sz w:val="24"/>
          <w:szCs w:val="24"/>
        </w:rPr>
        <w:t>ed</w:t>
      </w:r>
      <w:r w:rsidR="00AC7222" w:rsidRPr="00057527">
        <w:rPr>
          <w:rFonts w:ascii="Times New Roman" w:hAnsi="Times New Roman" w:cs="Times New Roman"/>
          <w:sz w:val="24"/>
          <w:szCs w:val="24"/>
        </w:rPr>
        <w:t xml:space="preserve"> that it was going to be earmarked for industrial development. That did not </w:t>
      </w:r>
      <w:r w:rsidR="00251506" w:rsidRPr="00057527">
        <w:rPr>
          <w:rFonts w:ascii="Times New Roman" w:hAnsi="Times New Roman" w:cs="Times New Roman"/>
          <w:sz w:val="24"/>
          <w:szCs w:val="24"/>
        </w:rPr>
        <w:t xml:space="preserve">automatically </w:t>
      </w:r>
      <w:r w:rsidR="00AC7222" w:rsidRPr="00057527">
        <w:rPr>
          <w:rFonts w:ascii="Times New Roman" w:hAnsi="Times New Roman" w:cs="Times New Roman"/>
          <w:sz w:val="24"/>
          <w:szCs w:val="24"/>
        </w:rPr>
        <w:t xml:space="preserve">make </w:t>
      </w:r>
      <w:r w:rsidR="00251506" w:rsidRPr="00057527">
        <w:rPr>
          <w:rFonts w:ascii="Times New Roman" w:hAnsi="Times New Roman" w:cs="Times New Roman"/>
          <w:sz w:val="24"/>
          <w:szCs w:val="24"/>
        </w:rPr>
        <w:t>it u</w:t>
      </w:r>
      <w:r w:rsidR="00AC7222" w:rsidRPr="00057527">
        <w:rPr>
          <w:rFonts w:ascii="Times New Roman" w:hAnsi="Times New Roman" w:cs="Times New Roman"/>
          <w:sz w:val="24"/>
          <w:szCs w:val="24"/>
        </w:rPr>
        <w:t>rban land</w:t>
      </w:r>
      <w:r w:rsidR="00251506" w:rsidRPr="00057527">
        <w:rPr>
          <w:rFonts w:ascii="Times New Roman" w:hAnsi="Times New Roman" w:cs="Times New Roman"/>
          <w:sz w:val="24"/>
          <w:szCs w:val="24"/>
        </w:rPr>
        <w:t xml:space="preserve"> though</w:t>
      </w:r>
      <w:r w:rsidR="00AC7222" w:rsidRPr="00057527">
        <w:rPr>
          <w:rFonts w:ascii="Times New Roman" w:hAnsi="Times New Roman" w:cs="Times New Roman"/>
          <w:sz w:val="24"/>
          <w:szCs w:val="24"/>
        </w:rPr>
        <w:t xml:space="preserve">. It was further averred that there was a difference between land which was incorporated by presidential proclamation for urban expansion and that which had always been rural land. The zoning of agricultural land for industrial purposes did not on its own bar the State from acquiring it for agricultural purposes. </w:t>
      </w:r>
      <w:r w:rsidR="00B70923" w:rsidRPr="00057527">
        <w:rPr>
          <w:rFonts w:ascii="Times New Roman" w:hAnsi="Times New Roman" w:cs="Times New Roman"/>
          <w:sz w:val="24"/>
          <w:szCs w:val="24"/>
        </w:rPr>
        <w:t xml:space="preserve">What was barred was the acquisition </w:t>
      </w:r>
      <w:r w:rsidR="0012776F" w:rsidRPr="00057527">
        <w:rPr>
          <w:rFonts w:ascii="Times New Roman" w:hAnsi="Times New Roman" w:cs="Times New Roman"/>
          <w:sz w:val="24"/>
          <w:szCs w:val="24"/>
        </w:rPr>
        <w:t>of urban land. The subdivision permit never saw the light of day as the land was subsequently acquired for agricultural purposes. The second respondent further averred that every former land occupier or owner who lost title by operation of law could only claim compensation and not title.</w:t>
      </w:r>
    </w:p>
    <w:p w14:paraId="3BD795FE" w14:textId="0989DBB8" w:rsidR="00D35260" w:rsidRPr="00057527" w:rsidRDefault="00DD6F0E"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t xml:space="preserve">As regards the anomalies in the description of the land, it was argued that the land identified in the gazette measured exactly the same as the land claimed by the applicant. It was also registered in the name of the former owner and therefore nothing was substantially different. The </w:t>
      </w:r>
      <w:r w:rsidR="0036246F" w:rsidRPr="00057527">
        <w:rPr>
          <w:rFonts w:ascii="Times New Roman" w:hAnsi="Times New Roman" w:cs="Times New Roman"/>
          <w:sz w:val="24"/>
          <w:szCs w:val="24"/>
        </w:rPr>
        <w:t xml:space="preserve">expert report was dismissed as inadmissible. The second respondent further argued that the applicant could not use a master plan from a Rural District Council to stifle land acquisition as the State was within its powers to change use of the said land and maintain its rural agricultural status. The land was never urban land and it was never subdivided in as much </w:t>
      </w:r>
      <w:r w:rsidR="00251506" w:rsidRPr="00057527">
        <w:rPr>
          <w:rFonts w:ascii="Times New Roman" w:hAnsi="Times New Roman" w:cs="Times New Roman"/>
          <w:sz w:val="24"/>
          <w:szCs w:val="24"/>
        </w:rPr>
        <w:t xml:space="preserve">as </w:t>
      </w:r>
      <w:r w:rsidR="0036246F" w:rsidRPr="00057527">
        <w:rPr>
          <w:rFonts w:ascii="Times New Roman" w:hAnsi="Times New Roman" w:cs="Times New Roman"/>
          <w:sz w:val="24"/>
          <w:szCs w:val="24"/>
        </w:rPr>
        <w:t>there appear</w:t>
      </w:r>
      <w:r w:rsidR="00251506" w:rsidRPr="00057527">
        <w:rPr>
          <w:rFonts w:ascii="Times New Roman" w:hAnsi="Times New Roman" w:cs="Times New Roman"/>
          <w:sz w:val="24"/>
          <w:szCs w:val="24"/>
        </w:rPr>
        <w:t xml:space="preserve">ed </w:t>
      </w:r>
      <w:r w:rsidR="0036246F" w:rsidRPr="00057527">
        <w:rPr>
          <w:rFonts w:ascii="Times New Roman" w:hAnsi="Times New Roman" w:cs="Times New Roman"/>
          <w:sz w:val="24"/>
          <w:szCs w:val="24"/>
        </w:rPr>
        <w:t>to have been such intention to do so. The court had no jurisdiction to stop the acquisition save to decide on the question of compensation.</w:t>
      </w:r>
    </w:p>
    <w:p w14:paraId="2FBE9CFC" w14:textId="6B21EE16" w:rsidR="009A44EE" w:rsidRPr="00057527" w:rsidRDefault="009A44EE" w:rsidP="001629C1">
      <w:pPr>
        <w:spacing w:after="0" w:line="360" w:lineRule="auto"/>
        <w:jc w:val="both"/>
        <w:rPr>
          <w:rFonts w:ascii="Times New Roman" w:hAnsi="Times New Roman" w:cs="Times New Roman"/>
          <w:b/>
          <w:sz w:val="24"/>
          <w:szCs w:val="24"/>
        </w:rPr>
      </w:pPr>
      <w:r w:rsidRPr="00057527">
        <w:rPr>
          <w:rFonts w:ascii="Times New Roman" w:hAnsi="Times New Roman" w:cs="Times New Roman"/>
          <w:b/>
          <w:sz w:val="24"/>
          <w:szCs w:val="24"/>
        </w:rPr>
        <w:t>The Answering Affidavit</w:t>
      </w:r>
    </w:p>
    <w:p w14:paraId="2ED637A8" w14:textId="3830215B" w:rsidR="009A44EE" w:rsidRPr="00057527" w:rsidRDefault="009A44EE"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r>
      <w:r w:rsidR="001007A3" w:rsidRPr="00057527">
        <w:rPr>
          <w:rFonts w:ascii="Times New Roman" w:hAnsi="Times New Roman" w:cs="Times New Roman"/>
          <w:sz w:val="24"/>
          <w:szCs w:val="24"/>
        </w:rPr>
        <w:t xml:space="preserve">The answering affidavit was deposed to by the applicant’s legal practitioner of record, Kevin John Arnott. </w:t>
      </w:r>
      <w:r w:rsidR="00E52E81">
        <w:rPr>
          <w:rFonts w:ascii="Times New Roman" w:hAnsi="Times New Roman" w:cs="Times New Roman"/>
          <w:sz w:val="24"/>
          <w:szCs w:val="24"/>
        </w:rPr>
        <w:t xml:space="preserve"> </w:t>
      </w:r>
      <w:r w:rsidR="00AB26C6" w:rsidRPr="00057527">
        <w:rPr>
          <w:rFonts w:ascii="Times New Roman" w:hAnsi="Times New Roman" w:cs="Times New Roman"/>
          <w:sz w:val="24"/>
          <w:szCs w:val="24"/>
        </w:rPr>
        <w:t xml:space="preserve">In his response to the first respondent’s opposing affidavit, he denied that the founding affidavit was not properly authenticated. </w:t>
      </w:r>
      <w:r w:rsidR="00E52E81">
        <w:rPr>
          <w:rFonts w:ascii="Times New Roman" w:hAnsi="Times New Roman" w:cs="Times New Roman"/>
          <w:sz w:val="24"/>
          <w:szCs w:val="24"/>
        </w:rPr>
        <w:t xml:space="preserve"> </w:t>
      </w:r>
      <w:r w:rsidR="00AB26C6" w:rsidRPr="00057527">
        <w:rPr>
          <w:rFonts w:ascii="Times New Roman" w:hAnsi="Times New Roman" w:cs="Times New Roman"/>
          <w:sz w:val="24"/>
          <w:szCs w:val="24"/>
        </w:rPr>
        <w:t xml:space="preserve">He insisted that though it was ungrammatical, the notarial attestation was in </w:t>
      </w:r>
      <w:r w:rsidR="00477CC4" w:rsidRPr="00057527">
        <w:rPr>
          <w:rFonts w:ascii="Times New Roman" w:hAnsi="Times New Roman" w:cs="Times New Roman"/>
          <w:sz w:val="24"/>
          <w:szCs w:val="24"/>
        </w:rPr>
        <w:t xml:space="preserve">the </w:t>
      </w:r>
      <w:r w:rsidR="00AB26C6" w:rsidRPr="00057527">
        <w:rPr>
          <w:rFonts w:ascii="Times New Roman" w:hAnsi="Times New Roman" w:cs="Times New Roman"/>
          <w:sz w:val="24"/>
          <w:szCs w:val="24"/>
        </w:rPr>
        <w:t>English</w:t>
      </w:r>
      <w:r w:rsidR="00477CC4" w:rsidRPr="00057527">
        <w:rPr>
          <w:rFonts w:ascii="Times New Roman" w:hAnsi="Times New Roman" w:cs="Times New Roman"/>
          <w:sz w:val="24"/>
          <w:szCs w:val="24"/>
        </w:rPr>
        <w:t xml:space="preserve"> language</w:t>
      </w:r>
      <w:r w:rsidR="00AB26C6" w:rsidRPr="00057527">
        <w:rPr>
          <w:rFonts w:ascii="Times New Roman" w:hAnsi="Times New Roman" w:cs="Times New Roman"/>
          <w:sz w:val="24"/>
          <w:szCs w:val="24"/>
        </w:rPr>
        <w:t xml:space="preserve">. </w:t>
      </w:r>
      <w:r w:rsidR="005B45A9">
        <w:rPr>
          <w:rFonts w:ascii="Times New Roman" w:hAnsi="Times New Roman" w:cs="Times New Roman"/>
          <w:sz w:val="24"/>
          <w:szCs w:val="24"/>
        </w:rPr>
        <w:t xml:space="preserve"> </w:t>
      </w:r>
      <w:r w:rsidR="00AB26C6" w:rsidRPr="00057527">
        <w:rPr>
          <w:rFonts w:ascii="Times New Roman" w:hAnsi="Times New Roman" w:cs="Times New Roman"/>
          <w:sz w:val="24"/>
          <w:szCs w:val="24"/>
        </w:rPr>
        <w:t xml:space="preserve">He </w:t>
      </w:r>
      <w:r w:rsidR="00477CC4" w:rsidRPr="00057527">
        <w:rPr>
          <w:rFonts w:ascii="Times New Roman" w:hAnsi="Times New Roman" w:cs="Times New Roman"/>
          <w:sz w:val="24"/>
          <w:szCs w:val="24"/>
        </w:rPr>
        <w:t xml:space="preserve">denied that the Commission had </w:t>
      </w:r>
      <w:r w:rsidR="00AB26C6" w:rsidRPr="00057527">
        <w:rPr>
          <w:rFonts w:ascii="Times New Roman" w:hAnsi="Times New Roman" w:cs="Times New Roman"/>
          <w:sz w:val="24"/>
          <w:szCs w:val="24"/>
        </w:rPr>
        <w:t>powers or jurisdiction to grant the relief sought</w:t>
      </w:r>
      <w:r w:rsidR="00860CC5">
        <w:rPr>
          <w:rFonts w:ascii="Times New Roman" w:hAnsi="Times New Roman" w:cs="Times New Roman"/>
          <w:sz w:val="24"/>
          <w:szCs w:val="24"/>
        </w:rPr>
        <w:t xml:space="preserve"> herein</w:t>
      </w:r>
      <w:r w:rsidR="00AB26C6" w:rsidRPr="00057527">
        <w:rPr>
          <w:rFonts w:ascii="Times New Roman" w:hAnsi="Times New Roman" w:cs="Times New Roman"/>
          <w:sz w:val="24"/>
          <w:szCs w:val="24"/>
        </w:rPr>
        <w:t>. There</w:t>
      </w:r>
      <w:r w:rsidR="00860CC5">
        <w:rPr>
          <w:rFonts w:ascii="Times New Roman" w:hAnsi="Times New Roman" w:cs="Times New Roman"/>
          <w:sz w:val="24"/>
          <w:szCs w:val="24"/>
        </w:rPr>
        <w:t>fore, there</w:t>
      </w:r>
      <w:r w:rsidR="00AB26C6" w:rsidRPr="00057527">
        <w:rPr>
          <w:rFonts w:ascii="Times New Roman" w:hAnsi="Times New Roman" w:cs="Times New Roman"/>
          <w:sz w:val="24"/>
          <w:szCs w:val="24"/>
        </w:rPr>
        <w:t xml:space="preserve"> was no basis for the court to decline jurisdiction in the matter. </w:t>
      </w:r>
    </w:p>
    <w:p w14:paraId="75DCBF60" w14:textId="77777777" w:rsidR="00057DBF" w:rsidRDefault="00AB26C6"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lastRenderedPageBreak/>
        <w:tab/>
      </w:r>
    </w:p>
    <w:p w14:paraId="0820E991" w14:textId="77777777" w:rsidR="00057DBF" w:rsidRDefault="00057DBF" w:rsidP="001629C1">
      <w:pPr>
        <w:spacing w:after="0" w:line="360" w:lineRule="auto"/>
        <w:jc w:val="both"/>
        <w:rPr>
          <w:rFonts w:ascii="Times New Roman" w:hAnsi="Times New Roman" w:cs="Times New Roman"/>
          <w:sz w:val="24"/>
          <w:szCs w:val="24"/>
        </w:rPr>
      </w:pPr>
    </w:p>
    <w:p w14:paraId="35A184C6" w14:textId="71AD152C" w:rsidR="00AB26C6" w:rsidRPr="002F408B" w:rsidRDefault="00057DBF" w:rsidP="001629C1">
      <w:pPr>
        <w:spacing w:after="0" w:line="360" w:lineRule="auto"/>
        <w:jc w:val="both"/>
        <w:rPr>
          <w:rFonts w:ascii="Times New Roman" w:hAnsi="Times New Roman" w:cs="Times New Roman"/>
          <w:color w:val="FF0000"/>
          <w:sz w:val="24"/>
          <w:szCs w:val="24"/>
        </w:rPr>
      </w:pPr>
      <w:r>
        <w:rPr>
          <w:rFonts w:ascii="Times New Roman" w:hAnsi="Times New Roman" w:cs="Times New Roman"/>
          <w:sz w:val="24"/>
          <w:szCs w:val="24"/>
        </w:rPr>
        <w:tab/>
      </w:r>
      <w:r w:rsidR="00AB26C6" w:rsidRPr="00057527">
        <w:rPr>
          <w:rFonts w:ascii="Times New Roman" w:hAnsi="Times New Roman" w:cs="Times New Roman"/>
          <w:sz w:val="24"/>
          <w:szCs w:val="24"/>
        </w:rPr>
        <w:t xml:space="preserve">The deponent further averred that unbeknown to the applicant, the deceased had challenged the validity of the acquisition under </w:t>
      </w:r>
      <w:r w:rsidR="00AB26C6" w:rsidRPr="00E52E81">
        <w:rPr>
          <w:rFonts w:ascii="Times New Roman" w:hAnsi="Times New Roman" w:cs="Times New Roman"/>
          <w:sz w:val="24"/>
          <w:szCs w:val="24"/>
        </w:rPr>
        <w:t>HC 12276/16</w:t>
      </w:r>
      <w:r w:rsidR="00AB26C6" w:rsidRPr="00057527">
        <w:rPr>
          <w:rFonts w:ascii="Times New Roman" w:hAnsi="Times New Roman" w:cs="Times New Roman"/>
          <w:color w:val="FF0000"/>
          <w:sz w:val="24"/>
          <w:szCs w:val="24"/>
        </w:rPr>
        <w:t>.</w:t>
      </w:r>
      <w:r w:rsidR="00AB26C6" w:rsidRPr="00057527">
        <w:rPr>
          <w:rFonts w:ascii="Times New Roman" w:hAnsi="Times New Roman" w:cs="Times New Roman"/>
          <w:sz w:val="24"/>
          <w:szCs w:val="24"/>
        </w:rPr>
        <w:t xml:space="preserve"> </w:t>
      </w:r>
      <w:r w:rsidR="00FF1F8E" w:rsidRPr="00057527">
        <w:rPr>
          <w:rFonts w:ascii="Times New Roman" w:hAnsi="Times New Roman" w:cs="Times New Roman"/>
          <w:sz w:val="24"/>
          <w:szCs w:val="24"/>
        </w:rPr>
        <w:t xml:space="preserve">In that matter, the first respondent deposed to an affidavit in which he stated that Subdivision G of Kinvarra was urban land zoned for industrial purposes prior to its purported acquisition by the State. For that reason, the land could not be acquired for resettlement purposes. He went on to state that the purported </w:t>
      </w:r>
      <w:r w:rsidR="004C3044" w:rsidRPr="00057527">
        <w:rPr>
          <w:rFonts w:ascii="Times New Roman" w:hAnsi="Times New Roman" w:cs="Times New Roman"/>
          <w:sz w:val="24"/>
          <w:szCs w:val="24"/>
        </w:rPr>
        <w:t xml:space="preserve">acquisition of the farm in 2012 was therefore null and void and of no force and effect. </w:t>
      </w:r>
      <w:r w:rsidR="004C3044" w:rsidRPr="002F408B">
        <w:rPr>
          <w:rFonts w:ascii="Times New Roman" w:hAnsi="Times New Roman" w:cs="Times New Roman"/>
          <w:color w:val="FF0000"/>
          <w:sz w:val="24"/>
          <w:szCs w:val="24"/>
        </w:rPr>
        <w:t xml:space="preserve">The court granted an order declaring the invalidity of the purported acquisition. For that reason, the first respondent was therefore estopped from advancing a contradictory position. </w:t>
      </w:r>
    </w:p>
    <w:p w14:paraId="588131DF" w14:textId="25FDA2E1" w:rsidR="00C317FF" w:rsidRPr="00057527" w:rsidRDefault="00C317FF"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t xml:space="preserve">In </w:t>
      </w:r>
      <w:r w:rsidRPr="00E52E81">
        <w:rPr>
          <w:rFonts w:ascii="Times New Roman" w:hAnsi="Times New Roman" w:cs="Times New Roman"/>
          <w:sz w:val="24"/>
          <w:szCs w:val="24"/>
        </w:rPr>
        <w:t>HC 8559/17</w:t>
      </w:r>
      <w:r w:rsidRPr="00057527">
        <w:rPr>
          <w:rFonts w:ascii="Times New Roman" w:hAnsi="Times New Roman" w:cs="Times New Roman"/>
          <w:sz w:val="24"/>
          <w:szCs w:val="24"/>
        </w:rPr>
        <w:t>, the deceased challenged the acquisition of the property. That application had since been deemed abandoned for want of prosecution.</w:t>
      </w:r>
      <w:r w:rsidR="005B45A9">
        <w:rPr>
          <w:rFonts w:ascii="Times New Roman" w:hAnsi="Times New Roman" w:cs="Times New Roman"/>
          <w:sz w:val="24"/>
          <w:szCs w:val="24"/>
        </w:rPr>
        <w:t xml:space="preserve"> </w:t>
      </w:r>
      <w:r w:rsidRPr="00057527">
        <w:rPr>
          <w:rFonts w:ascii="Times New Roman" w:hAnsi="Times New Roman" w:cs="Times New Roman"/>
          <w:sz w:val="24"/>
          <w:szCs w:val="24"/>
        </w:rPr>
        <w:t xml:space="preserve"> It was for that reason that the applicant was persisting with the present application. The correct position, which the first respondent had confirmed was that the status of the property had changed making it incompetent for it to be acquired in the manner it was done. </w:t>
      </w:r>
    </w:p>
    <w:p w14:paraId="1E2ECAAB" w14:textId="0E5E64E9" w:rsidR="00C317FF" w:rsidRPr="00057527" w:rsidRDefault="00C317FF" w:rsidP="001629C1">
      <w:pPr>
        <w:spacing w:after="0" w:line="360" w:lineRule="auto"/>
        <w:jc w:val="both"/>
        <w:rPr>
          <w:rFonts w:ascii="Times New Roman" w:hAnsi="Times New Roman" w:cs="Times New Roman"/>
          <w:sz w:val="24"/>
          <w:szCs w:val="24"/>
        </w:rPr>
      </w:pPr>
      <w:r w:rsidRPr="00057527">
        <w:rPr>
          <w:rFonts w:ascii="Times New Roman" w:hAnsi="Times New Roman" w:cs="Times New Roman"/>
          <w:sz w:val="24"/>
          <w:szCs w:val="24"/>
        </w:rPr>
        <w:tab/>
        <w:t xml:space="preserve">As regards the averments in the second respondent’s opposing affidavit, the deponent submitted that the applicant was unaware of the proceedings in </w:t>
      </w:r>
      <w:r w:rsidRPr="00E52E81">
        <w:rPr>
          <w:rFonts w:ascii="Times New Roman" w:hAnsi="Times New Roman" w:cs="Times New Roman"/>
          <w:sz w:val="24"/>
          <w:szCs w:val="24"/>
        </w:rPr>
        <w:t>HC 8559/17</w:t>
      </w:r>
      <w:r w:rsidRPr="00057527">
        <w:rPr>
          <w:rFonts w:ascii="Times New Roman" w:hAnsi="Times New Roman" w:cs="Times New Roman"/>
          <w:sz w:val="24"/>
          <w:szCs w:val="24"/>
        </w:rPr>
        <w:t xml:space="preserve">, at the time that it launched the present application. </w:t>
      </w:r>
      <w:r w:rsidR="005B45A9">
        <w:rPr>
          <w:rFonts w:ascii="Times New Roman" w:hAnsi="Times New Roman" w:cs="Times New Roman"/>
          <w:sz w:val="24"/>
          <w:szCs w:val="24"/>
        </w:rPr>
        <w:t> </w:t>
      </w:r>
      <w:r w:rsidRPr="00057527">
        <w:rPr>
          <w:rFonts w:ascii="Times New Roman" w:hAnsi="Times New Roman" w:cs="Times New Roman"/>
          <w:sz w:val="24"/>
          <w:szCs w:val="24"/>
        </w:rPr>
        <w:t xml:space="preserve">Investigations revealed that the application had been made during the deceased’s lifetime, unbeknown to the applicant. </w:t>
      </w:r>
      <w:r w:rsidR="00AD2A79" w:rsidRPr="00057527">
        <w:rPr>
          <w:rFonts w:ascii="Times New Roman" w:hAnsi="Times New Roman" w:cs="Times New Roman"/>
          <w:sz w:val="24"/>
          <w:szCs w:val="24"/>
        </w:rPr>
        <w:t xml:space="preserve">The application was deemed abandoned and there was nothing pending at court. </w:t>
      </w:r>
    </w:p>
    <w:p w14:paraId="3F98F3A0" w14:textId="432521D9" w:rsidR="001B70FF" w:rsidRPr="00057527" w:rsidRDefault="00164DA1" w:rsidP="00B90D25">
      <w:pPr>
        <w:spacing w:after="0" w:line="360" w:lineRule="auto"/>
        <w:jc w:val="both"/>
        <w:rPr>
          <w:rFonts w:ascii="Times New Roman" w:hAnsi="Times New Roman" w:cs="Times New Roman"/>
          <w:b/>
          <w:sz w:val="24"/>
          <w:szCs w:val="24"/>
        </w:rPr>
      </w:pPr>
      <w:r w:rsidRPr="00057527">
        <w:rPr>
          <w:rFonts w:ascii="Times New Roman" w:hAnsi="Times New Roman" w:cs="Times New Roman"/>
          <w:b/>
          <w:sz w:val="24"/>
          <w:szCs w:val="24"/>
        </w:rPr>
        <w:t xml:space="preserve">The </w:t>
      </w:r>
      <w:r>
        <w:rPr>
          <w:rFonts w:ascii="Times New Roman" w:hAnsi="Times New Roman" w:cs="Times New Roman"/>
          <w:b/>
          <w:sz w:val="24"/>
          <w:szCs w:val="24"/>
        </w:rPr>
        <w:t>s</w:t>
      </w:r>
      <w:r w:rsidRPr="00057527">
        <w:rPr>
          <w:rFonts w:ascii="Times New Roman" w:hAnsi="Times New Roman" w:cs="Times New Roman"/>
          <w:b/>
          <w:sz w:val="24"/>
          <w:szCs w:val="24"/>
        </w:rPr>
        <w:t xml:space="preserve">ubmissions and the </w:t>
      </w:r>
      <w:r>
        <w:rPr>
          <w:rFonts w:ascii="Times New Roman" w:hAnsi="Times New Roman" w:cs="Times New Roman"/>
          <w:b/>
          <w:sz w:val="24"/>
          <w:szCs w:val="24"/>
        </w:rPr>
        <w:t>a</w:t>
      </w:r>
      <w:r w:rsidRPr="00057527">
        <w:rPr>
          <w:rFonts w:ascii="Times New Roman" w:hAnsi="Times New Roman" w:cs="Times New Roman"/>
          <w:b/>
          <w:sz w:val="24"/>
          <w:szCs w:val="24"/>
        </w:rPr>
        <w:t xml:space="preserve">nalysis </w:t>
      </w:r>
    </w:p>
    <w:p w14:paraId="0A16726E" w14:textId="4F64A72F" w:rsidR="008E2D13" w:rsidRPr="00057527" w:rsidRDefault="008E2D13" w:rsidP="00E47748">
      <w:pPr>
        <w:spacing w:after="0" w:line="360" w:lineRule="auto"/>
        <w:ind w:firstLine="720"/>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The first respondent</w:t>
      </w:r>
      <w:r w:rsidR="00365C8D" w:rsidRPr="00057527">
        <w:rPr>
          <w:rFonts w:ascii="Times New Roman" w:eastAsia="Calibri" w:hAnsi="Times New Roman" w:cs="Times New Roman"/>
          <w:sz w:val="24"/>
          <w:szCs w:val="24"/>
          <w:lang w:val="en-ZA"/>
        </w:rPr>
        <w:t xml:space="preserve">’s </w:t>
      </w:r>
      <w:r w:rsidRPr="00057527">
        <w:rPr>
          <w:rFonts w:ascii="Times New Roman" w:eastAsia="Calibri" w:hAnsi="Times New Roman" w:cs="Times New Roman"/>
          <w:sz w:val="24"/>
          <w:szCs w:val="24"/>
          <w:lang w:val="en-ZA"/>
        </w:rPr>
        <w:t xml:space="preserve">preliminary points </w:t>
      </w:r>
      <w:r w:rsidR="00365C8D" w:rsidRPr="00057527">
        <w:rPr>
          <w:rFonts w:ascii="Times New Roman" w:eastAsia="Calibri" w:hAnsi="Times New Roman" w:cs="Times New Roman"/>
          <w:sz w:val="24"/>
          <w:szCs w:val="24"/>
          <w:lang w:val="en-ZA"/>
        </w:rPr>
        <w:t xml:space="preserve">were abandoned </w:t>
      </w:r>
      <w:r w:rsidRPr="00057527">
        <w:rPr>
          <w:rFonts w:ascii="Times New Roman" w:eastAsia="Calibri" w:hAnsi="Times New Roman" w:cs="Times New Roman"/>
          <w:sz w:val="24"/>
          <w:szCs w:val="24"/>
          <w:lang w:val="en-ZA"/>
        </w:rPr>
        <w:t xml:space="preserve">in the heads of argument. The position was confirmed by </w:t>
      </w:r>
      <w:r w:rsidR="00DB6BA4" w:rsidRPr="00057527">
        <w:rPr>
          <w:rFonts w:ascii="Times New Roman" w:eastAsia="Calibri" w:hAnsi="Times New Roman" w:cs="Times New Roman"/>
          <w:sz w:val="24"/>
          <w:szCs w:val="24"/>
          <w:lang w:val="en-ZA"/>
        </w:rPr>
        <w:t xml:space="preserve">the first respondent’s counsel, </w:t>
      </w:r>
      <w:r w:rsidRPr="00057527">
        <w:rPr>
          <w:rFonts w:ascii="Times New Roman" w:eastAsia="Calibri" w:hAnsi="Times New Roman" w:cs="Times New Roman"/>
          <w:sz w:val="24"/>
          <w:szCs w:val="24"/>
          <w:lang w:val="en-ZA"/>
        </w:rPr>
        <w:t xml:space="preserve">Mr </w:t>
      </w:r>
      <w:r w:rsidRPr="00057527">
        <w:rPr>
          <w:rFonts w:ascii="Times New Roman" w:eastAsia="Calibri" w:hAnsi="Times New Roman" w:cs="Times New Roman"/>
          <w:i/>
          <w:sz w:val="24"/>
          <w:szCs w:val="24"/>
          <w:lang w:val="en-ZA"/>
        </w:rPr>
        <w:t>Mutomba</w:t>
      </w:r>
      <w:r w:rsidRPr="00057527">
        <w:rPr>
          <w:rFonts w:ascii="Times New Roman" w:eastAsia="Calibri" w:hAnsi="Times New Roman" w:cs="Times New Roman"/>
          <w:sz w:val="24"/>
          <w:szCs w:val="24"/>
          <w:lang w:val="en-ZA"/>
        </w:rPr>
        <w:t xml:space="preserve"> at the commencement of the oral submissions. The court will thus deal with the second respondent’s preliminary points. </w:t>
      </w:r>
      <w:r w:rsidR="00E52E81">
        <w:rPr>
          <w:rFonts w:ascii="Times New Roman" w:eastAsia="Calibri" w:hAnsi="Times New Roman" w:cs="Times New Roman"/>
          <w:sz w:val="24"/>
          <w:szCs w:val="24"/>
          <w:lang w:val="en-ZA"/>
        </w:rPr>
        <w:t xml:space="preserve"> </w:t>
      </w:r>
      <w:r w:rsidR="00DB6BA4" w:rsidRPr="00057527">
        <w:rPr>
          <w:rFonts w:ascii="Times New Roman" w:eastAsia="Calibri" w:hAnsi="Times New Roman" w:cs="Times New Roman"/>
          <w:sz w:val="24"/>
          <w:szCs w:val="24"/>
          <w:lang w:val="en-ZA"/>
        </w:rPr>
        <w:t xml:space="preserve">Ms </w:t>
      </w:r>
      <w:r w:rsidR="00DB6BA4" w:rsidRPr="00057527">
        <w:rPr>
          <w:rFonts w:ascii="Times New Roman" w:eastAsia="Calibri" w:hAnsi="Times New Roman" w:cs="Times New Roman"/>
          <w:i/>
          <w:sz w:val="24"/>
          <w:szCs w:val="24"/>
          <w:lang w:val="en-ZA"/>
        </w:rPr>
        <w:t xml:space="preserve">Mabwe </w:t>
      </w:r>
      <w:r w:rsidR="00DB6BA4" w:rsidRPr="00057527">
        <w:rPr>
          <w:rFonts w:ascii="Times New Roman" w:eastAsia="Calibri" w:hAnsi="Times New Roman" w:cs="Times New Roman"/>
          <w:sz w:val="24"/>
          <w:szCs w:val="24"/>
          <w:lang w:val="en-ZA"/>
        </w:rPr>
        <w:t>for the second respondent</w:t>
      </w:r>
      <w:r w:rsidR="00365C8D" w:rsidRPr="00057527">
        <w:rPr>
          <w:rFonts w:ascii="Times New Roman" w:eastAsia="Calibri" w:hAnsi="Times New Roman" w:cs="Times New Roman"/>
          <w:sz w:val="24"/>
          <w:szCs w:val="24"/>
          <w:lang w:val="en-ZA"/>
        </w:rPr>
        <w:t xml:space="preserve"> </w:t>
      </w:r>
      <w:r w:rsidR="00DB6BA4" w:rsidRPr="00057527">
        <w:rPr>
          <w:rFonts w:ascii="Times New Roman" w:eastAsia="Calibri" w:hAnsi="Times New Roman" w:cs="Times New Roman"/>
          <w:sz w:val="24"/>
          <w:szCs w:val="24"/>
          <w:lang w:val="en-ZA"/>
        </w:rPr>
        <w:t>added three more preliminary points</w:t>
      </w:r>
      <w:r w:rsidR="00365C8D" w:rsidRPr="00057527">
        <w:rPr>
          <w:rFonts w:ascii="Times New Roman" w:eastAsia="Calibri" w:hAnsi="Times New Roman" w:cs="Times New Roman"/>
          <w:sz w:val="24"/>
          <w:szCs w:val="24"/>
          <w:lang w:val="en-ZA"/>
        </w:rPr>
        <w:t xml:space="preserve"> to the ones already </w:t>
      </w:r>
      <w:r w:rsidR="00DB6BA4" w:rsidRPr="00057527">
        <w:rPr>
          <w:rFonts w:ascii="Times New Roman" w:eastAsia="Calibri" w:hAnsi="Times New Roman" w:cs="Times New Roman"/>
          <w:sz w:val="24"/>
          <w:szCs w:val="24"/>
          <w:lang w:val="en-ZA"/>
        </w:rPr>
        <w:t xml:space="preserve">raised in the second respondent’s opposing affidavit. These are that: the matter was </w:t>
      </w:r>
      <w:r w:rsidR="00DB6BA4" w:rsidRPr="00057527">
        <w:rPr>
          <w:rFonts w:ascii="Times New Roman" w:eastAsia="Calibri" w:hAnsi="Times New Roman" w:cs="Times New Roman"/>
          <w:i/>
          <w:sz w:val="24"/>
          <w:szCs w:val="24"/>
          <w:lang w:val="en-ZA"/>
        </w:rPr>
        <w:t>res judicata</w:t>
      </w:r>
      <w:r w:rsidR="00DB6BA4" w:rsidRPr="00057527">
        <w:rPr>
          <w:rFonts w:ascii="Times New Roman" w:eastAsia="Calibri" w:hAnsi="Times New Roman" w:cs="Times New Roman"/>
          <w:sz w:val="24"/>
          <w:szCs w:val="24"/>
          <w:lang w:val="en-ZA"/>
        </w:rPr>
        <w:t xml:space="preserve">; the matter had prescribed; the answering affidavit was not properly before </w:t>
      </w:r>
      <w:r w:rsidR="00365C8D" w:rsidRPr="00057527">
        <w:rPr>
          <w:rFonts w:ascii="Times New Roman" w:eastAsia="Calibri" w:hAnsi="Times New Roman" w:cs="Times New Roman"/>
          <w:sz w:val="24"/>
          <w:szCs w:val="24"/>
          <w:lang w:val="en-ZA"/>
        </w:rPr>
        <w:t xml:space="preserve">the court </w:t>
      </w:r>
      <w:r w:rsidR="00DB6BA4" w:rsidRPr="00057527">
        <w:rPr>
          <w:rFonts w:ascii="Times New Roman" w:eastAsia="Calibri" w:hAnsi="Times New Roman" w:cs="Times New Roman"/>
          <w:sz w:val="24"/>
          <w:szCs w:val="24"/>
          <w:lang w:val="en-ZA"/>
        </w:rPr>
        <w:t xml:space="preserve">and that the relief sought was incompetent. </w:t>
      </w:r>
      <w:r w:rsidR="00164DA1">
        <w:rPr>
          <w:rFonts w:ascii="Times New Roman" w:eastAsia="Calibri" w:hAnsi="Times New Roman" w:cs="Times New Roman"/>
          <w:sz w:val="24"/>
          <w:szCs w:val="24"/>
          <w:lang w:val="en-ZA"/>
        </w:rPr>
        <w:t xml:space="preserve">To these </w:t>
      </w:r>
      <w:r w:rsidR="006166B5" w:rsidRPr="00057527">
        <w:rPr>
          <w:rFonts w:ascii="Times New Roman" w:eastAsia="Calibri" w:hAnsi="Times New Roman" w:cs="Times New Roman"/>
          <w:sz w:val="24"/>
          <w:szCs w:val="24"/>
          <w:lang w:val="en-ZA"/>
        </w:rPr>
        <w:t xml:space="preserve">I </w:t>
      </w:r>
      <w:r w:rsidR="00164DA1">
        <w:rPr>
          <w:rFonts w:ascii="Times New Roman" w:eastAsia="Calibri" w:hAnsi="Times New Roman" w:cs="Times New Roman"/>
          <w:sz w:val="24"/>
          <w:szCs w:val="24"/>
          <w:lang w:val="en-ZA"/>
        </w:rPr>
        <w:t xml:space="preserve">shall </w:t>
      </w:r>
      <w:r w:rsidR="006166B5" w:rsidRPr="00057527">
        <w:rPr>
          <w:rFonts w:ascii="Times New Roman" w:eastAsia="Calibri" w:hAnsi="Times New Roman" w:cs="Times New Roman"/>
          <w:sz w:val="24"/>
          <w:szCs w:val="24"/>
          <w:lang w:val="en-ZA"/>
        </w:rPr>
        <w:t>now turn</w:t>
      </w:r>
      <w:r w:rsidR="00B50388" w:rsidRPr="00057527">
        <w:rPr>
          <w:rFonts w:ascii="Times New Roman" w:eastAsia="Calibri" w:hAnsi="Times New Roman" w:cs="Times New Roman"/>
          <w:sz w:val="24"/>
          <w:szCs w:val="24"/>
          <w:lang w:val="en-ZA"/>
        </w:rPr>
        <w:t>.</w:t>
      </w:r>
    </w:p>
    <w:p w14:paraId="661733B6" w14:textId="2327B259" w:rsidR="00B50388" w:rsidRPr="00057527" w:rsidRDefault="00B50388" w:rsidP="00B50388">
      <w:pPr>
        <w:spacing w:after="0" w:line="360" w:lineRule="auto"/>
        <w:jc w:val="both"/>
        <w:rPr>
          <w:rFonts w:ascii="Times New Roman" w:eastAsia="Calibri" w:hAnsi="Times New Roman" w:cs="Times New Roman"/>
          <w:b/>
          <w:i/>
          <w:sz w:val="24"/>
          <w:szCs w:val="24"/>
          <w:lang w:val="en-ZA"/>
        </w:rPr>
      </w:pPr>
      <w:r w:rsidRPr="00057527">
        <w:rPr>
          <w:rFonts w:ascii="Times New Roman" w:eastAsia="Calibri" w:hAnsi="Times New Roman" w:cs="Times New Roman"/>
          <w:b/>
          <w:i/>
          <w:sz w:val="24"/>
          <w:szCs w:val="24"/>
          <w:lang w:val="en-ZA"/>
        </w:rPr>
        <w:t xml:space="preserve">Res judicata </w:t>
      </w:r>
    </w:p>
    <w:p w14:paraId="44F1C305" w14:textId="64745FA9" w:rsidR="00B50388" w:rsidRPr="00FC70E4" w:rsidRDefault="00B50388" w:rsidP="00B50388">
      <w:pPr>
        <w:spacing w:after="0" w:line="360" w:lineRule="auto"/>
        <w:jc w:val="both"/>
        <w:rPr>
          <w:rFonts w:ascii="Times New Roman" w:eastAsia="Calibri" w:hAnsi="Times New Roman" w:cs="Times New Roman"/>
          <w:smallCaps/>
          <w:sz w:val="24"/>
          <w:szCs w:val="24"/>
          <w:lang w:val="en-ZA"/>
        </w:rPr>
      </w:pPr>
      <w:r w:rsidRPr="00057527">
        <w:rPr>
          <w:rFonts w:ascii="Times New Roman" w:eastAsia="Calibri" w:hAnsi="Times New Roman" w:cs="Times New Roman"/>
          <w:sz w:val="24"/>
          <w:szCs w:val="24"/>
          <w:lang w:val="en-ZA"/>
        </w:rPr>
        <w:tab/>
        <w:t xml:space="preserve">Ms </w:t>
      </w:r>
      <w:r w:rsidRPr="00057527">
        <w:rPr>
          <w:rFonts w:ascii="Times New Roman" w:eastAsia="Calibri" w:hAnsi="Times New Roman" w:cs="Times New Roman"/>
          <w:i/>
          <w:sz w:val="24"/>
          <w:szCs w:val="24"/>
          <w:lang w:val="en-ZA"/>
        </w:rPr>
        <w:t xml:space="preserve">Mabwe </w:t>
      </w:r>
      <w:r w:rsidRPr="00057527">
        <w:rPr>
          <w:rFonts w:ascii="Times New Roman" w:eastAsia="Calibri" w:hAnsi="Times New Roman" w:cs="Times New Roman"/>
          <w:sz w:val="24"/>
          <w:szCs w:val="24"/>
          <w:lang w:val="en-ZA"/>
        </w:rPr>
        <w:t xml:space="preserve">submitted that this court had already granted a final and definitive </w:t>
      </w:r>
      <w:r w:rsidR="00A83AB9" w:rsidRPr="00057527">
        <w:rPr>
          <w:rFonts w:ascii="Times New Roman" w:eastAsia="Calibri" w:hAnsi="Times New Roman" w:cs="Times New Roman"/>
          <w:sz w:val="24"/>
          <w:szCs w:val="24"/>
          <w:lang w:val="en-ZA"/>
        </w:rPr>
        <w:t xml:space="preserve">order </w:t>
      </w:r>
      <w:r w:rsidRPr="00057527">
        <w:rPr>
          <w:rFonts w:ascii="Times New Roman" w:eastAsia="Calibri" w:hAnsi="Times New Roman" w:cs="Times New Roman"/>
          <w:sz w:val="24"/>
          <w:szCs w:val="24"/>
          <w:lang w:val="en-ZA"/>
        </w:rPr>
        <w:t xml:space="preserve">in the matter and it was therefore </w:t>
      </w:r>
      <w:r w:rsidR="00A83AB9" w:rsidRPr="00057527">
        <w:rPr>
          <w:rFonts w:ascii="Times New Roman" w:eastAsia="Calibri" w:hAnsi="Times New Roman" w:cs="Times New Roman"/>
          <w:sz w:val="24"/>
          <w:szCs w:val="24"/>
          <w:lang w:val="en-ZA"/>
        </w:rPr>
        <w:t>un</w:t>
      </w:r>
      <w:r w:rsidRPr="00057527">
        <w:rPr>
          <w:rFonts w:ascii="Times New Roman" w:eastAsia="Calibri" w:hAnsi="Times New Roman" w:cs="Times New Roman"/>
          <w:sz w:val="24"/>
          <w:szCs w:val="24"/>
          <w:lang w:val="en-ZA"/>
        </w:rPr>
        <w:t xml:space="preserve">necessary to further plough on ground that had already been tilled. </w:t>
      </w:r>
      <w:r w:rsidRPr="00057527">
        <w:rPr>
          <w:rFonts w:ascii="Times New Roman" w:eastAsia="Calibri" w:hAnsi="Times New Roman" w:cs="Times New Roman"/>
          <w:sz w:val="24"/>
          <w:szCs w:val="24"/>
          <w:lang w:val="en-ZA"/>
        </w:rPr>
        <w:lastRenderedPageBreak/>
        <w:t xml:space="preserve">Paragraph 1.2 of the draft order </w:t>
      </w:r>
      <w:r w:rsidR="005B45A9">
        <w:rPr>
          <w:rFonts w:ascii="Times New Roman" w:eastAsia="Calibri" w:hAnsi="Times New Roman" w:cs="Times New Roman"/>
          <w:sz w:val="24"/>
          <w:szCs w:val="24"/>
          <w:lang w:val="en-ZA"/>
        </w:rPr>
        <w:t>herein was a recast of para</w:t>
      </w:r>
      <w:r w:rsidRPr="00057527">
        <w:rPr>
          <w:rFonts w:ascii="Times New Roman" w:eastAsia="Calibri" w:hAnsi="Times New Roman" w:cs="Times New Roman"/>
          <w:sz w:val="24"/>
          <w:szCs w:val="24"/>
          <w:lang w:val="en-ZA"/>
        </w:rPr>
        <w:t xml:space="preserve"> (a) of the order granted by </w:t>
      </w:r>
      <w:r w:rsidR="00E52E81" w:rsidRPr="00E52E81">
        <w:rPr>
          <w:rFonts w:ascii="Times New Roman" w:eastAsia="Calibri" w:hAnsi="Times New Roman" w:cs="Times New Roman"/>
          <w:smallCaps/>
          <w:sz w:val="24"/>
          <w:szCs w:val="24"/>
          <w:lang w:val="en-ZA"/>
        </w:rPr>
        <w:t>Muremba</w:t>
      </w:r>
      <w:r w:rsidR="00FC70E4">
        <w:rPr>
          <w:rFonts w:ascii="Times New Roman" w:eastAsia="Calibri" w:hAnsi="Times New Roman" w:cs="Times New Roman"/>
          <w:smallCaps/>
          <w:sz w:val="24"/>
          <w:szCs w:val="24"/>
          <w:lang w:val="en-ZA"/>
        </w:rPr>
        <w:t> </w:t>
      </w:r>
      <w:r w:rsidR="00E52E81" w:rsidRPr="00E52E81">
        <w:rPr>
          <w:rFonts w:ascii="Times New Roman" w:eastAsia="Calibri" w:hAnsi="Times New Roman" w:cs="Times New Roman"/>
          <w:smallCaps/>
          <w:sz w:val="24"/>
          <w:szCs w:val="24"/>
          <w:lang w:val="en-ZA"/>
        </w:rPr>
        <w:t>J</w:t>
      </w:r>
      <w:r w:rsidRPr="00057527">
        <w:rPr>
          <w:rFonts w:ascii="Times New Roman" w:eastAsia="Calibri" w:hAnsi="Times New Roman" w:cs="Times New Roman"/>
          <w:sz w:val="24"/>
          <w:szCs w:val="24"/>
          <w:lang w:val="en-ZA"/>
        </w:rPr>
        <w:t xml:space="preserve"> in HC 12276/16. There was an extant cause order which disposed of the question of the acquisition of the property. </w:t>
      </w:r>
    </w:p>
    <w:p w14:paraId="7765AAD2" w14:textId="2C9D149C" w:rsidR="00473B3F" w:rsidRPr="00057527" w:rsidRDefault="00473B3F" w:rsidP="00B50388">
      <w:pPr>
        <w:spacing w:after="0" w:line="360" w:lineRule="auto"/>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ab/>
        <w:t xml:space="preserve">In his response, Mr </w:t>
      </w:r>
      <w:r w:rsidRPr="00057527">
        <w:rPr>
          <w:rFonts w:ascii="Times New Roman" w:eastAsia="Calibri" w:hAnsi="Times New Roman" w:cs="Times New Roman"/>
          <w:i/>
          <w:sz w:val="24"/>
          <w:szCs w:val="24"/>
          <w:lang w:val="en-ZA"/>
        </w:rPr>
        <w:t>Ochieng</w:t>
      </w:r>
      <w:r w:rsidRPr="00057527">
        <w:rPr>
          <w:rFonts w:ascii="Times New Roman" w:eastAsia="Calibri" w:hAnsi="Times New Roman" w:cs="Times New Roman"/>
          <w:sz w:val="24"/>
          <w:szCs w:val="24"/>
          <w:lang w:val="en-ZA"/>
        </w:rPr>
        <w:t xml:space="preserve"> for the applicant submitted that the </w:t>
      </w:r>
      <w:r w:rsidR="00164DA1">
        <w:rPr>
          <w:rFonts w:ascii="Times New Roman" w:eastAsia="Calibri" w:hAnsi="Times New Roman" w:cs="Times New Roman"/>
          <w:sz w:val="24"/>
          <w:szCs w:val="24"/>
          <w:lang w:val="en-ZA"/>
        </w:rPr>
        <w:t xml:space="preserve">order </w:t>
      </w:r>
      <w:r w:rsidRPr="00057527">
        <w:rPr>
          <w:rFonts w:ascii="Times New Roman" w:eastAsia="Calibri" w:hAnsi="Times New Roman" w:cs="Times New Roman"/>
          <w:sz w:val="24"/>
          <w:szCs w:val="24"/>
          <w:lang w:val="en-ZA"/>
        </w:rPr>
        <w:t xml:space="preserve">in HC 12276/16 merely set aside the acquisition of the property. </w:t>
      </w:r>
      <w:r w:rsidR="006773EC" w:rsidRPr="00057527">
        <w:rPr>
          <w:rFonts w:ascii="Times New Roman" w:eastAsia="Calibri" w:hAnsi="Times New Roman" w:cs="Times New Roman"/>
          <w:sz w:val="24"/>
          <w:szCs w:val="24"/>
          <w:lang w:val="en-ZA"/>
        </w:rPr>
        <w:t xml:space="preserve">What was sought </w:t>
      </w:r>
      <w:r w:rsidR="006773EC" w:rsidRPr="00E52E81">
        <w:rPr>
          <w:rFonts w:ascii="Times New Roman" w:eastAsia="Calibri" w:hAnsi="Times New Roman" w:cs="Times New Roman"/>
          <w:i/>
          <w:sz w:val="24"/>
          <w:szCs w:val="24"/>
          <w:lang w:val="en-ZA"/>
        </w:rPr>
        <w:t>in</w:t>
      </w:r>
      <w:r w:rsidR="006773EC" w:rsidRPr="00057527">
        <w:rPr>
          <w:rFonts w:ascii="Times New Roman" w:eastAsia="Calibri" w:hAnsi="Times New Roman" w:cs="Times New Roman"/>
          <w:sz w:val="24"/>
          <w:szCs w:val="24"/>
          <w:lang w:val="en-ZA"/>
        </w:rPr>
        <w:t xml:space="preserve"> </w:t>
      </w:r>
      <w:r w:rsidR="006773EC" w:rsidRPr="00057527">
        <w:rPr>
          <w:rFonts w:ascii="Times New Roman" w:eastAsia="Calibri" w:hAnsi="Times New Roman" w:cs="Times New Roman"/>
          <w:i/>
          <w:sz w:val="24"/>
          <w:szCs w:val="24"/>
          <w:lang w:val="en-ZA"/>
        </w:rPr>
        <w:t xml:space="preserve">casu </w:t>
      </w:r>
      <w:r w:rsidR="006773EC" w:rsidRPr="00057527">
        <w:rPr>
          <w:rFonts w:ascii="Times New Roman" w:eastAsia="Calibri" w:hAnsi="Times New Roman" w:cs="Times New Roman"/>
          <w:sz w:val="24"/>
          <w:szCs w:val="24"/>
          <w:lang w:val="en-ZA"/>
        </w:rPr>
        <w:t xml:space="preserve">was a </w:t>
      </w:r>
      <w:r w:rsidR="006773EC" w:rsidRPr="00057527">
        <w:rPr>
          <w:rFonts w:ascii="Times New Roman" w:eastAsia="Calibri" w:hAnsi="Times New Roman" w:cs="Times New Roman"/>
          <w:i/>
          <w:sz w:val="24"/>
          <w:szCs w:val="24"/>
          <w:lang w:val="en-ZA"/>
        </w:rPr>
        <w:t>declaratur</w:t>
      </w:r>
      <w:r w:rsidR="006773EC" w:rsidRPr="00057527">
        <w:rPr>
          <w:rFonts w:ascii="Times New Roman" w:eastAsia="Calibri" w:hAnsi="Times New Roman" w:cs="Times New Roman"/>
          <w:sz w:val="24"/>
          <w:szCs w:val="24"/>
          <w:lang w:val="en-ZA"/>
        </w:rPr>
        <w:t xml:space="preserve"> as regards the very power to acquire the land. The applicant’s argument was that any purported acquisition was invalid. While the applicant was aware of the 2012 acquisition, the basis of seeking the setting aside of that acquisition remained the same. The first respondent had effected a second acquisition. The relief sought therefore </w:t>
      </w:r>
      <w:r w:rsidR="007A4382" w:rsidRPr="00057527">
        <w:rPr>
          <w:rFonts w:ascii="Times New Roman" w:eastAsia="Calibri" w:hAnsi="Times New Roman" w:cs="Times New Roman"/>
          <w:sz w:val="24"/>
          <w:szCs w:val="24"/>
          <w:lang w:val="en-ZA"/>
        </w:rPr>
        <w:t xml:space="preserve">was also concerned with </w:t>
      </w:r>
      <w:r w:rsidR="006773EC" w:rsidRPr="00057527">
        <w:rPr>
          <w:rFonts w:ascii="Times New Roman" w:eastAsia="Calibri" w:hAnsi="Times New Roman" w:cs="Times New Roman"/>
          <w:sz w:val="24"/>
          <w:szCs w:val="24"/>
          <w:lang w:val="en-ZA"/>
        </w:rPr>
        <w:t xml:space="preserve">any future acquisition. </w:t>
      </w:r>
    </w:p>
    <w:p w14:paraId="17FF3DBF" w14:textId="212A0D5E" w:rsidR="00EF193B" w:rsidRPr="00057527" w:rsidRDefault="00EF193B" w:rsidP="00B50388">
      <w:pPr>
        <w:spacing w:after="0" w:line="360" w:lineRule="auto"/>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ab/>
        <w:t xml:space="preserve">In her brief reply Ms </w:t>
      </w:r>
      <w:r w:rsidRPr="00057527">
        <w:rPr>
          <w:rFonts w:ascii="Times New Roman" w:eastAsia="Calibri" w:hAnsi="Times New Roman" w:cs="Times New Roman"/>
          <w:i/>
          <w:sz w:val="24"/>
          <w:szCs w:val="24"/>
          <w:lang w:val="en-ZA"/>
        </w:rPr>
        <w:t xml:space="preserve">Mabwe </w:t>
      </w:r>
      <w:r w:rsidR="00633F5B" w:rsidRPr="00057527">
        <w:rPr>
          <w:rFonts w:ascii="Times New Roman" w:eastAsia="Calibri" w:hAnsi="Times New Roman" w:cs="Times New Roman"/>
          <w:sz w:val="24"/>
          <w:szCs w:val="24"/>
          <w:lang w:val="en-ZA"/>
        </w:rPr>
        <w:t xml:space="preserve">maintained her position that the relief sought in the two matters was essentially similar. The current application did not </w:t>
      </w:r>
      <w:r w:rsidR="007A4382" w:rsidRPr="00057527">
        <w:rPr>
          <w:rFonts w:ascii="Times New Roman" w:eastAsia="Calibri" w:hAnsi="Times New Roman" w:cs="Times New Roman"/>
          <w:sz w:val="24"/>
          <w:szCs w:val="24"/>
          <w:lang w:val="en-ZA"/>
        </w:rPr>
        <w:t xml:space="preserve">make </w:t>
      </w:r>
      <w:r w:rsidR="00633F5B" w:rsidRPr="00057527">
        <w:rPr>
          <w:rFonts w:ascii="Times New Roman" w:eastAsia="Calibri" w:hAnsi="Times New Roman" w:cs="Times New Roman"/>
          <w:sz w:val="24"/>
          <w:szCs w:val="24"/>
          <w:lang w:val="en-ZA"/>
        </w:rPr>
        <w:t xml:space="preserve">an enquiry into whether there was compliance by the first respondent. It sought to reverse the acquisition of the property. </w:t>
      </w:r>
      <w:r w:rsidR="006D684C" w:rsidRPr="00057527">
        <w:rPr>
          <w:rFonts w:ascii="Times New Roman" w:eastAsia="Calibri" w:hAnsi="Times New Roman" w:cs="Times New Roman"/>
          <w:sz w:val="24"/>
          <w:szCs w:val="24"/>
          <w:lang w:val="en-ZA"/>
        </w:rPr>
        <w:t xml:space="preserve">An acquisition could not be challenged or set aside by the court. Reference was made to the case of </w:t>
      </w:r>
      <w:r w:rsidR="006D684C" w:rsidRPr="00057527">
        <w:rPr>
          <w:rFonts w:ascii="Times New Roman" w:eastAsia="Calibri" w:hAnsi="Times New Roman" w:cs="Times New Roman"/>
          <w:i/>
          <w:sz w:val="24"/>
          <w:szCs w:val="24"/>
          <w:lang w:val="en-ZA"/>
        </w:rPr>
        <w:t xml:space="preserve">Mangenje </w:t>
      </w:r>
      <w:r w:rsidR="006D684C" w:rsidRPr="00E52E81">
        <w:rPr>
          <w:rFonts w:ascii="Times New Roman" w:eastAsia="Calibri" w:hAnsi="Times New Roman" w:cs="Times New Roman"/>
          <w:sz w:val="24"/>
          <w:szCs w:val="24"/>
          <w:lang w:val="en-ZA"/>
        </w:rPr>
        <w:t>v</w:t>
      </w:r>
      <w:r w:rsidR="006D684C" w:rsidRPr="00057527">
        <w:rPr>
          <w:rFonts w:ascii="Times New Roman" w:eastAsia="Calibri" w:hAnsi="Times New Roman" w:cs="Times New Roman"/>
          <w:i/>
          <w:sz w:val="24"/>
          <w:szCs w:val="24"/>
          <w:lang w:val="en-ZA"/>
        </w:rPr>
        <w:t xml:space="preserve"> TBIC Investments (Private) Limited &amp; Ors</w:t>
      </w:r>
      <w:r w:rsidR="006D684C" w:rsidRPr="00057527">
        <w:rPr>
          <w:rStyle w:val="FootnoteReference"/>
          <w:rFonts w:ascii="Times New Roman" w:eastAsia="Calibri" w:hAnsi="Times New Roman" w:cs="Times New Roman"/>
          <w:i/>
          <w:sz w:val="24"/>
          <w:szCs w:val="24"/>
          <w:lang w:val="en-ZA"/>
        </w:rPr>
        <w:footnoteReference w:id="4"/>
      </w:r>
      <w:r w:rsidR="00564FE5" w:rsidRPr="00057527">
        <w:rPr>
          <w:rFonts w:ascii="Times New Roman" w:eastAsia="Calibri" w:hAnsi="Times New Roman" w:cs="Times New Roman"/>
          <w:sz w:val="24"/>
          <w:szCs w:val="24"/>
          <w:lang w:val="en-ZA"/>
        </w:rPr>
        <w:t xml:space="preserve">. </w:t>
      </w:r>
      <w:r w:rsidR="00137E12" w:rsidRPr="00057527">
        <w:rPr>
          <w:rFonts w:ascii="Times New Roman" w:eastAsia="Calibri" w:hAnsi="Times New Roman" w:cs="Times New Roman"/>
          <w:sz w:val="24"/>
          <w:szCs w:val="24"/>
          <w:lang w:val="en-ZA"/>
        </w:rPr>
        <w:t xml:space="preserve">Ms </w:t>
      </w:r>
      <w:r w:rsidR="00137E12" w:rsidRPr="00057527">
        <w:rPr>
          <w:rFonts w:ascii="Times New Roman" w:eastAsia="Calibri" w:hAnsi="Times New Roman" w:cs="Times New Roman"/>
          <w:i/>
          <w:sz w:val="24"/>
          <w:szCs w:val="24"/>
          <w:lang w:val="en-ZA"/>
        </w:rPr>
        <w:t>Mabwe</w:t>
      </w:r>
      <w:r w:rsidR="00137E12" w:rsidRPr="00057527">
        <w:rPr>
          <w:rFonts w:ascii="Times New Roman" w:eastAsia="Calibri" w:hAnsi="Times New Roman" w:cs="Times New Roman"/>
          <w:sz w:val="24"/>
          <w:szCs w:val="24"/>
          <w:lang w:val="en-ZA"/>
        </w:rPr>
        <w:t xml:space="preserve"> further submitted that </w:t>
      </w:r>
      <w:r w:rsidR="007A4382" w:rsidRPr="00057527">
        <w:rPr>
          <w:rFonts w:ascii="Times New Roman" w:eastAsia="Calibri" w:hAnsi="Times New Roman" w:cs="Times New Roman"/>
          <w:sz w:val="24"/>
          <w:szCs w:val="24"/>
          <w:lang w:val="en-ZA"/>
        </w:rPr>
        <w:t xml:space="preserve">although </w:t>
      </w:r>
      <w:r w:rsidR="00137E12" w:rsidRPr="00057527">
        <w:rPr>
          <w:rFonts w:ascii="Times New Roman" w:eastAsia="Calibri" w:hAnsi="Times New Roman" w:cs="Times New Roman"/>
          <w:sz w:val="24"/>
          <w:szCs w:val="24"/>
          <w:lang w:val="en-ZA"/>
        </w:rPr>
        <w:t>the relief sought herein was intended to forestall any future acquisition</w:t>
      </w:r>
      <w:r w:rsidR="007A4382" w:rsidRPr="00057527">
        <w:rPr>
          <w:rFonts w:ascii="Times New Roman" w:eastAsia="Calibri" w:hAnsi="Times New Roman" w:cs="Times New Roman"/>
          <w:sz w:val="24"/>
          <w:szCs w:val="24"/>
          <w:lang w:val="en-ZA"/>
        </w:rPr>
        <w:t xml:space="preserve">, </w:t>
      </w:r>
      <w:r w:rsidR="00137E12" w:rsidRPr="00057527">
        <w:rPr>
          <w:rFonts w:ascii="Times New Roman" w:eastAsia="Calibri" w:hAnsi="Times New Roman" w:cs="Times New Roman"/>
          <w:sz w:val="24"/>
          <w:szCs w:val="24"/>
          <w:lang w:val="en-ZA"/>
        </w:rPr>
        <w:t xml:space="preserve">nothing in the founding affidavit made reference to </w:t>
      </w:r>
      <w:r w:rsidR="00D24484" w:rsidRPr="00057527">
        <w:rPr>
          <w:rFonts w:ascii="Times New Roman" w:eastAsia="Calibri" w:hAnsi="Times New Roman" w:cs="Times New Roman"/>
          <w:sz w:val="24"/>
          <w:szCs w:val="24"/>
          <w:lang w:val="en-ZA"/>
        </w:rPr>
        <w:t xml:space="preserve">any </w:t>
      </w:r>
      <w:r w:rsidR="00164DA1">
        <w:rPr>
          <w:rFonts w:ascii="Times New Roman" w:eastAsia="Calibri" w:hAnsi="Times New Roman" w:cs="Times New Roman"/>
          <w:sz w:val="24"/>
          <w:szCs w:val="24"/>
          <w:lang w:val="en-ZA"/>
        </w:rPr>
        <w:t xml:space="preserve">such </w:t>
      </w:r>
      <w:r w:rsidR="00137E12" w:rsidRPr="00057527">
        <w:rPr>
          <w:rFonts w:ascii="Times New Roman" w:eastAsia="Calibri" w:hAnsi="Times New Roman" w:cs="Times New Roman"/>
          <w:sz w:val="24"/>
          <w:szCs w:val="24"/>
          <w:lang w:val="en-ZA"/>
        </w:rPr>
        <w:t xml:space="preserve">future threat. </w:t>
      </w:r>
      <w:r w:rsidR="00164DA1">
        <w:rPr>
          <w:rFonts w:ascii="Times New Roman" w:eastAsia="Calibri" w:hAnsi="Times New Roman" w:cs="Times New Roman"/>
          <w:sz w:val="24"/>
          <w:szCs w:val="24"/>
          <w:lang w:val="en-ZA"/>
        </w:rPr>
        <w:t xml:space="preserve">The applicant could not claim relief that was not pleaded in his own case. </w:t>
      </w:r>
    </w:p>
    <w:p w14:paraId="18D604D9" w14:textId="748B8100" w:rsidR="00B6439C" w:rsidRPr="00057527" w:rsidRDefault="00D24484" w:rsidP="00B6439C">
      <w:pPr>
        <w:spacing w:after="0" w:line="360" w:lineRule="auto"/>
        <w:jc w:val="both"/>
        <w:rPr>
          <w:rFonts w:ascii="Times New Roman" w:hAnsi="Times New Roman"/>
          <w:sz w:val="28"/>
          <w:szCs w:val="28"/>
        </w:rPr>
      </w:pPr>
      <w:r w:rsidRPr="00057527">
        <w:rPr>
          <w:rFonts w:ascii="Times New Roman" w:eastAsia="Calibri" w:hAnsi="Times New Roman" w:cs="Times New Roman"/>
          <w:sz w:val="24"/>
          <w:szCs w:val="24"/>
          <w:lang w:val="en-ZA"/>
        </w:rPr>
        <w:tab/>
        <w:t xml:space="preserve">The </w:t>
      </w:r>
      <w:r w:rsidRPr="00057527">
        <w:rPr>
          <w:rFonts w:ascii="Times New Roman" w:eastAsia="Calibri" w:hAnsi="Times New Roman" w:cs="Times New Roman"/>
          <w:i/>
          <w:sz w:val="24"/>
          <w:szCs w:val="24"/>
          <w:lang w:val="en-ZA"/>
        </w:rPr>
        <w:t>res judicata</w:t>
      </w:r>
      <w:r w:rsidRPr="00057527">
        <w:rPr>
          <w:rFonts w:ascii="Times New Roman" w:eastAsia="Calibri" w:hAnsi="Times New Roman" w:cs="Times New Roman"/>
          <w:sz w:val="24"/>
          <w:szCs w:val="24"/>
          <w:lang w:val="en-ZA"/>
        </w:rPr>
        <w:t xml:space="preserve"> rule has been traversed </w:t>
      </w:r>
      <w:r w:rsidR="00453A98" w:rsidRPr="00057527">
        <w:rPr>
          <w:rFonts w:ascii="Times New Roman" w:eastAsia="Calibri" w:hAnsi="Times New Roman" w:cs="Times New Roman"/>
          <w:sz w:val="24"/>
          <w:szCs w:val="24"/>
          <w:lang w:val="en-ZA"/>
        </w:rPr>
        <w:t xml:space="preserve">in innumerable decisions of this jurisdiction and beyond. </w:t>
      </w:r>
      <w:r w:rsidR="00B6439C" w:rsidRPr="00057527">
        <w:rPr>
          <w:rFonts w:ascii="Times New Roman" w:eastAsia="Calibri" w:hAnsi="Times New Roman" w:cs="Times New Roman"/>
          <w:sz w:val="24"/>
          <w:szCs w:val="24"/>
          <w:lang w:val="en-ZA"/>
        </w:rPr>
        <w:t xml:space="preserve">In the case of </w:t>
      </w:r>
      <w:r w:rsidR="00B6439C" w:rsidRPr="00E52E81">
        <w:rPr>
          <w:rFonts w:ascii="Times New Roman" w:hAnsi="Times New Roman"/>
          <w:i/>
          <w:sz w:val="24"/>
          <w:szCs w:val="24"/>
        </w:rPr>
        <w:t xml:space="preserve">Evins </w:t>
      </w:r>
      <w:r w:rsidR="00B6439C" w:rsidRPr="00E52E81">
        <w:rPr>
          <w:rFonts w:ascii="Times New Roman" w:hAnsi="Times New Roman"/>
          <w:sz w:val="24"/>
          <w:szCs w:val="24"/>
        </w:rPr>
        <w:t>v</w:t>
      </w:r>
      <w:r w:rsidR="00B6439C" w:rsidRPr="00E52E81">
        <w:rPr>
          <w:rFonts w:ascii="Times New Roman" w:hAnsi="Times New Roman"/>
          <w:i/>
          <w:sz w:val="24"/>
          <w:szCs w:val="24"/>
        </w:rPr>
        <w:t xml:space="preserve"> Shield Insurance Co Ltd</w:t>
      </w:r>
      <w:r w:rsidR="00B6439C" w:rsidRPr="00E52E81">
        <w:rPr>
          <w:rStyle w:val="FootnoteReference"/>
          <w:rFonts w:ascii="Times New Roman" w:hAnsi="Times New Roman"/>
          <w:i/>
          <w:sz w:val="24"/>
          <w:szCs w:val="24"/>
        </w:rPr>
        <w:footnoteReference w:id="5"/>
      </w:r>
      <w:r w:rsidR="007A4382" w:rsidRPr="00E52E81">
        <w:rPr>
          <w:rFonts w:ascii="Times New Roman" w:hAnsi="Times New Roman"/>
          <w:i/>
          <w:sz w:val="24"/>
          <w:szCs w:val="24"/>
        </w:rPr>
        <w:t xml:space="preserve">, </w:t>
      </w:r>
      <w:r w:rsidR="007A4382" w:rsidRPr="00E52E81">
        <w:rPr>
          <w:rFonts w:ascii="Times New Roman" w:hAnsi="Times New Roman"/>
          <w:sz w:val="24"/>
          <w:szCs w:val="24"/>
        </w:rPr>
        <w:t>the court said:</w:t>
      </w:r>
    </w:p>
    <w:p w14:paraId="6584A616" w14:textId="66B16830" w:rsidR="00B6439C" w:rsidRPr="00057527" w:rsidRDefault="00B6439C" w:rsidP="007A4382">
      <w:pPr>
        <w:spacing w:line="240" w:lineRule="auto"/>
        <w:ind w:left="709" w:right="4"/>
        <w:jc w:val="both"/>
        <w:rPr>
          <w:rFonts w:ascii="Times New Roman" w:hAnsi="Times New Roman"/>
        </w:rPr>
      </w:pPr>
      <w:r w:rsidRPr="00057527">
        <w:rPr>
          <w:rFonts w:ascii="Times New Roman" w:hAnsi="Times New Roman"/>
          <w:sz w:val="28"/>
          <w:szCs w:val="28"/>
        </w:rPr>
        <w:tab/>
      </w:r>
      <w:r w:rsidRPr="00057527">
        <w:rPr>
          <w:rFonts w:ascii="Times New Roman" w:hAnsi="Times New Roman"/>
        </w:rPr>
        <w:t xml:space="preserve">“Closely allied to the “once and for all” rule is the principle of </w:t>
      </w:r>
      <w:r w:rsidRPr="00057527">
        <w:rPr>
          <w:rFonts w:ascii="Times New Roman" w:hAnsi="Times New Roman"/>
          <w:i/>
        </w:rPr>
        <w:t>res judicata</w:t>
      </w:r>
      <w:r w:rsidRPr="00057527">
        <w:rPr>
          <w:rFonts w:ascii="Times New Roman" w:hAnsi="Times New Roman"/>
        </w:rPr>
        <w:t xml:space="preserve"> which establishes that, where a final judgment has been given in a matter by a competent court, then subsequent litigation between same parties, or their privies, in regard to the same subject-matter and based upon the same cause of action is not permissible and, if attempted by one of them, can be met by the </w:t>
      </w:r>
      <w:r w:rsidRPr="00057527">
        <w:rPr>
          <w:rFonts w:ascii="Times New Roman" w:hAnsi="Times New Roman"/>
          <w:i/>
        </w:rPr>
        <w:t>exceptio rei judicatae vel litis finitae</w:t>
      </w:r>
      <w:r w:rsidRPr="00057527">
        <w:rPr>
          <w:rFonts w:ascii="Times New Roman" w:hAnsi="Times New Roman"/>
        </w:rPr>
        <w:t>. The object of this principle is to prevent the repetition of lawsuits, the harassment of a defendant by a multiplicity of actions and the possibility of conflicting decisions (Caney</w:t>
      </w:r>
      <w:r w:rsidRPr="00057527">
        <w:rPr>
          <w:rFonts w:ascii="Times New Roman" w:hAnsi="Times New Roman"/>
          <w:i/>
        </w:rPr>
        <w:t xml:space="preserve"> Law of Novation </w:t>
      </w:r>
      <w:r w:rsidRPr="00057527">
        <w:rPr>
          <w:rFonts w:ascii="Times New Roman" w:hAnsi="Times New Roman"/>
        </w:rPr>
        <w:t>2</w:t>
      </w:r>
      <w:r w:rsidRPr="00057527">
        <w:rPr>
          <w:rFonts w:ascii="Times New Roman" w:hAnsi="Times New Roman"/>
          <w:vertAlign w:val="superscript"/>
        </w:rPr>
        <w:t xml:space="preserve">nd </w:t>
      </w:r>
      <w:r w:rsidRPr="00057527">
        <w:rPr>
          <w:rFonts w:ascii="Times New Roman" w:hAnsi="Times New Roman"/>
        </w:rPr>
        <w:t>ed at 70)…”</w:t>
      </w:r>
    </w:p>
    <w:p w14:paraId="331CC124" w14:textId="5C4CF801" w:rsidR="00D24484" w:rsidRPr="00057527" w:rsidRDefault="00B6439C" w:rsidP="00B50388">
      <w:pPr>
        <w:spacing w:after="0" w:line="360" w:lineRule="auto"/>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 xml:space="preserve">The requirements for the defence of </w:t>
      </w:r>
      <w:r w:rsidRPr="00057527">
        <w:rPr>
          <w:rFonts w:ascii="Times New Roman" w:eastAsia="Calibri" w:hAnsi="Times New Roman" w:cs="Times New Roman"/>
          <w:i/>
          <w:sz w:val="24"/>
          <w:szCs w:val="24"/>
          <w:lang w:val="en-ZA"/>
        </w:rPr>
        <w:t>res judicata</w:t>
      </w:r>
      <w:r w:rsidRPr="00057527">
        <w:rPr>
          <w:rFonts w:ascii="Times New Roman" w:eastAsia="Calibri" w:hAnsi="Times New Roman" w:cs="Times New Roman"/>
          <w:sz w:val="24"/>
          <w:szCs w:val="24"/>
          <w:lang w:val="en-ZA"/>
        </w:rPr>
        <w:t xml:space="preserve"> </w:t>
      </w:r>
      <w:r w:rsidR="008401BA" w:rsidRPr="00057527">
        <w:rPr>
          <w:rFonts w:ascii="Times New Roman" w:eastAsia="Calibri" w:hAnsi="Times New Roman" w:cs="Times New Roman"/>
          <w:sz w:val="24"/>
          <w:szCs w:val="24"/>
          <w:lang w:val="en-ZA"/>
        </w:rPr>
        <w:t xml:space="preserve">are </w:t>
      </w:r>
      <w:r w:rsidR="00365EE1" w:rsidRPr="00057527">
        <w:rPr>
          <w:rFonts w:ascii="Times New Roman" w:eastAsia="Calibri" w:hAnsi="Times New Roman" w:cs="Times New Roman"/>
          <w:sz w:val="24"/>
          <w:szCs w:val="24"/>
          <w:lang w:val="en-ZA"/>
        </w:rPr>
        <w:t xml:space="preserve">therefore </w:t>
      </w:r>
      <w:r w:rsidR="008401BA" w:rsidRPr="00057527">
        <w:rPr>
          <w:rFonts w:ascii="Times New Roman" w:eastAsia="Calibri" w:hAnsi="Times New Roman" w:cs="Times New Roman"/>
          <w:sz w:val="24"/>
          <w:szCs w:val="24"/>
          <w:lang w:val="en-ZA"/>
        </w:rPr>
        <w:t>that the prior action</w:t>
      </w:r>
      <w:r w:rsidR="00153F56" w:rsidRPr="00057527">
        <w:rPr>
          <w:rFonts w:ascii="Times New Roman" w:eastAsia="Calibri" w:hAnsi="Times New Roman" w:cs="Times New Roman"/>
          <w:sz w:val="24"/>
          <w:szCs w:val="24"/>
          <w:lang w:val="en-ZA"/>
        </w:rPr>
        <w:t>:</w:t>
      </w:r>
    </w:p>
    <w:p w14:paraId="3BEBAD15" w14:textId="77777777" w:rsidR="008401BA" w:rsidRPr="00057527" w:rsidRDefault="008401BA" w:rsidP="008401BA">
      <w:pPr>
        <w:pStyle w:val="ListParagraph"/>
        <w:numPr>
          <w:ilvl w:val="0"/>
          <w:numId w:val="29"/>
        </w:numPr>
        <w:spacing w:after="0" w:line="240" w:lineRule="auto"/>
        <w:ind w:left="993" w:hanging="284"/>
        <w:jc w:val="both"/>
        <w:rPr>
          <w:rFonts w:ascii="Times New Roman" w:hAnsi="Times New Roman"/>
        </w:rPr>
      </w:pPr>
      <w:r w:rsidRPr="00057527">
        <w:rPr>
          <w:rFonts w:ascii="Times New Roman" w:hAnsi="Times New Roman"/>
        </w:rPr>
        <w:t>must have been between the same parties or their privies;</w:t>
      </w:r>
    </w:p>
    <w:p w14:paraId="4BBF460B" w14:textId="77777777" w:rsidR="008401BA" w:rsidRPr="00057527" w:rsidRDefault="008401BA" w:rsidP="008401BA">
      <w:pPr>
        <w:pStyle w:val="ListParagraph"/>
        <w:numPr>
          <w:ilvl w:val="0"/>
          <w:numId w:val="29"/>
        </w:numPr>
        <w:spacing w:after="0" w:line="240" w:lineRule="auto"/>
        <w:ind w:left="993" w:hanging="284"/>
        <w:jc w:val="both"/>
        <w:rPr>
          <w:rFonts w:ascii="Times New Roman" w:hAnsi="Times New Roman"/>
        </w:rPr>
      </w:pPr>
      <w:r w:rsidRPr="00057527">
        <w:rPr>
          <w:rFonts w:ascii="Times New Roman" w:hAnsi="Times New Roman"/>
        </w:rPr>
        <w:t>must have concerned the same subject matter; and</w:t>
      </w:r>
    </w:p>
    <w:p w14:paraId="2F6453A3" w14:textId="0E36BC1B" w:rsidR="008401BA" w:rsidRPr="00057527" w:rsidRDefault="008401BA" w:rsidP="008401BA">
      <w:pPr>
        <w:pStyle w:val="ListParagraph"/>
        <w:numPr>
          <w:ilvl w:val="0"/>
          <w:numId w:val="29"/>
        </w:numPr>
        <w:spacing w:after="0" w:line="240" w:lineRule="auto"/>
        <w:ind w:left="993" w:hanging="284"/>
        <w:jc w:val="both"/>
        <w:rPr>
          <w:rFonts w:ascii="Times New Roman" w:hAnsi="Times New Roman"/>
        </w:rPr>
      </w:pPr>
      <w:r w:rsidRPr="00057527">
        <w:rPr>
          <w:rFonts w:ascii="Times New Roman" w:hAnsi="Times New Roman"/>
        </w:rPr>
        <w:t>must have been founded on the same cause of action.</w:t>
      </w:r>
      <w:r w:rsidR="00216257" w:rsidRPr="00057527">
        <w:rPr>
          <w:rStyle w:val="FootnoteReference"/>
          <w:rFonts w:ascii="Times New Roman" w:hAnsi="Times New Roman"/>
        </w:rPr>
        <w:footnoteReference w:id="6"/>
      </w:r>
    </w:p>
    <w:p w14:paraId="54C2C263" w14:textId="77777777" w:rsidR="000C37CC" w:rsidRPr="00057527" w:rsidRDefault="000C37CC" w:rsidP="000C37CC">
      <w:pPr>
        <w:pStyle w:val="ListParagraph"/>
        <w:spacing w:after="0" w:line="240" w:lineRule="auto"/>
        <w:ind w:left="993"/>
        <w:jc w:val="both"/>
        <w:rPr>
          <w:rFonts w:ascii="Times New Roman" w:hAnsi="Times New Roman"/>
        </w:rPr>
      </w:pPr>
    </w:p>
    <w:p w14:paraId="5EC7B9D0" w14:textId="594C186C" w:rsidR="00D214EC" w:rsidRPr="00057527" w:rsidRDefault="000C37CC" w:rsidP="00164DA1">
      <w:pPr>
        <w:spacing w:after="0" w:line="360" w:lineRule="auto"/>
        <w:ind w:firstLine="709"/>
        <w:jc w:val="both"/>
        <w:rPr>
          <w:rFonts w:ascii="Times New Roman" w:hAnsi="Times New Roman"/>
          <w:sz w:val="24"/>
          <w:szCs w:val="24"/>
        </w:rPr>
      </w:pPr>
      <w:r w:rsidRPr="00057527">
        <w:rPr>
          <w:rFonts w:ascii="Times New Roman" w:hAnsi="Times New Roman"/>
          <w:sz w:val="24"/>
          <w:szCs w:val="24"/>
        </w:rPr>
        <w:lastRenderedPageBreak/>
        <w:t xml:space="preserve">The object of the </w:t>
      </w:r>
      <w:r w:rsidR="00164DA1" w:rsidRPr="00164DA1">
        <w:rPr>
          <w:rFonts w:ascii="Times New Roman" w:hAnsi="Times New Roman"/>
          <w:i/>
          <w:sz w:val="24"/>
          <w:szCs w:val="24"/>
        </w:rPr>
        <w:t>res judicata</w:t>
      </w:r>
      <w:r w:rsidR="00164DA1">
        <w:rPr>
          <w:rFonts w:ascii="Times New Roman" w:hAnsi="Times New Roman"/>
          <w:sz w:val="24"/>
          <w:szCs w:val="24"/>
        </w:rPr>
        <w:t xml:space="preserve"> </w:t>
      </w:r>
      <w:r w:rsidRPr="00057527">
        <w:rPr>
          <w:rFonts w:ascii="Times New Roman" w:hAnsi="Times New Roman"/>
          <w:sz w:val="24"/>
          <w:szCs w:val="24"/>
        </w:rPr>
        <w:t xml:space="preserve">principle is to put a limit to needless litigation and to prevent the repetition of the same claims in diverse litigation. Such a scenario if not curbed through the </w:t>
      </w:r>
      <w:r w:rsidRPr="00057527">
        <w:rPr>
          <w:rFonts w:ascii="Times New Roman" w:hAnsi="Times New Roman"/>
          <w:i/>
          <w:sz w:val="24"/>
          <w:szCs w:val="24"/>
        </w:rPr>
        <w:t>res judicata</w:t>
      </w:r>
      <w:r w:rsidRPr="00057527">
        <w:rPr>
          <w:rFonts w:ascii="Times New Roman" w:hAnsi="Times New Roman"/>
          <w:sz w:val="24"/>
          <w:szCs w:val="24"/>
        </w:rPr>
        <w:t xml:space="preserve"> rule would result in conflicting and contradictory decisions by the same court. </w:t>
      </w:r>
      <w:r w:rsidR="007767CD" w:rsidRPr="00057527">
        <w:rPr>
          <w:rFonts w:ascii="Times New Roman" w:hAnsi="Times New Roman"/>
          <w:sz w:val="24"/>
          <w:szCs w:val="24"/>
        </w:rPr>
        <w:t xml:space="preserve">Unnecessary confusion in the management and disposal of </w:t>
      </w:r>
      <w:r w:rsidR="0056471E" w:rsidRPr="00057527">
        <w:rPr>
          <w:rFonts w:ascii="Times New Roman" w:hAnsi="Times New Roman"/>
          <w:sz w:val="24"/>
          <w:szCs w:val="24"/>
        </w:rPr>
        <w:t xml:space="preserve">related </w:t>
      </w:r>
      <w:r w:rsidR="007767CD" w:rsidRPr="00057527">
        <w:rPr>
          <w:rFonts w:ascii="Times New Roman" w:hAnsi="Times New Roman"/>
          <w:sz w:val="24"/>
          <w:szCs w:val="24"/>
        </w:rPr>
        <w:t xml:space="preserve">cases is </w:t>
      </w:r>
      <w:r w:rsidR="0056471E" w:rsidRPr="00057527">
        <w:rPr>
          <w:rFonts w:ascii="Times New Roman" w:hAnsi="Times New Roman"/>
          <w:sz w:val="24"/>
          <w:szCs w:val="24"/>
        </w:rPr>
        <w:t xml:space="preserve">therefore </w:t>
      </w:r>
      <w:r w:rsidR="007767CD" w:rsidRPr="00057527">
        <w:rPr>
          <w:rFonts w:ascii="Times New Roman" w:hAnsi="Times New Roman"/>
          <w:sz w:val="24"/>
          <w:szCs w:val="24"/>
        </w:rPr>
        <w:t xml:space="preserve">avoided. </w:t>
      </w:r>
      <w:r w:rsidR="001414D0" w:rsidRPr="00057527">
        <w:rPr>
          <w:rFonts w:ascii="Times New Roman" w:hAnsi="Times New Roman"/>
          <w:sz w:val="24"/>
          <w:szCs w:val="24"/>
        </w:rPr>
        <w:t xml:space="preserve">The principle thus saves as a necessary hedge against </w:t>
      </w:r>
      <w:r w:rsidR="00D214EC" w:rsidRPr="00057527">
        <w:rPr>
          <w:rFonts w:ascii="Times New Roman" w:hAnsi="Times New Roman"/>
          <w:sz w:val="24"/>
          <w:szCs w:val="24"/>
        </w:rPr>
        <w:t xml:space="preserve">forum shopping and multiplicity of proceedings. </w:t>
      </w:r>
    </w:p>
    <w:p w14:paraId="623FA7C3" w14:textId="402F39B5" w:rsidR="00216257" w:rsidRPr="00057527" w:rsidRDefault="00D214EC" w:rsidP="000C37CC">
      <w:pPr>
        <w:spacing w:after="0" w:line="360" w:lineRule="auto"/>
        <w:ind w:firstLine="709"/>
        <w:jc w:val="both"/>
        <w:rPr>
          <w:rFonts w:ascii="Times New Roman" w:hAnsi="Times New Roman"/>
          <w:sz w:val="24"/>
          <w:szCs w:val="24"/>
        </w:rPr>
      </w:pPr>
      <w:r w:rsidRPr="00057527">
        <w:rPr>
          <w:rFonts w:ascii="Times New Roman" w:hAnsi="Times New Roman"/>
          <w:sz w:val="24"/>
          <w:szCs w:val="24"/>
        </w:rPr>
        <w:t>In HC 12276/16, the court granted the following order on 8 February 2017:</w:t>
      </w:r>
    </w:p>
    <w:p w14:paraId="69400773" w14:textId="241E3102" w:rsidR="00D214EC" w:rsidRPr="00057527" w:rsidRDefault="00D214EC" w:rsidP="00D214EC">
      <w:pPr>
        <w:spacing w:after="0" w:line="240" w:lineRule="auto"/>
        <w:ind w:firstLine="709"/>
        <w:jc w:val="both"/>
        <w:rPr>
          <w:rFonts w:ascii="Times New Roman" w:hAnsi="Times New Roman"/>
        </w:rPr>
      </w:pPr>
      <w:r w:rsidRPr="00057527">
        <w:rPr>
          <w:rFonts w:ascii="Times New Roman" w:hAnsi="Times New Roman"/>
        </w:rPr>
        <w:t>“IT IS ORDERED THAT:</w:t>
      </w:r>
    </w:p>
    <w:p w14:paraId="30ED8BF0" w14:textId="4318FCAD" w:rsidR="00D214EC" w:rsidRPr="00057527" w:rsidRDefault="00D214EC" w:rsidP="00D214EC">
      <w:pPr>
        <w:pStyle w:val="ListParagraph"/>
        <w:numPr>
          <w:ilvl w:val="0"/>
          <w:numId w:val="30"/>
        </w:numPr>
        <w:spacing w:after="0" w:line="240" w:lineRule="auto"/>
        <w:jc w:val="both"/>
        <w:rPr>
          <w:rFonts w:ascii="Times New Roman" w:hAnsi="Times New Roman"/>
        </w:rPr>
      </w:pPr>
      <w:r w:rsidRPr="00057527">
        <w:rPr>
          <w:rFonts w:ascii="Times New Roman" w:hAnsi="Times New Roman"/>
        </w:rPr>
        <w:t>The acquisition of subdivision G of Kinvarra situate in the district of Salisbury held under deed of transfer 956/89 be and is hereby declared null and void and the said property is hereby delisted/removed from being State land.</w:t>
      </w:r>
    </w:p>
    <w:p w14:paraId="6C6A3FA8" w14:textId="6B8C7BA1" w:rsidR="00D214EC" w:rsidRPr="00057527" w:rsidRDefault="00D214EC" w:rsidP="00D214EC">
      <w:pPr>
        <w:pStyle w:val="ListParagraph"/>
        <w:numPr>
          <w:ilvl w:val="0"/>
          <w:numId w:val="30"/>
        </w:numPr>
        <w:spacing w:after="0" w:line="240" w:lineRule="auto"/>
        <w:jc w:val="both"/>
        <w:rPr>
          <w:rFonts w:ascii="Times New Roman" w:hAnsi="Times New Roman"/>
        </w:rPr>
      </w:pPr>
      <w:r w:rsidRPr="00057527">
        <w:rPr>
          <w:rFonts w:ascii="Times New Roman" w:hAnsi="Times New Roman"/>
        </w:rPr>
        <w:t>The 2</w:t>
      </w:r>
      <w:r w:rsidRPr="00057527">
        <w:rPr>
          <w:rFonts w:ascii="Times New Roman" w:hAnsi="Times New Roman"/>
          <w:vertAlign w:val="superscript"/>
        </w:rPr>
        <w:t>nd</w:t>
      </w:r>
      <w:r w:rsidRPr="00057527">
        <w:rPr>
          <w:rFonts w:ascii="Times New Roman" w:hAnsi="Times New Roman"/>
        </w:rPr>
        <w:t xml:space="preserve"> respondent uplifts/cancels the endorsement on deed of transfer 956/89 and registers title of the said farm in the name of the applicant.</w:t>
      </w:r>
    </w:p>
    <w:p w14:paraId="607E6243" w14:textId="6A46FB9A" w:rsidR="00D214EC" w:rsidRPr="00057527" w:rsidRDefault="00D214EC" w:rsidP="00D214EC">
      <w:pPr>
        <w:pStyle w:val="ListParagraph"/>
        <w:numPr>
          <w:ilvl w:val="0"/>
          <w:numId w:val="30"/>
        </w:numPr>
        <w:spacing w:after="0" w:line="240" w:lineRule="auto"/>
        <w:jc w:val="both"/>
        <w:rPr>
          <w:rFonts w:ascii="Times New Roman" w:hAnsi="Times New Roman"/>
        </w:rPr>
      </w:pPr>
      <w:r w:rsidRPr="00057527">
        <w:rPr>
          <w:rFonts w:ascii="Times New Roman" w:hAnsi="Times New Roman"/>
        </w:rPr>
        <w:t>There be no order as to costs.”</w:t>
      </w:r>
    </w:p>
    <w:p w14:paraId="7D9D14DF" w14:textId="77777777" w:rsidR="00216257" w:rsidRPr="00057527" w:rsidRDefault="00216257" w:rsidP="00216257">
      <w:pPr>
        <w:spacing w:after="0" w:line="240" w:lineRule="auto"/>
        <w:jc w:val="both"/>
        <w:rPr>
          <w:rFonts w:ascii="Times New Roman" w:hAnsi="Times New Roman"/>
        </w:rPr>
      </w:pPr>
    </w:p>
    <w:p w14:paraId="26E0D26A" w14:textId="3CFC9A09" w:rsidR="007A4382" w:rsidRPr="00057527" w:rsidRDefault="00831942" w:rsidP="00831942">
      <w:pPr>
        <w:spacing w:after="0" w:line="360" w:lineRule="auto"/>
        <w:ind w:firstLine="709"/>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It is common cause that the subject matter of the dispute in both HC 12276/16 and the present application</w:t>
      </w:r>
      <w:r w:rsidR="00762842" w:rsidRPr="00057527">
        <w:rPr>
          <w:rFonts w:ascii="Times New Roman" w:eastAsia="Calibri" w:hAnsi="Times New Roman" w:cs="Times New Roman"/>
          <w:sz w:val="24"/>
          <w:szCs w:val="24"/>
          <w:lang w:val="en-ZA"/>
        </w:rPr>
        <w:t>, is the property</w:t>
      </w:r>
      <w:r w:rsidR="00164DA1">
        <w:rPr>
          <w:rFonts w:ascii="Times New Roman" w:eastAsia="Calibri" w:hAnsi="Times New Roman" w:cs="Times New Roman"/>
          <w:sz w:val="24"/>
          <w:szCs w:val="24"/>
          <w:lang w:val="en-ZA"/>
        </w:rPr>
        <w:t xml:space="preserve"> already referred to earlier in the judgment</w:t>
      </w:r>
      <w:r w:rsidRPr="00057527">
        <w:rPr>
          <w:rFonts w:ascii="Times New Roman" w:eastAsia="Calibri" w:hAnsi="Times New Roman" w:cs="Times New Roman"/>
          <w:sz w:val="24"/>
          <w:szCs w:val="24"/>
          <w:lang w:val="en-ZA"/>
        </w:rPr>
        <w:t>. In HC 12276/16 the applicant was the deceased</w:t>
      </w:r>
      <w:r w:rsidR="00AD1DBF" w:rsidRPr="00057527">
        <w:rPr>
          <w:rFonts w:ascii="Times New Roman" w:eastAsia="Calibri" w:hAnsi="Times New Roman" w:cs="Times New Roman"/>
          <w:sz w:val="24"/>
          <w:szCs w:val="24"/>
          <w:lang w:val="en-ZA"/>
        </w:rPr>
        <w:t>, and he was</w:t>
      </w:r>
      <w:r w:rsidRPr="00057527">
        <w:rPr>
          <w:rFonts w:ascii="Times New Roman" w:eastAsia="Calibri" w:hAnsi="Times New Roman" w:cs="Times New Roman"/>
          <w:sz w:val="24"/>
          <w:szCs w:val="24"/>
          <w:lang w:val="en-ZA"/>
        </w:rPr>
        <w:t xml:space="preserve"> represented by one Wayne Douglas Parham who acted as the applicant’s agent through a power of attorney. The first and third respondents herein were the first and second respondents in HC 12276/16. The second respondent was not a party therein.</w:t>
      </w:r>
      <w:r w:rsidR="00E52E81">
        <w:rPr>
          <w:rFonts w:ascii="Times New Roman" w:eastAsia="Calibri" w:hAnsi="Times New Roman" w:cs="Times New Roman"/>
          <w:sz w:val="24"/>
          <w:szCs w:val="24"/>
          <w:lang w:val="en-ZA"/>
        </w:rPr>
        <w:t xml:space="preserve"> </w:t>
      </w:r>
      <w:r w:rsidR="00AD1DBF" w:rsidRPr="00057527">
        <w:rPr>
          <w:rFonts w:ascii="Times New Roman" w:eastAsia="Calibri" w:hAnsi="Times New Roman" w:cs="Times New Roman"/>
          <w:sz w:val="24"/>
          <w:szCs w:val="24"/>
          <w:lang w:val="en-ZA"/>
        </w:rPr>
        <w:t>It is</w:t>
      </w:r>
      <w:r w:rsidR="00E52E81">
        <w:rPr>
          <w:rFonts w:ascii="Times New Roman" w:eastAsia="Calibri" w:hAnsi="Times New Roman" w:cs="Times New Roman"/>
          <w:sz w:val="24"/>
          <w:szCs w:val="24"/>
          <w:lang w:val="en-ZA"/>
        </w:rPr>
        <w:t xml:space="preserve"> the court’s view that para</w:t>
      </w:r>
      <w:r w:rsidR="00AD1DBF" w:rsidRPr="00057527">
        <w:rPr>
          <w:rFonts w:ascii="Times New Roman" w:eastAsia="Calibri" w:hAnsi="Times New Roman" w:cs="Times New Roman"/>
          <w:sz w:val="24"/>
          <w:szCs w:val="24"/>
          <w:lang w:val="en-ZA"/>
        </w:rPr>
        <w:t xml:space="preserve"> (a) of the order under HC 12776/16,</w:t>
      </w:r>
      <w:r w:rsidR="00BF396B">
        <w:rPr>
          <w:rFonts w:ascii="Times New Roman" w:eastAsia="Calibri" w:hAnsi="Times New Roman" w:cs="Times New Roman"/>
          <w:sz w:val="24"/>
          <w:szCs w:val="24"/>
          <w:lang w:val="en-ZA"/>
        </w:rPr>
        <w:t xml:space="preserve"> effectively disposes of para(</w:t>
      </w:r>
      <w:r w:rsidR="00AD1DBF" w:rsidRPr="00057527">
        <w:rPr>
          <w:rFonts w:ascii="Times New Roman" w:eastAsia="Calibri" w:hAnsi="Times New Roman" w:cs="Times New Roman"/>
          <w:sz w:val="24"/>
          <w:szCs w:val="24"/>
          <w:lang w:val="en-ZA"/>
        </w:rPr>
        <w:t>s</w:t>
      </w:r>
      <w:r w:rsidR="00BF396B">
        <w:rPr>
          <w:rFonts w:ascii="Times New Roman" w:eastAsia="Calibri" w:hAnsi="Times New Roman" w:cs="Times New Roman"/>
          <w:sz w:val="24"/>
          <w:szCs w:val="24"/>
          <w:lang w:val="en-ZA"/>
        </w:rPr>
        <w:t>)</w:t>
      </w:r>
      <w:r w:rsidR="00AD1DBF" w:rsidRPr="00057527">
        <w:rPr>
          <w:rFonts w:ascii="Times New Roman" w:eastAsia="Calibri" w:hAnsi="Times New Roman" w:cs="Times New Roman"/>
          <w:sz w:val="24"/>
          <w:szCs w:val="24"/>
          <w:lang w:val="en-ZA"/>
        </w:rPr>
        <w:t xml:space="preserve"> 1.1 and 1.2 of the order sought in the present application. This is because once the court ordered that the acquisition of the property was null and void, and that it ceased to be State land, then it follow</w:t>
      </w:r>
      <w:r w:rsidR="006234F1">
        <w:rPr>
          <w:rFonts w:ascii="Times New Roman" w:eastAsia="Calibri" w:hAnsi="Times New Roman" w:cs="Times New Roman"/>
          <w:sz w:val="24"/>
          <w:szCs w:val="24"/>
          <w:lang w:val="en-ZA"/>
        </w:rPr>
        <w:t>ed</w:t>
      </w:r>
      <w:r w:rsidR="00AD1DBF" w:rsidRPr="00057527">
        <w:rPr>
          <w:rFonts w:ascii="Times New Roman" w:eastAsia="Calibri" w:hAnsi="Times New Roman" w:cs="Times New Roman"/>
          <w:sz w:val="24"/>
          <w:szCs w:val="24"/>
          <w:lang w:val="en-ZA"/>
        </w:rPr>
        <w:t xml:space="preserve"> that the property was not agricultural land that was liable to acquisition in terms of s 16B of the Constitution. </w:t>
      </w:r>
    </w:p>
    <w:p w14:paraId="7D4CD4C7" w14:textId="5298A069" w:rsidR="00153F56" w:rsidRPr="00057527" w:rsidRDefault="00AD1DBF" w:rsidP="00831942">
      <w:pPr>
        <w:spacing w:after="0" w:line="360" w:lineRule="auto"/>
        <w:ind w:firstLine="709"/>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It also follow</w:t>
      </w:r>
      <w:r w:rsidR="006234F1">
        <w:rPr>
          <w:rFonts w:ascii="Times New Roman" w:eastAsia="Calibri" w:hAnsi="Times New Roman" w:cs="Times New Roman"/>
          <w:sz w:val="24"/>
          <w:szCs w:val="24"/>
          <w:lang w:val="en-ZA"/>
        </w:rPr>
        <w:t>ed</w:t>
      </w:r>
      <w:r w:rsidRPr="00057527">
        <w:rPr>
          <w:rFonts w:ascii="Times New Roman" w:eastAsia="Calibri" w:hAnsi="Times New Roman" w:cs="Times New Roman"/>
          <w:sz w:val="24"/>
          <w:szCs w:val="24"/>
          <w:lang w:val="en-ZA"/>
        </w:rPr>
        <w:t xml:space="preserve"> that any purported acquisition of the property in terms of s 16B of the old Constitution</w:t>
      </w:r>
      <w:r w:rsidR="007A4382" w:rsidRPr="00057527">
        <w:rPr>
          <w:rFonts w:ascii="Times New Roman" w:eastAsia="Calibri" w:hAnsi="Times New Roman" w:cs="Times New Roman"/>
          <w:sz w:val="24"/>
          <w:szCs w:val="24"/>
          <w:lang w:val="en-ZA"/>
        </w:rPr>
        <w:t xml:space="preserve"> was of no effect</w:t>
      </w:r>
      <w:r w:rsidRPr="00057527">
        <w:rPr>
          <w:rFonts w:ascii="Times New Roman" w:eastAsia="Calibri" w:hAnsi="Times New Roman" w:cs="Times New Roman"/>
          <w:sz w:val="24"/>
          <w:szCs w:val="24"/>
          <w:lang w:val="en-ZA"/>
        </w:rPr>
        <w:t xml:space="preserve">. </w:t>
      </w:r>
      <w:r w:rsidR="00BF396B">
        <w:rPr>
          <w:rFonts w:ascii="Times New Roman" w:eastAsia="Calibri" w:hAnsi="Times New Roman" w:cs="Times New Roman"/>
          <w:sz w:val="24"/>
          <w:szCs w:val="24"/>
          <w:lang w:val="en-ZA"/>
        </w:rPr>
        <w:t>The said para (a) also disposes of para</w:t>
      </w:r>
      <w:r w:rsidR="00D6313C" w:rsidRPr="00057527">
        <w:rPr>
          <w:rFonts w:ascii="Times New Roman" w:eastAsia="Calibri" w:hAnsi="Times New Roman" w:cs="Times New Roman"/>
          <w:sz w:val="24"/>
          <w:szCs w:val="24"/>
          <w:lang w:val="en-ZA"/>
        </w:rPr>
        <w:t xml:space="preserve"> 2.1 of the of the </w:t>
      </w:r>
      <w:r w:rsidR="00BF396B">
        <w:rPr>
          <w:rFonts w:ascii="Times New Roman" w:eastAsia="Calibri" w:hAnsi="Times New Roman" w:cs="Times New Roman"/>
          <w:sz w:val="24"/>
          <w:szCs w:val="24"/>
          <w:lang w:val="en-ZA"/>
        </w:rPr>
        <w:t>draft order herein. In para</w:t>
      </w:r>
      <w:r w:rsidR="00D6313C" w:rsidRPr="00057527">
        <w:rPr>
          <w:rFonts w:ascii="Times New Roman" w:eastAsia="Calibri" w:hAnsi="Times New Roman" w:cs="Times New Roman"/>
          <w:sz w:val="24"/>
          <w:szCs w:val="24"/>
          <w:lang w:val="en-ZA"/>
        </w:rPr>
        <w:t xml:space="preserve"> 2.1, the applicant </w:t>
      </w:r>
      <w:r w:rsidR="007A4382" w:rsidRPr="00057527">
        <w:rPr>
          <w:rFonts w:ascii="Times New Roman" w:eastAsia="Calibri" w:hAnsi="Times New Roman" w:cs="Times New Roman"/>
          <w:sz w:val="24"/>
          <w:szCs w:val="24"/>
          <w:lang w:val="en-ZA"/>
        </w:rPr>
        <w:t>requires</w:t>
      </w:r>
      <w:r w:rsidR="00D6313C" w:rsidRPr="00057527">
        <w:rPr>
          <w:rFonts w:ascii="Times New Roman" w:eastAsia="Calibri" w:hAnsi="Times New Roman" w:cs="Times New Roman"/>
          <w:sz w:val="24"/>
          <w:szCs w:val="24"/>
          <w:lang w:val="en-ZA"/>
        </w:rPr>
        <w:t xml:space="preserve"> the court to set aside the </w:t>
      </w:r>
      <w:r w:rsidR="00846B2F" w:rsidRPr="00057527">
        <w:rPr>
          <w:rFonts w:ascii="Times New Roman" w:eastAsia="Calibri" w:hAnsi="Times New Roman" w:cs="Times New Roman"/>
          <w:sz w:val="24"/>
          <w:szCs w:val="24"/>
          <w:lang w:val="en-ZA"/>
        </w:rPr>
        <w:t xml:space="preserve">acquisition of the property by the applicant. That was already achieved when in HC 12776/16 the court declared that the acquisition of the property was null and void. </w:t>
      </w:r>
    </w:p>
    <w:p w14:paraId="0274A553" w14:textId="10A09219" w:rsidR="00D6313C" w:rsidRPr="00057527" w:rsidRDefault="00D6313C" w:rsidP="00257E89">
      <w:pPr>
        <w:spacing w:after="0" w:line="360" w:lineRule="auto"/>
        <w:ind w:firstLine="709"/>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Paragraph (b) of the order under HC 12776/16 directed, the Registrar of Deeds, the third respondent herein to cancel the endorsement on deed of transfer 956/89 and register the title of the said property in the name of the applicant.</w:t>
      </w:r>
      <w:r w:rsidR="005B45A9">
        <w:rPr>
          <w:rFonts w:ascii="Times New Roman" w:eastAsia="Calibri" w:hAnsi="Times New Roman" w:cs="Times New Roman"/>
          <w:sz w:val="24"/>
          <w:szCs w:val="24"/>
          <w:lang w:val="en-ZA"/>
        </w:rPr>
        <w:t xml:space="preserve">  </w:t>
      </w:r>
      <w:r w:rsidR="00E93246" w:rsidRPr="00057527">
        <w:rPr>
          <w:rFonts w:ascii="Times New Roman" w:eastAsia="Calibri" w:hAnsi="Times New Roman" w:cs="Times New Roman"/>
          <w:sz w:val="24"/>
          <w:szCs w:val="24"/>
          <w:lang w:val="en-ZA"/>
        </w:rPr>
        <w:t>In p</w:t>
      </w:r>
      <w:r w:rsidR="00BF396B">
        <w:rPr>
          <w:rFonts w:ascii="Times New Roman" w:eastAsia="Calibri" w:hAnsi="Times New Roman" w:cs="Times New Roman"/>
          <w:sz w:val="24"/>
          <w:szCs w:val="24"/>
          <w:lang w:val="en-ZA"/>
        </w:rPr>
        <w:t>ara</w:t>
      </w:r>
      <w:r w:rsidR="00846B2F" w:rsidRPr="00057527">
        <w:rPr>
          <w:rFonts w:ascii="Times New Roman" w:eastAsia="Calibri" w:hAnsi="Times New Roman" w:cs="Times New Roman"/>
          <w:sz w:val="24"/>
          <w:szCs w:val="24"/>
          <w:lang w:val="en-ZA"/>
        </w:rPr>
        <w:t xml:space="preserve"> 2.2 of the draft order herein </w:t>
      </w:r>
      <w:r w:rsidR="00E93246" w:rsidRPr="00057527">
        <w:rPr>
          <w:rFonts w:ascii="Times New Roman" w:eastAsia="Calibri" w:hAnsi="Times New Roman" w:cs="Times New Roman"/>
          <w:sz w:val="24"/>
          <w:szCs w:val="24"/>
          <w:lang w:val="en-ZA"/>
        </w:rPr>
        <w:t xml:space="preserve">the applicant </w:t>
      </w:r>
      <w:r w:rsidR="007A4382" w:rsidRPr="00057527">
        <w:rPr>
          <w:rFonts w:ascii="Times New Roman" w:eastAsia="Calibri" w:hAnsi="Times New Roman" w:cs="Times New Roman"/>
          <w:sz w:val="24"/>
          <w:szCs w:val="24"/>
          <w:lang w:val="en-ZA"/>
        </w:rPr>
        <w:t xml:space="preserve">requires </w:t>
      </w:r>
      <w:r w:rsidR="00E93246" w:rsidRPr="00057527">
        <w:rPr>
          <w:rFonts w:ascii="Times New Roman" w:eastAsia="Calibri" w:hAnsi="Times New Roman" w:cs="Times New Roman"/>
          <w:sz w:val="24"/>
          <w:szCs w:val="24"/>
          <w:lang w:val="en-ZA"/>
        </w:rPr>
        <w:t xml:space="preserve">the court to direct the second respondent herein to expunge from his register and from each of deed of transfer 5114/1980 and 956/1989 any entry or endorsement cancelling the </w:t>
      </w:r>
      <w:r w:rsidR="00E93246" w:rsidRPr="00057527">
        <w:rPr>
          <w:rFonts w:ascii="Times New Roman" w:eastAsia="Calibri" w:hAnsi="Times New Roman" w:cs="Times New Roman"/>
          <w:sz w:val="24"/>
          <w:szCs w:val="24"/>
          <w:lang w:val="en-ZA"/>
        </w:rPr>
        <w:lastRenderedPageBreak/>
        <w:t xml:space="preserve">respective deeds or vesting ownership in the State. In his founding affidavit, the applicant states that he owned this property under the two deeds of transfer, each attesting to ownership of an undivided one half share. </w:t>
      </w:r>
      <w:r w:rsidR="005B45A9">
        <w:rPr>
          <w:rFonts w:ascii="Times New Roman" w:eastAsia="Calibri" w:hAnsi="Times New Roman" w:cs="Times New Roman"/>
          <w:sz w:val="24"/>
          <w:szCs w:val="24"/>
          <w:lang w:val="en-ZA"/>
        </w:rPr>
        <w:t xml:space="preserve"> </w:t>
      </w:r>
      <w:r w:rsidR="00E93246" w:rsidRPr="00057527">
        <w:rPr>
          <w:rFonts w:ascii="Times New Roman" w:eastAsia="Calibri" w:hAnsi="Times New Roman" w:cs="Times New Roman"/>
          <w:sz w:val="24"/>
          <w:szCs w:val="24"/>
          <w:lang w:val="en-ZA"/>
        </w:rPr>
        <w:t xml:space="preserve">It is now common cause that through the General Notice 134 of 2012 published in the Government Gazette of 6 April 2012, the first respondent sought to acquire the property held under deed of transfer </w:t>
      </w:r>
      <w:r w:rsidR="003517E8" w:rsidRPr="00057527">
        <w:rPr>
          <w:rFonts w:ascii="Times New Roman" w:eastAsia="Calibri" w:hAnsi="Times New Roman" w:cs="Times New Roman"/>
          <w:sz w:val="24"/>
          <w:szCs w:val="24"/>
          <w:lang w:val="en-ZA"/>
        </w:rPr>
        <w:t xml:space="preserve">956/89. That is the same acquisition that the </w:t>
      </w:r>
      <w:r w:rsidR="00BF396B">
        <w:rPr>
          <w:rFonts w:ascii="Times New Roman" w:eastAsia="Calibri" w:hAnsi="Times New Roman" w:cs="Times New Roman"/>
          <w:sz w:val="24"/>
          <w:szCs w:val="24"/>
          <w:lang w:val="en-ZA"/>
        </w:rPr>
        <w:t>court then outlawed in para</w:t>
      </w:r>
      <w:r w:rsidR="003517E8" w:rsidRPr="00057527">
        <w:rPr>
          <w:rFonts w:ascii="Times New Roman" w:eastAsia="Calibri" w:hAnsi="Times New Roman" w:cs="Times New Roman"/>
          <w:sz w:val="24"/>
          <w:szCs w:val="24"/>
          <w:lang w:val="en-ZA"/>
        </w:rPr>
        <w:t xml:space="preserve"> (a) of the order under HC 12776/16. </w:t>
      </w:r>
      <w:r w:rsidR="005B45A9">
        <w:rPr>
          <w:rFonts w:ascii="Times New Roman" w:eastAsia="Calibri" w:hAnsi="Times New Roman" w:cs="Times New Roman"/>
          <w:sz w:val="24"/>
          <w:szCs w:val="24"/>
          <w:lang w:val="en-ZA"/>
        </w:rPr>
        <w:t xml:space="preserve"> </w:t>
      </w:r>
      <w:r w:rsidR="003517E8" w:rsidRPr="00057527">
        <w:rPr>
          <w:rFonts w:ascii="Times New Roman" w:eastAsia="Calibri" w:hAnsi="Times New Roman" w:cs="Times New Roman"/>
          <w:sz w:val="24"/>
          <w:szCs w:val="24"/>
          <w:lang w:val="en-ZA"/>
        </w:rPr>
        <w:t>It follows th</w:t>
      </w:r>
      <w:r w:rsidR="00BF396B">
        <w:rPr>
          <w:rFonts w:ascii="Times New Roman" w:eastAsia="Calibri" w:hAnsi="Times New Roman" w:cs="Times New Roman"/>
          <w:sz w:val="24"/>
          <w:szCs w:val="24"/>
          <w:lang w:val="en-ZA"/>
        </w:rPr>
        <w:t>at para</w:t>
      </w:r>
      <w:r w:rsidR="003517E8" w:rsidRPr="00057527">
        <w:rPr>
          <w:rFonts w:ascii="Times New Roman" w:eastAsia="Calibri" w:hAnsi="Times New Roman" w:cs="Times New Roman"/>
          <w:sz w:val="24"/>
          <w:szCs w:val="24"/>
          <w:lang w:val="en-ZA"/>
        </w:rPr>
        <w:t xml:space="preserve"> 2.2 of the draft order is </w:t>
      </w:r>
      <w:r w:rsidR="00BF396B">
        <w:rPr>
          <w:rFonts w:ascii="Times New Roman" w:eastAsia="Calibri" w:hAnsi="Times New Roman" w:cs="Times New Roman"/>
          <w:sz w:val="24"/>
          <w:szCs w:val="24"/>
          <w:lang w:val="en-ZA"/>
        </w:rPr>
        <w:t>already catered for by para</w:t>
      </w:r>
      <w:r w:rsidR="003517E8" w:rsidRPr="00057527">
        <w:rPr>
          <w:rFonts w:ascii="Times New Roman" w:eastAsia="Calibri" w:hAnsi="Times New Roman" w:cs="Times New Roman"/>
          <w:sz w:val="24"/>
          <w:szCs w:val="24"/>
          <w:lang w:val="en-ZA"/>
        </w:rPr>
        <w:t xml:space="preserve"> (b) of the order in HC 12776/16. </w:t>
      </w:r>
    </w:p>
    <w:p w14:paraId="365AC94E" w14:textId="20707FFB" w:rsidR="00536BF4" w:rsidRPr="00057527" w:rsidRDefault="007A4F12" w:rsidP="00831942">
      <w:pPr>
        <w:spacing w:after="0" w:line="360" w:lineRule="auto"/>
        <w:ind w:firstLine="709"/>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 xml:space="preserve">What then remains of the order sought in the </w:t>
      </w:r>
      <w:r w:rsidR="00BF396B">
        <w:rPr>
          <w:rFonts w:ascii="Times New Roman" w:eastAsia="Calibri" w:hAnsi="Times New Roman" w:cs="Times New Roman"/>
          <w:sz w:val="24"/>
          <w:szCs w:val="24"/>
          <w:lang w:val="en-ZA"/>
        </w:rPr>
        <w:t>current proceedings is para</w:t>
      </w:r>
      <w:r w:rsidRPr="00057527">
        <w:rPr>
          <w:rFonts w:ascii="Times New Roman" w:eastAsia="Calibri" w:hAnsi="Times New Roman" w:cs="Times New Roman"/>
          <w:sz w:val="24"/>
          <w:szCs w:val="24"/>
          <w:lang w:val="en-ZA"/>
        </w:rPr>
        <w:t xml:space="preserve"> 2.3, in which the court is required to order that any offer letter granted in respect of the property </w:t>
      </w:r>
      <w:r w:rsidR="00257E89">
        <w:rPr>
          <w:rFonts w:ascii="Times New Roman" w:eastAsia="Calibri" w:hAnsi="Times New Roman" w:cs="Times New Roman"/>
          <w:sz w:val="24"/>
          <w:szCs w:val="24"/>
          <w:lang w:val="en-ZA"/>
        </w:rPr>
        <w:t xml:space="preserve">be </w:t>
      </w:r>
      <w:r w:rsidRPr="00057527">
        <w:rPr>
          <w:rFonts w:ascii="Times New Roman" w:eastAsia="Calibri" w:hAnsi="Times New Roman" w:cs="Times New Roman"/>
          <w:sz w:val="24"/>
          <w:szCs w:val="24"/>
          <w:lang w:val="en-ZA"/>
        </w:rPr>
        <w:t xml:space="preserve">set aside and declared to be of no force and effect. </w:t>
      </w:r>
      <w:r w:rsidR="00EB3F81" w:rsidRPr="00057527">
        <w:rPr>
          <w:rFonts w:ascii="Times New Roman" w:eastAsia="Calibri" w:hAnsi="Times New Roman" w:cs="Times New Roman"/>
          <w:sz w:val="24"/>
          <w:szCs w:val="24"/>
          <w:lang w:val="en-ZA"/>
        </w:rPr>
        <w:t xml:space="preserve">The papers before me do not disclose when exactly the second respondent was issued with an offer letter pertaining to the property. </w:t>
      </w:r>
      <w:r w:rsidR="00BF396B">
        <w:rPr>
          <w:rFonts w:ascii="Times New Roman" w:eastAsia="Calibri" w:hAnsi="Times New Roman" w:cs="Times New Roman"/>
          <w:sz w:val="24"/>
          <w:szCs w:val="24"/>
          <w:lang w:val="en-ZA"/>
        </w:rPr>
        <w:t xml:space="preserve"> </w:t>
      </w:r>
      <w:r w:rsidR="00EB3F81" w:rsidRPr="00057527">
        <w:rPr>
          <w:rFonts w:ascii="Times New Roman" w:eastAsia="Calibri" w:hAnsi="Times New Roman" w:cs="Times New Roman"/>
          <w:sz w:val="24"/>
          <w:szCs w:val="24"/>
          <w:lang w:val="en-ZA"/>
        </w:rPr>
        <w:t xml:space="preserve">However, it emerged during oral submissions that the first respondent issued another notice of acquisition for the same property on 4 August, 2017 under General Notice 456 of 2017. In his submissions, Mr </w:t>
      </w:r>
      <w:r w:rsidR="00EB3F81" w:rsidRPr="00057527">
        <w:rPr>
          <w:rFonts w:ascii="Times New Roman" w:eastAsia="Calibri" w:hAnsi="Times New Roman" w:cs="Times New Roman"/>
          <w:i/>
          <w:sz w:val="24"/>
          <w:szCs w:val="24"/>
          <w:lang w:val="en-ZA"/>
        </w:rPr>
        <w:t>Ochieng</w:t>
      </w:r>
      <w:r w:rsidR="00EB3F81" w:rsidRPr="00057527">
        <w:rPr>
          <w:rFonts w:ascii="Times New Roman" w:eastAsia="Calibri" w:hAnsi="Times New Roman" w:cs="Times New Roman"/>
          <w:sz w:val="24"/>
          <w:szCs w:val="24"/>
          <w:lang w:val="en-ZA"/>
        </w:rPr>
        <w:t xml:space="preserve"> argued that the discovery of this 2017 </w:t>
      </w:r>
      <w:r w:rsidR="00CC6891" w:rsidRPr="00057527">
        <w:rPr>
          <w:rFonts w:ascii="Times New Roman" w:eastAsia="Calibri" w:hAnsi="Times New Roman" w:cs="Times New Roman"/>
          <w:sz w:val="24"/>
          <w:szCs w:val="24"/>
          <w:lang w:val="en-ZA"/>
        </w:rPr>
        <w:t>acquisition</w:t>
      </w:r>
      <w:r w:rsidR="00EB3F81" w:rsidRPr="00057527">
        <w:rPr>
          <w:rFonts w:ascii="Times New Roman" w:eastAsia="Calibri" w:hAnsi="Times New Roman" w:cs="Times New Roman"/>
          <w:sz w:val="24"/>
          <w:szCs w:val="24"/>
          <w:lang w:val="en-ZA"/>
        </w:rPr>
        <w:t xml:space="preserve"> validated the present application to the extent that it sought to impugn any future acquisition of the property by the first respondent. </w:t>
      </w:r>
      <w:r w:rsidR="00BF396B">
        <w:rPr>
          <w:rFonts w:ascii="Times New Roman" w:eastAsia="Calibri" w:hAnsi="Times New Roman" w:cs="Times New Roman"/>
          <w:sz w:val="24"/>
          <w:szCs w:val="24"/>
          <w:lang w:val="en-ZA"/>
        </w:rPr>
        <w:t xml:space="preserve"> </w:t>
      </w:r>
      <w:r w:rsidR="00EB3F81" w:rsidRPr="00057527">
        <w:rPr>
          <w:rFonts w:ascii="Times New Roman" w:eastAsia="Calibri" w:hAnsi="Times New Roman" w:cs="Times New Roman"/>
          <w:sz w:val="24"/>
          <w:szCs w:val="24"/>
          <w:lang w:val="en-ZA"/>
        </w:rPr>
        <w:t xml:space="preserve">In response, Ms </w:t>
      </w:r>
      <w:r w:rsidR="00EB3F81" w:rsidRPr="00057527">
        <w:rPr>
          <w:rFonts w:ascii="Times New Roman" w:eastAsia="Calibri" w:hAnsi="Times New Roman" w:cs="Times New Roman"/>
          <w:i/>
          <w:sz w:val="24"/>
          <w:szCs w:val="24"/>
          <w:lang w:val="en-ZA"/>
        </w:rPr>
        <w:t xml:space="preserve">Mabwe </w:t>
      </w:r>
      <w:r w:rsidR="00EB3F81" w:rsidRPr="00057527">
        <w:rPr>
          <w:rFonts w:ascii="Times New Roman" w:eastAsia="Calibri" w:hAnsi="Times New Roman" w:cs="Times New Roman"/>
          <w:sz w:val="24"/>
          <w:szCs w:val="24"/>
          <w:lang w:val="en-ZA"/>
        </w:rPr>
        <w:t xml:space="preserve">argued that an application had to stand or fall on the founding affidavit. </w:t>
      </w:r>
      <w:r w:rsidR="005B45A9">
        <w:rPr>
          <w:rFonts w:ascii="Times New Roman" w:eastAsia="Calibri" w:hAnsi="Times New Roman" w:cs="Times New Roman"/>
          <w:sz w:val="24"/>
          <w:szCs w:val="24"/>
          <w:lang w:val="en-ZA"/>
        </w:rPr>
        <w:t xml:space="preserve"> </w:t>
      </w:r>
      <w:r w:rsidR="00EB3F81" w:rsidRPr="00057527">
        <w:rPr>
          <w:rFonts w:ascii="Times New Roman" w:eastAsia="Calibri" w:hAnsi="Times New Roman" w:cs="Times New Roman"/>
          <w:sz w:val="24"/>
          <w:szCs w:val="24"/>
          <w:lang w:val="en-ZA"/>
        </w:rPr>
        <w:t>The applicant’s founding affidavit did not deal with any future acquisition of the property.</w:t>
      </w:r>
      <w:r w:rsidR="00BF396B">
        <w:rPr>
          <w:rFonts w:ascii="Times New Roman" w:eastAsia="Calibri" w:hAnsi="Times New Roman" w:cs="Times New Roman"/>
          <w:sz w:val="24"/>
          <w:szCs w:val="24"/>
          <w:lang w:val="en-ZA"/>
        </w:rPr>
        <w:t xml:space="preserve"> </w:t>
      </w:r>
      <w:r w:rsidR="00EB3F81" w:rsidRPr="00057527">
        <w:rPr>
          <w:rFonts w:ascii="Times New Roman" w:eastAsia="Calibri" w:hAnsi="Times New Roman" w:cs="Times New Roman"/>
          <w:sz w:val="24"/>
          <w:szCs w:val="24"/>
          <w:lang w:val="en-ZA"/>
        </w:rPr>
        <w:t xml:space="preserve"> Rather, it dealt with the 2012 acquisition. The </w:t>
      </w:r>
      <w:r w:rsidR="00EB3F81" w:rsidRPr="00057527">
        <w:rPr>
          <w:rFonts w:ascii="Times New Roman" w:eastAsia="Calibri" w:hAnsi="Times New Roman" w:cs="Times New Roman"/>
          <w:i/>
          <w:sz w:val="24"/>
          <w:szCs w:val="24"/>
          <w:lang w:val="en-ZA"/>
        </w:rPr>
        <w:t xml:space="preserve">declaratur </w:t>
      </w:r>
      <w:r w:rsidR="00EB3F81" w:rsidRPr="00057527">
        <w:rPr>
          <w:rFonts w:ascii="Times New Roman" w:eastAsia="Calibri" w:hAnsi="Times New Roman" w:cs="Times New Roman"/>
          <w:sz w:val="24"/>
          <w:szCs w:val="24"/>
          <w:lang w:val="en-ZA"/>
        </w:rPr>
        <w:t xml:space="preserve">was therefore </w:t>
      </w:r>
      <w:r w:rsidR="00CC6891" w:rsidRPr="00057527">
        <w:rPr>
          <w:rFonts w:ascii="Times New Roman" w:eastAsia="Calibri" w:hAnsi="Times New Roman" w:cs="Times New Roman"/>
          <w:sz w:val="24"/>
          <w:szCs w:val="24"/>
          <w:lang w:val="en-ZA"/>
        </w:rPr>
        <w:t>being sought on a wrong basis.</w:t>
      </w:r>
    </w:p>
    <w:p w14:paraId="4C3FD490" w14:textId="16EA8738" w:rsidR="005E6FDA" w:rsidRPr="00057527" w:rsidRDefault="00536BF4" w:rsidP="00831942">
      <w:pPr>
        <w:spacing w:after="0" w:line="360" w:lineRule="auto"/>
        <w:ind w:firstLine="709"/>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 xml:space="preserve">What I inferred from Mr </w:t>
      </w:r>
      <w:r w:rsidRPr="00057527">
        <w:rPr>
          <w:rFonts w:ascii="Times New Roman" w:eastAsia="Calibri" w:hAnsi="Times New Roman" w:cs="Times New Roman"/>
          <w:i/>
          <w:sz w:val="24"/>
          <w:szCs w:val="24"/>
          <w:lang w:val="en-ZA"/>
        </w:rPr>
        <w:t>Ochieng’s</w:t>
      </w:r>
      <w:r w:rsidRPr="00057527">
        <w:rPr>
          <w:rFonts w:ascii="Times New Roman" w:eastAsia="Calibri" w:hAnsi="Times New Roman" w:cs="Times New Roman"/>
          <w:sz w:val="24"/>
          <w:szCs w:val="24"/>
          <w:lang w:val="en-ZA"/>
        </w:rPr>
        <w:t xml:space="preserve"> argument is that he accept</w:t>
      </w:r>
      <w:r w:rsidR="007A4382" w:rsidRPr="00057527">
        <w:rPr>
          <w:rFonts w:ascii="Times New Roman" w:eastAsia="Calibri" w:hAnsi="Times New Roman" w:cs="Times New Roman"/>
          <w:sz w:val="24"/>
          <w:szCs w:val="24"/>
          <w:lang w:val="en-ZA"/>
        </w:rPr>
        <w:t>ed</w:t>
      </w:r>
      <w:r w:rsidRPr="00057527">
        <w:rPr>
          <w:rFonts w:ascii="Times New Roman" w:eastAsia="Calibri" w:hAnsi="Times New Roman" w:cs="Times New Roman"/>
          <w:sz w:val="24"/>
          <w:szCs w:val="24"/>
          <w:lang w:val="en-ZA"/>
        </w:rPr>
        <w:t xml:space="preserve"> that the order granted in HC 12276/16 all but dealt with the </w:t>
      </w:r>
      <w:r w:rsidR="007A4382" w:rsidRPr="00057527">
        <w:rPr>
          <w:rFonts w:ascii="Times New Roman" w:eastAsia="Calibri" w:hAnsi="Times New Roman" w:cs="Times New Roman"/>
          <w:sz w:val="24"/>
          <w:szCs w:val="24"/>
          <w:lang w:val="en-ZA"/>
        </w:rPr>
        <w:t>acquisition</w:t>
      </w:r>
      <w:r w:rsidRPr="00057527">
        <w:rPr>
          <w:rFonts w:ascii="Times New Roman" w:eastAsia="Calibri" w:hAnsi="Times New Roman" w:cs="Times New Roman"/>
          <w:sz w:val="24"/>
          <w:szCs w:val="24"/>
          <w:lang w:val="en-ZA"/>
        </w:rPr>
        <w:t xml:space="preserve"> of the property under the 2012 notice. </w:t>
      </w:r>
      <w:r w:rsidR="005B45A9">
        <w:rPr>
          <w:rFonts w:ascii="Times New Roman" w:eastAsia="Calibri" w:hAnsi="Times New Roman" w:cs="Times New Roman"/>
          <w:sz w:val="24"/>
          <w:szCs w:val="24"/>
          <w:lang w:val="en-ZA"/>
        </w:rPr>
        <w:t> </w:t>
      </w:r>
      <w:r w:rsidRPr="00057527">
        <w:rPr>
          <w:rFonts w:ascii="Times New Roman" w:eastAsia="Calibri" w:hAnsi="Times New Roman" w:cs="Times New Roman"/>
          <w:sz w:val="24"/>
          <w:szCs w:val="24"/>
          <w:lang w:val="en-ZA"/>
        </w:rPr>
        <w:t xml:space="preserve">The gravamen of the applicant’s complaint </w:t>
      </w:r>
      <w:r w:rsidR="00257E89">
        <w:rPr>
          <w:rFonts w:ascii="Times New Roman" w:eastAsia="Calibri" w:hAnsi="Times New Roman" w:cs="Times New Roman"/>
          <w:sz w:val="24"/>
          <w:szCs w:val="24"/>
          <w:lang w:val="en-ZA"/>
        </w:rPr>
        <w:t xml:space="preserve">herein </w:t>
      </w:r>
      <w:r w:rsidRPr="00057527">
        <w:rPr>
          <w:rFonts w:ascii="Times New Roman" w:eastAsia="Calibri" w:hAnsi="Times New Roman" w:cs="Times New Roman"/>
          <w:sz w:val="24"/>
          <w:szCs w:val="24"/>
          <w:lang w:val="en-ZA"/>
        </w:rPr>
        <w:t xml:space="preserve">was the 2012 acquisition </w:t>
      </w:r>
      <w:r w:rsidR="007A4382" w:rsidRPr="00057527">
        <w:rPr>
          <w:rFonts w:ascii="Times New Roman" w:eastAsia="Calibri" w:hAnsi="Times New Roman" w:cs="Times New Roman"/>
          <w:sz w:val="24"/>
          <w:szCs w:val="24"/>
          <w:lang w:val="en-ZA"/>
        </w:rPr>
        <w:t xml:space="preserve">of the property </w:t>
      </w:r>
      <w:r w:rsidRPr="00057527">
        <w:rPr>
          <w:rFonts w:ascii="Times New Roman" w:eastAsia="Calibri" w:hAnsi="Times New Roman" w:cs="Times New Roman"/>
          <w:sz w:val="24"/>
          <w:szCs w:val="24"/>
          <w:lang w:val="en-ZA"/>
        </w:rPr>
        <w:t xml:space="preserve">by the first respondent. The applicant never alluded to the 2017 acquisition in the founding affidavit. </w:t>
      </w:r>
      <w:r w:rsidR="00EB3F81" w:rsidRPr="00057527">
        <w:rPr>
          <w:rFonts w:ascii="Times New Roman" w:eastAsia="Calibri" w:hAnsi="Times New Roman" w:cs="Times New Roman"/>
          <w:sz w:val="24"/>
          <w:szCs w:val="24"/>
          <w:lang w:val="en-ZA"/>
        </w:rPr>
        <w:t xml:space="preserve"> </w:t>
      </w:r>
      <w:r w:rsidRPr="00057527">
        <w:rPr>
          <w:rFonts w:ascii="Times New Roman" w:eastAsia="Calibri" w:hAnsi="Times New Roman" w:cs="Times New Roman"/>
          <w:sz w:val="24"/>
          <w:szCs w:val="24"/>
          <w:lang w:val="en-ZA"/>
        </w:rPr>
        <w:t xml:space="preserve">The reference to the first respondent’s opposing affidavit in HC 12276/16 was only made in the applicant’s answering affidavit. </w:t>
      </w:r>
    </w:p>
    <w:p w14:paraId="18E25FEC" w14:textId="6C80F511" w:rsidR="007A4F12" w:rsidRPr="00057527" w:rsidRDefault="00536BF4" w:rsidP="00831942">
      <w:pPr>
        <w:spacing w:after="0" w:line="360" w:lineRule="auto"/>
        <w:ind w:firstLine="709"/>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 xml:space="preserve">It </w:t>
      </w:r>
      <w:r w:rsidR="00CF1652" w:rsidRPr="00057527">
        <w:rPr>
          <w:rFonts w:ascii="Times New Roman" w:eastAsia="Calibri" w:hAnsi="Times New Roman" w:cs="Times New Roman"/>
          <w:sz w:val="24"/>
          <w:szCs w:val="24"/>
          <w:lang w:val="en-ZA"/>
        </w:rPr>
        <w:t>emerged</w:t>
      </w:r>
      <w:r w:rsidRPr="00057527">
        <w:rPr>
          <w:rFonts w:ascii="Times New Roman" w:eastAsia="Calibri" w:hAnsi="Times New Roman" w:cs="Times New Roman"/>
          <w:sz w:val="24"/>
          <w:szCs w:val="24"/>
          <w:lang w:val="en-ZA"/>
        </w:rPr>
        <w:t xml:space="preserve"> during </w:t>
      </w:r>
      <w:r w:rsidR="005E6FDA" w:rsidRPr="00057527">
        <w:rPr>
          <w:rFonts w:ascii="Times New Roman" w:eastAsia="Calibri" w:hAnsi="Times New Roman" w:cs="Times New Roman"/>
          <w:sz w:val="24"/>
          <w:szCs w:val="24"/>
          <w:lang w:val="en-ZA"/>
        </w:rPr>
        <w:t xml:space="preserve">submissions that the applicant herein sought the eviction of the second respondent herein from the property in HC 7204/17. </w:t>
      </w:r>
      <w:r w:rsidR="005B45A9">
        <w:rPr>
          <w:rFonts w:ascii="Times New Roman" w:eastAsia="Calibri" w:hAnsi="Times New Roman" w:cs="Times New Roman"/>
          <w:sz w:val="24"/>
          <w:szCs w:val="24"/>
          <w:lang w:val="en-ZA"/>
        </w:rPr>
        <w:t xml:space="preserve"> </w:t>
      </w:r>
      <w:r w:rsidR="005E6FDA" w:rsidRPr="00057527">
        <w:rPr>
          <w:rFonts w:ascii="Times New Roman" w:eastAsia="Calibri" w:hAnsi="Times New Roman" w:cs="Times New Roman"/>
          <w:sz w:val="24"/>
          <w:szCs w:val="24"/>
          <w:lang w:val="en-ZA"/>
        </w:rPr>
        <w:t>It claimed so on the basis that this court in HC 12276 /16 had reversed the 2012 acquisition of the property by th</w:t>
      </w:r>
      <w:r w:rsidR="00CE34AE">
        <w:rPr>
          <w:rFonts w:ascii="Times New Roman" w:eastAsia="Calibri" w:hAnsi="Times New Roman" w:cs="Times New Roman"/>
          <w:sz w:val="24"/>
          <w:szCs w:val="24"/>
          <w:lang w:val="en-ZA"/>
        </w:rPr>
        <w:t xml:space="preserve">e first respondent. </w:t>
      </w:r>
      <w:r w:rsidR="005B45A9">
        <w:rPr>
          <w:rFonts w:ascii="Times New Roman" w:eastAsia="Calibri" w:hAnsi="Times New Roman" w:cs="Times New Roman"/>
          <w:sz w:val="24"/>
          <w:szCs w:val="24"/>
          <w:lang w:val="en-ZA"/>
        </w:rPr>
        <w:t xml:space="preserve"> </w:t>
      </w:r>
      <w:r w:rsidR="00CE34AE">
        <w:rPr>
          <w:rFonts w:ascii="Times New Roman" w:eastAsia="Calibri" w:hAnsi="Times New Roman" w:cs="Times New Roman"/>
          <w:sz w:val="24"/>
          <w:szCs w:val="24"/>
          <w:lang w:val="en-ZA"/>
        </w:rPr>
        <w:t>In para</w:t>
      </w:r>
      <w:r w:rsidR="005E6FDA" w:rsidRPr="00057527">
        <w:rPr>
          <w:rFonts w:ascii="Times New Roman" w:eastAsia="Calibri" w:hAnsi="Times New Roman" w:cs="Times New Roman"/>
          <w:sz w:val="24"/>
          <w:szCs w:val="24"/>
          <w:lang w:val="en-ZA"/>
        </w:rPr>
        <w:t xml:space="preserve"> 11 of the founding affidavit deposed to by Wayne Douglas Parham</w:t>
      </w:r>
      <w:r w:rsidR="00BA729F" w:rsidRPr="00057527">
        <w:rPr>
          <w:rFonts w:ascii="Times New Roman" w:eastAsia="Calibri" w:hAnsi="Times New Roman" w:cs="Times New Roman"/>
          <w:sz w:val="24"/>
          <w:szCs w:val="24"/>
          <w:lang w:val="en-ZA"/>
        </w:rPr>
        <w:t xml:space="preserve"> in HC 7204/17</w:t>
      </w:r>
      <w:r w:rsidR="005E6FDA" w:rsidRPr="00057527">
        <w:rPr>
          <w:rFonts w:ascii="Times New Roman" w:eastAsia="Calibri" w:hAnsi="Times New Roman" w:cs="Times New Roman"/>
          <w:sz w:val="24"/>
          <w:szCs w:val="24"/>
          <w:lang w:val="en-ZA"/>
        </w:rPr>
        <w:t>, the applicant made this bold declaration:</w:t>
      </w:r>
    </w:p>
    <w:p w14:paraId="5F31B34B" w14:textId="5BF2CC99" w:rsidR="005E6FDA" w:rsidRPr="00057527" w:rsidRDefault="005E6FDA" w:rsidP="002778D3">
      <w:pPr>
        <w:spacing w:line="240" w:lineRule="auto"/>
        <w:ind w:left="709"/>
        <w:jc w:val="both"/>
        <w:rPr>
          <w:rFonts w:ascii="Times New Roman" w:eastAsia="Calibri" w:hAnsi="Times New Roman" w:cs="Times New Roman"/>
          <w:lang w:val="en-ZA"/>
        </w:rPr>
      </w:pPr>
      <w:r w:rsidRPr="00057527">
        <w:rPr>
          <w:rFonts w:ascii="Times New Roman" w:eastAsia="Calibri" w:hAnsi="Times New Roman" w:cs="Times New Roman"/>
          <w:lang w:val="en-ZA"/>
        </w:rPr>
        <w:t xml:space="preserve">“I am advised that the Order of court made in </w:t>
      </w:r>
      <w:r w:rsidR="002778D3" w:rsidRPr="00057527">
        <w:rPr>
          <w:rFonts w:ascii="Times New Roman" w:eastAsia="Calibri" w:hAnsi="Times New Roman" w:cs="Times New Roman"/>
          <w:lang w:val="en-ZA"/>
        </w:rPr>
        <w:t xml:space="preserve">HC 12276/16 declared Aldan Farm to be private land and accordingly that gives the Applicant a real right to the use, possession and occupation of Aldan Farm and further gives the Applicant </w:t>
      </w:r>
      <w:r w:rsidR="002778D3" w:rsidRPr="00057527">
        <w:rPr>
          <w:rFonts w:ascii="Times New Roman" w:eastAsia="Calibri" w:hAnsi="Times New Roman" w:cs="Times New Roman"/>
          <w:i/>
          <w:lang w:val="en-ZA"/>
        </w:rPr>
        <w:t>locus standi</w:t>
      </w:r>
      <w:r w:rsidR="002778D3" w:rsidRPr="00057527">
        <w:rPr>
          <w:rFonts w:ascii="Times New Roman" w:eastAsia="Calibri" w:hAnsi="Times New Roman" w:cs="Times New Roman"/>
          <w:lang w:val="en-ZA"/>
        </w:rPr>
        <w:t xml:space="preserve"> to approach this Honourable Court and seek </w:t>
      </w:r>
      <w:r w:rsidR="002778D3" w:rsidRPr="00057527">
        <w:rPr>
          <w:rFonts w:ascii="Times New Roman" w:eastAsia="Calibri" w:hAnsi="Times New Roman" w:cs="Times New Roman"/>
          <w:lang w:val="en-ZA"/>
        </w:rPr>
        <w:lastRenderedPageBreak/>
        <w:t>eviction of the said 1</w:t>
      </w:r>
      <w:r w:rsidR="002778D3" w:rsidRPr="00057527">
        <w:rPr>
          <w:rFonts w:ascii="Times New Roman" w:eastAsia="Calibri" w:hAnsi="Times New Roman" w:cs="Times New Roman"/>
          <w:vertAlign w:val="superscript"/>
          <w:lang w:val="en-ZA"/>
        </w:rPr>
        <w:t>st</w:t>
      </w:r>
      <w:r w:rsidR="002778D3" w:rsidRPr="00057527">
        <w:rPr>
          <w:rFonts w:ascii="Times New Roman" w:eastAsia="Calibri" w:hAnsi="Times New Roman" w:cs="Times New Roman"/>
          <w:lang w:val="en-ZA"/>
        </w:rPr>
        <w:t xml:space="preserve"> Respondent and all those who claim occupation through her from Aldan Farm.”</w:t>
      </w:r>
    </w:p>
    <w:p w14:paraId="0BB37628" w14:textId="712E1707" w:rsidR="002778D3" w:rsidRPr="00057527" w:rsidRDefault="00CE34AE" w:rsidP="002778D3">
      <w:pPr>
        <w:spacing w:after="0" w:line="360" w:lineRule="auto"/>
        <w:ind w:firstLine="709"/>
        <w:jc w:val="both"/>
        <w:rPr>
          <w:rFonts w:ascii="Times New Roman" w:eastAsia="Calibri" w:hAnsi="Times New Roman" w:cs="Times New Roman"/>
          <w:sz w:val="24"/>
          <w:szCs w:val="24"/>
          <w:lang w:val="en-ZA"/>
        </w:rPr>
      </w:pPr>
      <w:r>
        <w:rPr>
          <w:rFonts w:ascii="Times New Roman" w:eastAsia="Calibri" w:hAnsi="Times New Roman" w:cs="Times New Roman"/>
          <w:sz w:val="24"/>
          <w:szCs w:val="24"/>
          <w:lang w:val="en-ZA"/>
        </w:rPr>
        <w:t>In para</w:t>
      </w:r>
      <w:r w:rsidR="002778D3" w:rsidRPr="00057527">
        <w:rPr>
          <w:rFonts w:ascii="Times New Roman" w:eastAsia="Calibri" w:hAnsi="Times New Roman" w:cs="Times New Roman"/>
          <w:sz w:val="24"/>
          <w:szCs w:val="24"/>
          <w:lang w:val="en-ZA"/>
        </w:rPr>
        <w:t xml:space="preserve"> 3 of her opposing affidavit in HC 7204/17, </w:t>
      </w:r>
      <w:r w:rsidR="00BA729F" w:rsidRPr="00057527">
        <w:rPr>
          <w:rFonts w:ascii="Times New Roman" w:eastAsia="Calibri" w:hAnsi="Times New Roman" w:cs="Times New Roman"/>
          <w:sz w:val="24"/>
          <w:szCs w:val="24"/>
          <w:lang w:val="en-ZA"/>
        </w:rPr>
        <w:t xml:space="preserve">the second respondent herein </w:t>
      </w:r>
      <w:r w:rsidR="002778D3" w:rsidRPr="00057527">
        <w:rPr>
          <w:rFonts w:ascii="Times New Roman" w:eastAsia="Calibri" w:hAnsi="Times New Roman" w:cs="Times New Roman"/>
          <w:sz w:val="24"/>
          <w:szCs w:val="24"/>
          <w:lang w:val="en-ZA"/>
        </w:rPr>
        <w:t xml:space="preserve">argued that the order granted in HC 12276/16 had been overtaken by events. The first respondent had </w:t>
      </w:r>
      <w:r w:rsidR="00257E89">
        <w:rPr>
          <w:rFonts w:ascii="Times New Roman" w:eastAsia="Calibri" w:hAnsi="Times New Roman" w:cs="Times New Roman"/>
          <w:sz w:val="24"/>
          <w:szCs w:val="24"/>
          <w:lang w:val="en-ZA"/>
        </w:rPr>
        <w:t>re</w:t>
      </w:r>
      <w:r w:rsidR="002778D3" w:rsidRPr="00057527">
        <w:rPr>
          <w:rFonts w:ascii="Times New Roman" w:eastAsia="Calibri" w:hAnsi="Times New Roman" w:cs="Times New Roman"/>
          <w:sz w:val="24"/>
          <w:szCs w:val="24"/>
          <w:lang w:val="en-ZA"/>
        </w:rPr>
        <w:t xml:space="preserve">gazetted the same property having realised that he had been mistaken about </w:t>
      </w:r>
      <w:r w:rsidR="00EF6B86" w:rsidRPr="00057527">
        <w:rPr>
          <w:rFonts w:ascii="Times New Roman" w:eastAsia="Calibri" w:hAnsi="Times New Roman" w:cs="Times New Roman"/>
          <w:sz w:val="24"/>
          <w:szCs w:val="24"/>
          <w:lang w:val="en-ZA"/>
        </w:rPr>
        <w:t xml:space="preserve">its legal status. The land </w:t>
      </w:r>
      <w:r w:rsidR="002778D3" w:rsidRPr="00057527">
        <w:rPr>
          <w:rFonts w:ascii="Times New Roman" w:eastAsia="Calibri" w:hAnsi="Times New Roman" w:cs="Times New Roman"/>
          <w:sz w:val="24"/>
          <w:szCs w:val="24"/>
          <w:lang w:val="en-ZA"/>
        </w:rPr>
        <w:t>was not urban land</w:t>
      </w:r>
      <w:r w:rsidR="000B7448" w:rsidRPr="00057527">
        <w:rPr>
          <w:rFonts w:ascii="Times New Roman" w:eastAsia="Calibri" w:hAnsi="Times New Roman" w:cs="Times New Roman"/>
          <w:sz w:val="24"/>
          <w:szCs w:val="24"/>
          <w:lang w:val="en-ZA"/>
        </w:rPr>
        <w:t xml:space="preserve">. </w:t>
      </w:r>
      <w:r w:rsidR="005B45A9">
        <w:rPr>
          <w:rFonts w:ascii="Times New Roman" w:eastAsia="Calibri" w:hAnsi="Times New Roman" w:cs="Times New Roman"/>
          <w:sz w:val="24"/>
          <w:szCs w:val="24"/>
          <w:lang w:val="en-ZA"/>
        </w:rPr>
        <w:t xml:space="preserve"> </w:t>
      </w:r>
      <w:r w:rsidR="000B7448" w:rsidRPr="00057527">
        <w:rPr>
          <w:rFonts w:ascii="Times New Roman" w:eastAsia="Calibri" w:hAnsi="Times New Roman" w:cs="Times New Roman"/>
          <w:sz w:val="24"/>
          <w:szCs w:val="24"/>
          <w:lang w:val="en-ZA"/>
        </w:rPr>
        <w:t xml:space="preserve">It </w:t>
      </w:r>
      <w:r w:rsidR="00EF6B86" w:rsidRPr="00057527">
        <w:rPr>
          <w:rFonts w:ascii="Times New Roman" w:eastAsia="Calibri" w:hAnsi="Times New Roman" w:cs="Times New Roman"/>
          <w:sz w:val="24"/>
          <w:szCs w:val="24"/>
          <w:lang w:val="en-ZA"/>
        </w:rPr>
        <w:t xml:space="preserve">was </w:t>
      </w:r>
      <w:r w:rsidR="002778D3" w:rsidRPr="00057527">
        <w:rPr>
          <w:rFonts w:ascii="Times New Roman" w:eastAsia="Calibri" w:hAnsi="Times New Roman" w:cs="Times New Roman"/>
          <w:sz w:val="24"/>
          <w:szCs w:val="24"/>
          <w:lang w:val="en-ZA"/>
        </w:rPr>
        <w:t xml:space="preserve">rural land. </w:t>
      </w:r>
      <w:r w:rsidR="005B45A9">
        <w:rPr>
          <w:rFonts w:ascii="Times New Roman" w:eastAsia="Calibri" w:hAnsi="Times New Roman" w:cs="Times New Roman"/>
          <w:sz w:val="24"/>
          <w:szCs w:val="24"/>
          <w:lang w:val="en-ZA"/>
        </w:rPr>
        <w:t xml:space="preserve"> </w:t>
      </w:r>
      <w:r w:rsidR="00EF6B86" w:rsidRPr="00057527">
        <w:rPr>
          <w:rFonts w:ascii="Times New Roman" w:eastAsia="Calibri" w:hAnsi="Times New Roman" w:cs="Times New Roman"/>
          <w:sz w:val="24"/>
          <w:szCs w:val="24"/>
          <w:lang w:val="en-ZA"/>
        </w:rPr>
        <w:t xml:space="preserve">It was on that basis that </w:t>
      </w:r>
      <w:r w:rsidR="000B7448" w:rsidRPr="00057527">
        <w:rPr>
          <w:rFonts w:ascii="Times New Roman" w:eastAsia="Calibri" w:hAnsi="Times New Roman" w:cs="Times New Roman"/>
          <w:sz w:val="24"/>
          <w:szCs w:val="24"/>
          <w:lang w:val="en-ZA"/>
        </w:rPr>
        <w:t xml:space="preserve">the second respondent </w:t>
      </w:r>
      <w:r w:rsidR="00EF6B86" w:rsidRPr="00057527">
        <w:rPr>
          <w:rFonts w:ascii="Times New Roman" w:eastAsia="Calibri" w:hAnsi="Times New Roman" w:cs="Times New Roman"/>
          <w:sz w:val="24"/>
          <w:szCs w:val="24"/>
          <w:lang w:val="en-ZA"/>
        </w:rPr>
        <w:t>was issued with an offer letter on 4 August 2017. That offer letter from the first respondent is annexure B to her opposing affidavit in that matter. The first respondent herein also deposed to an opposing affidavit in HC 7204/17</w:t>
      </w:r>
      <w:r w:rsidR="000B7448" w:rsidRPr="00057527">
        <w:rPr>
          <w:rFonts w:ascii="Times New Roman" w:eastAsia="Calibri" w:hAnsi="Times New Roman" w:cs="Times New Roman"/>
          <w:sz w:val="24"/>
          <w:szCs w:val="24"/>
          <w:lang w:val="en-ZA"/>
        </w:rPr>
        <w:t xml:space="preserve">. </w:t>
      </w:r>
      <w:r w:rsidR="003E4857">
        <w:rPr>
          <w:rFonts w:ascii="Times New Roman" w:eastAsia="Calibri" w:hAnsi="Times New Roman" w:cs="Times New Roman"/>
          <w:sz w:val="24"/>
          <w:szCs w:val="24"/>
          <w:lang w:val="en-ZA"/>
        </w:rPr>
        <w:t xml:space="preserve"> </w:t>
      </w:r>
      <w:r w:rsidR="000B7448" w:rsidRPr="00057527">
        <w:rPr>
          <w:rFonts w:ascii="Times New Roman" w:eastAsia="Calibri" w:hAnsi="Times New Roman" w:cs="Times New Roman"/>
          <w:sz w:val="24"/>
          <w:szCs w:val="24"/>
          <w:lang w:val="en-ZA"/>
        </w:rPr>
        <w:t xml:space="preserve">He averred </w:t>
      </w:r>
      <w:r w:rsidR="00EF6B86" w:rsidRPr="00057527">
        <w:rPr>
          <w:rFonts w:ascii="Times New Roman" w:eastAsia="Calibri" w:hAnsi="Times New Roman" w:cs="Times New Roman"/>
          <w:sz w:val="24"/>
          <w:szCs w:val="24"/>
          <w:lang w:val="en-ZA"/>
        </w:rPr>
        <w:t xml:space="preserve">that the same land was now State land by virtue of its reacquisition through the General Notice 456 of 2017. </w:t>
      </w:r>
    </w:p>
    <w:p w14:paraId="5A72FDC7" w14:textId="40665C47" w:rsidR="00DD1036" w:rsidRPr="00057527" w:rsidRDefault="00EF6B86" w:rsidP="002778D3">
      <w:pPr>
        <w:spacing w:after="0" w:line="360" w:lineRule="auto"/>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ab/>
        <w:t xml:space="preserve">I have already observed that from a closer reading of the applicant’s affidavit herein, </w:t>
      </w:r>
      <w:r w:rsidR="007D3DDF" w:rsidRPr="00057527">
        <w:rPr>
          <w:rFonts w:ascii="Times New Roman" w:eastAsia="Calibri" w:hAnsi="Times New Roman" w:cs="Times New Roman"/>
          <w:sz w:val="24"/>
          <w:szCs w:val="24"/>
          <w:lang w:val="en-ZA"/>
        </w:rPr>
        <w:t xml:space="preserve">his </w:t>
      </w:r>
      <w:r w:rsidR="00C53C5C">
        <w:rPr>
          <w:rFonts w:ascii="Times New Roman" w:eastAsia="Calibri" w:hAnsi="Times New Roman" w:cs="Times New Roman"/>
          <w:sz w:val="24"/>
          <w:szCs w:val="24"/>
          <w:lang w:val="en-ZA"/>
        </w:rPr>
        <w:t xml:space="preserve">gripe </w:t>
      </w:r>
      <w:r w:rsidRPr="00057527">
        <w:rPr>
          <w:rFonts w:ascii="Times New Roman" w:eastAsia="Calibri" w:hAnsi="Times New Roman" w:cs="Times New Roman"/>
          <w:sz w:val="24"/>
          <w:szCs w:val="24"/>
          <w:lang w:val="en-ZA"/>
        </w:rPr>
        <w:t xml:space="preserve">was </w:t>
      </w:r>
      <w:r w:rsidR="00C53C5C">
        <w:rPr>
          <w:rFonts w:ascii="Times New Roman" w:eastAsia="Calibri" w:hAnsi="Times New Roman" w:cs="Times New Roman"/>
          <w:sz w:val="24"/>
          <w:szCs w:val="24"/>
          <w:lang w:val="en-ZA"/>
        </w:rPr>
        <w:t xml:space="preserve">with </w:t>
      </w:r>
      <w:r w:rsidRPr="00057527">
        <w:rPr>
          <w:rFonts w:ascii="Times New Roman" w:eastAsia="Calibri" w:hAnsi="Times New Roman" w:cs="Times New Roman"/>
          <w:sz w:val="24"/>
          <w:szCs w:val="24"/>
          <w:lang w:val="en-ZA"/>
        </w:rPr>
        <w:t xml:space="preserve">the 2012 </w:t>
      </w:r>
      <w:r w:rsidR="00DD1036" w:rsidRPr="00057527">
        <w:rPr>
          <w:rFonts w:ascii="Times New Roman" w:eastAsia="Calibri" w:hAnsi="Times New Roman" w:cs="Times New Roman"/>
          <w:sz w:val="24"/>
          <w:szCs w:val="24"/>
          <w:lang w:val="en-ZA"/>
        </w:rPr>
        <w:t>n</w:t>
      </w:r>
      <w:r w:rsidRPr="00057527">
        <w:rPr>
          <w:rFonts w:ascii="Times New Roman" w:eastAsia="Calibri" w:hAnsi="Times New Roman" w:cs="Times New Roman"/>
          <w:sz w:val="24"/>
          <w:szCs w:val="24"/>
          <w:lang w:val="en-ZA"/>
        </w:rPr>
        <w:t xml:space="preserve">otice of </w:t>
      </w:r>
      <w:r w:rsidR="00DD1036" w:rsidRPr="00057527">
        <w:rPr>
          <w:rFonts w:ascii="Times New Roman" w:eastAsia="Calibri" w:hAnsi="Times New Roman" w:cs="Times New Roman"/>
          <w:sz w:val="24"/>
          <w:szCs w:val="24"/>
          <w:lang w:val="en-ZA"/>
        </w:rPr>
        <w:t xml:space="preserve">acquisition </w:t>
      </w:r>
      <w:r w:rsidR="00C53C5C">
        <w:rPr>
          <w:rFonts w:ascii="Times New Roman" w:eastAsia="Calibri" w:hAnsi="Times New Roman" w:cs="Times New Roman"/>
          <w:sz w:val="24"/>
          <w:szCs w:val="24"/>
          <w:lang w:val="en-ZA"/>
        </w:rPr>
        <w:t xml:space="preserve">issued </w:t>
      </w:r>
      <w:r w:rsidR="00DD1036" w:rsidRPr="00057527">
        <w:rPr>
          <w:rFonts w:ascii="Times New Roman" w:eastAsia="Calibri" w:hAnsi="Times New Roman" w:cs="Times New Roman"/>
          <w:sz w:val="24"/>
          <w:szCs w:val="24"/>
          <w:lang w:val="en-ZA"/>
        </w:rPr>
        <w:t>by the first respondent. Th</w:t>
      </w:r>
      <w:r w:rsidR="00C53C5C">
        <w:rPr>
          <w:rFonts w:ascii="Times New Roman" w:eastAsia="Calibri" w:hAnsi="Times New Roman" w:cs="Times New Roman"/>
          <w:sz w:val="24"/>
          <w:szCs w:val="24"/>
          <w:lang w:val="en-ZA"/>
        </w:rPr>
        <w:t>at thi</w:t>
      </w:r>
      <w:r w:rsidR="00DD1036" w:rsidRPr="00057527">
        <w:rPr>
          <w:rFonts w:ascii="Times New Roman" w:eastAsia="Calibri" w:hAnsi="Times New Roman" w:cs="Times New Roman"/>
          <w:sz w:val="24"/>
          <w:szCs w:val="24"/>
          <w:lang w:val="en-ZA"/>
        </w:rPr>
        <w:t xml:space="preserve">s </w:t>
      </w:r>
      <w:r w:rsidR="00C53C5C">
        <w:rPr>
          <w:rFonts w:ascii="Times New Roman" w:eastAsia="Calibri" w:hAnsi="Times New Roman" w:cs="Times New Roman"/>
          <w:sz w:val="24"/>
          <w:szCs w:val="24"/>
          <w:lang w:val="en-ZA"/>
        </w:rPr>
        <w:t xml:space="preserve">is the </w:t>
      </w:r>
      <w:r w:rsidR="00CE34AE">
        <w:rPr>
          <w:rFonts w:ascii="Times New Roman" w:eastAsia="Calibri" w:hAnsi="Times New Roman" w:cs="Times New Roman"/>
          <w:sz w:val="24"/>
          <w:szCs w:val="24"/>
          <w:lang w:val="en-ZA"/>
        </w:rPr>
        <w:t>position is clear from para</w:t>
      </w:r>
      <w:r w:rsidR="00DD1036" w:rsidRPr="00057527">
        <w:rPr>
          <w:rFonts w:ascii="Times New Roman" w:eastAsia="Calibri" w:hAnsi="Times New Roman" w:cs="Times New Roman"/>
          <w:sz w:val="24"/>
          <w:szCs w:val="24"/>
          <w:lang w:val="en-ZA"/>
        </w:rPr>
        <w:t xml:space="preserve"> 11 of the</w:t>
      </w:r>
      <w:r w:rsidR="007D3DDF" w:rsidRPr="00057527">
        <w:rPr>
          <w:rFonts w:ascii="Times New Roman" w:eastAsia="Calibri" w:hAnsi="Times New Roman" w:cs="Times New Roman"/>
          <w:sz w:val="24"/>
          <w:szCs w:val="24"/>
          <w:lang w:val="en-ZA"/>
        </w:rPr>
        <w:t xml:space="preserve"> founding</w:t>
      </w:r>
      <w:r w:rsidR="00DD1036" w:rsidRPr="00057527">
        <w:rPr>
          <w:rFonts w:ascii="Times New Roman" w:eastAsia="Calibri" w:hAnsi="Times New Roman" w:cs="Times New Roman"/>
          <w:sz w:val="24"/>
          <w:szCs w:val="24"/>
          <w:lang w:val="en-ZA"/>
        </w:rPr>
        <w:t xml:space="preserve"> affidavit which reads</w:t>
      </w:r>
      <w:r w:rsidR="007D3DDF" w:rsidRPr="00057527">
        <w:rPr>
          <w:rFonts w:ascii="Times New Roman" w:eastAsia="Calibri" w:hAnsi="Times New Roman" w:cs="Times New Roman"/>
          <w:sz w:val="24"/>
          <w:szCs w:val="24"/>
          <w:lang w:val="en-ZA"/>
        </w:rPr>
        <w:t xml:space="preserve"> as follows</w:t>
      </w:r>
      <w:r w:rsidR="00DD1036" w:rsidRPr="00057527">
        <w:rPr>
          <w:rFonts w:ascii="Times New Roman" w:eastAsia="Calibri" w:hAnsi="Times New Roman" w:cs="Times New Roman"/>
          <w:sz w:val="24"/>
          <w:szCs w:val="24"/>
          <w:lang w:val="en-ZA"/>
        </w:rPr>
        <w:t>:</w:t>
      </w:r>
    </w:p>
    <w:p w14:paraId="7EC8A0CA" w14:textId="0D7408F3" w:rsidR="002778D3" w:rsidRPr="00057527" w:rsidRDefault="00DD1036" w:rsidP="00C53C5C">
      <w:pPr>
        <w:spacing w:line="240" w:lineRule="auto"/>
        <w:ind w:left="720"/>
        <w:jc w:val="both"/>
        <w:rPr>
          <w:rFonts w:ascii="Times New Roman" w:eastAsia="Calibri" w:hAnsi="Times New Roman" w:cs="Times New Roman"/>
          <w:lang w:val="en-ZA"/>
        </w:rPr>
      </w:pPr>
      <w:r w:rsidRPr="00057527">
        <w:rPr>
          <w:rFonts w:ascii="Times New Roman" w:eastAsia="Calibri" w:hAnsi="Times New Roman" w:cs="Times New Roman"/>
          <w:lang w:val="en-ZA"/>
        </w:rPr>
        <w:t>“Thereafter, on 6 April 2012, the first respondent professed to have identified the property for acquisition in terms of s 16B(2)(a)(iii) of the former Constitution of Zimbabwe by publishing a notice to that effect in the Government Gazette….”</w:t>
      </w:r>
    </w:p>
    <w:p w14:paraId="31EEEE6E" w14:textId="0CE27F69" w:rsidR="00C53C5C" w:rsidRDefault="00C53C5C" w:rsidP="00C53C5C">
      <w:pPr>
        <w:spacing w:line="240" w:lineRule="auto"/>
        <w:jc w:val="both"/>
        <w:rPr>
          <w:rFonts w:ascii="Times New Roman" w:eastAsia="Calibri" w:hAnsi="Times New Roman" w:cs="Times New Roman"/>
          <w:sz w:val="24"/>
          <w:szCs w:val="24"/>
          <w:lang w:val="en-ZA"/>
        </w:rPr>
      </w:pPr>
      <w:r w:rsidRPr="00C53C5C">
        <w:rPr>
          <w:rFonts w:ascii="Times New Roman" w:eastAsia="Calibri" w:hAnsi="Times New Roman" w:cs="Times New Roman"/>
          <w:sz w:val="24"/>
          <w:szCs w:val="24"/>
          <w:lang w:val="en-ZA"/>
        </w:rPr>
        <w:t xml:space="preserve">In para 16 of the </w:t>
      </w:r>
      <w:r>
        <w:rPr>
          <w:rFonts w:ascii="Times New Roman" w:eastAsia="Calibri" w:hAnsi="Times New Roman" w:cs="Times New Roman"/>
          <w:sz w:val="24"/>
          <w:szCs w:val="24"/>
          <w:lang w:val="en-ZA"/>
        </w:rPr>
        <w:t>founding affidavit, the applicant further states as follows:</w:t>
      </w:r>
    </w:p>
    <w:p w14:paraId="34DC923A" w14:textId="34252E95" w:rsidR="00C53C5C" w:rsidRDefault="00C53C5C" w:rsidP="00C53C5C">
      <w:pPr>
        <w:spacing w:after="0" w:line="240" w:lineRule="auto"/>
        <w:ind w:left="720"/>
        <w:jc w:val="both"/>
        <w:rPr>
          <w:rFonts w:ascii="Times New Roman" w:eastAsia="Calibri" w:hAnsi="Times New Roman" w:cs="Times New Roman"/>
          <w:lang w:val="en-ZA"/>
        </w:rPr>
      </w:pPr>
      <w:r w:rsidRPr="00C53C5C">
        <w:rPr>
          <w:rFonts w:ascii="Times New Roman" w:eastAsia="Calibri" w:hAnsi="Times New Roman" w:cs="Times New Roman"/>
          <w:lang w:val="en-ZA"/>
        </w:rPr>
        <w:t xml:space="preserve">“I therefore contend that the </w:t>
      </w:r>
      <w:r>
        <w:rPr>
          <w:rFonts w:ascii="Times New Roman" w:eastAsia="Calibri" w:hAnsi="Times New Roman" w:cs="Times New Roman"/>
          <w:lang w:val="en-ZA"/>
        </w:rPr>
        <w:t>property did not constitute agricultural land that was liable to acquisition for settlement for acquisition purposes in terms of the former Constitution, and that the purported acquisition was, consequently, invalid on account of that error.”</w:t>
      </w:r>
    </w:p>
    <w:p w14:paraId="1178D79C" w14:textId="77777777" w:rsidR="00C53C5C" w:rsidRPr="00C53C5C" w:rsidRDefault="00C53C5C" w:rsidP="00C53C5C">
      <w:pPr>
        <w:spacing w:after="0" w:line="240" w:lineRule="auto"/>
        <w:ind w:left="720"/>
        <w:jc w:val="both"/>
        <w:rPr>
          <w:rFonts w:ascii="Times New Roman" w:eastAsia="Calibri" w:hAnsi="Times New Roman" w:cs="Times New Roman"/>
          <w:lang w:val="en-ZA"/>
        </w:rPr>
      </w:pPr>
    </w:p>
    <w:p w14:paraId="75ACA654" w14:textId="124BEB4A" w:rsidR="00152399" w:rsidRPr="00057527" w:rsidRDefault="00DD1036" w:rsidP="00DD1036">
      <w:pPr>
        <w:spacing w:after="0" w:line="360" w:lineRule="auto"/>
        <w:ind w:firstLine="720"/>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 xml:space="preserve">Attached to the founding affidavit is a copy of General Notice 134 of 2012 published in the Government Gazette of 6 April 2012. </w:t>
      </w:r>
      <w:r w:rsidR="003E4857">
        <w:rPr>
          <w:rFonts w:ascii="Times New Roman" w:eastAsia="Calibri" w:hAnsi="Times New Roman" w:cs="Times New Roman"/>
          <w:sz w:val="24"/>
          <w:szCs w:val="24"/>
          <w:lang w:val="en-ZA"/>
        </w:rPr>
        <w:t xml:space="preserve"> </w:t>
      </w:r>
      <w:r w:rsidRPr="00057527">
        <w:rPr>
          <w:rFonts w:ascii="Times New Roman" w:eastAsia="Calibri" w:hAnsi="Times New Roman" w:cs="Times New Roman"/>
          <w:sz w:val="24"/>
          <w:szCs w:val="24"/>
          <w:lang w:val="en-ZA"/>
        </w:rPr>
        <w:t xml:space="preserve">The submission by Mr </w:t>
      </w:r>
      <w:r w:rsidRPr="00057527">
        <w:rPr>
          <w:rFonts w:ascii="Times New Roman" w:eastAsia="Calibri" w:hAnsi="Times New Roman" w:cs="Times New Roman"/>
          <w:i/>
          <w:sz w:val="24"/>
          <w:szCs w:val="24"/>
          <w:lang w:val="en-ZA"/>
        </w:rPr>
        <w:t xml:space="preserve">Ochieng </w:t>
      </w:r>
      <w:r w:rsidRPr="00057527">
        <w:rPr>
          <w:rFonts w:ascii="Times New Roman" w:eastAsia="Calibri" w:hAnsi="Times New Roman" w:cs="Times New Roman"/>
          <w:sz w:val="24"/>
          <w:szCs w:val="24"/>
          <w:lang w:val="en-ZA"/>
        </w:rPr>
        <w:t xml:space="preserve">that this application must be broadly </w:t>
      </w:r>
      <w:r w:rsidR="00052D8F" w:rsidRPr="00057527">
        <w:rPr>
          <w:rFonts w:ascii="Times New Roman" w:eastAsia="Calibri" w:hAnsi="Times New Roman" w:cs="Times New Roman"/>
          <w:sz w:val="24"/>
          <w:szCs w:val="24"/>
          <w:lang w:val="en-ZA"/>
        </w:rPr>
        <w:t xml:space="preserve">interpreted </w:t>
      </w:r>
      <w:r w:rsidRPr="00057527">
        <w:rPr>
          <w:rFonts w:ascii="Times New Roman" w:eastAsia="Calibri" w:hAnsi="Times New Roman" w:cs="Times New Roman"/>
          <w:sz w:val="24"/>
          <w:szCs w:val="24"/>
          <w:lang w:val="en-ZA"/>
        </w:rPr>
        <w:t xml:space="preserve">to </w:t>
      </w:r>
      <w:r w:rsidR="00C53C5C">
        <w:rPr>
          <w:rFonts w:ascii="Times New Roman" w:eastAsia="Calibri" w:hAnsi="Times New Roman" w:cs="Times New Roman"/>
          <w:sz w:val="24"/>
          <w:szCs w:val="24"/>
          <w:lang w:val="en-ZA"/>
        </w:rPr>
        <w:t xml:space="preserve">incorporate </w:t>
      </w:r>
      <w:r w:rsidRPr="00057527">
        <w:rPr>
          <w:rFonts w:ascii="Times New Roman" w:eastAsia="Calibri" w:hAnsi="Times New Roman" w:cs="Times New Roman"/>
          <w:sz w:val="24"/>
          <w:szCs w:val="24"/>
          <w:lang w:val="en-ZA"/>
        </w:rPr>
        <w:t>any future acquisition</w:t>
      </w:r>
      <w:r w:rsidR="00C53C5C">
        <w:rPr>
          <w:rFonts w:ascii="Times New Roman" w:eastAsia="Calibri" w:hAnsi="Times New Roman" w:cs="Times New Roman"/>
          <w:sz w:val="24"/>
          <w:szCs w:val="24"/>
          <w:lang w:val="en-ZA"/>
        </w:rPr>
        <w:t xml:space="preserve">, which would </w:t>
      </w:r>
      <w:r w:rsidRPr="00057527">
        <w:rPr>
          <w:rFonts w:ascii="Times New Roman" w:eastAsia="Calibri" w:hAnsi="Times New Roman" w:cs="Times New Roman"/>
          <w:sz w:val="24"/>
          <w:szCs w:val="24"/>
          <w:lang w:val="en-ZA"/>
        </w:rPr>
        <w:t xml:space="preserve">include the subsequent 2017 acquisition is </w:t>
      </w:r>
      <w:r w:rsidR="00052D8F" w:rsidRPr="00057527">
        <w:rPr>
          <w:rFonts w:ascii="Times New Roman" w:eastAsia="Calibri" w:hAnsi="Times New Roman" w:cs="Times New Roman"/>
          <w:sz w:val="24"/>
          <w:szCs w:val="24"/>
          <w:lang w:val="en-ZA"/>
        </w:rPr>
        <w:t xml:space="preserve">in the court’s view </w:t>
      </w:r>
      <w:r w:rsidRPr="00057527">
        <w:rPr>
          <w:rFonts w:ascii="Times New Roman" w:eastAsia="Calibri" w:hAnsi="Times New Roman" w:cs="Times New Roman"/>
          <w:sz w:val="24"/>
          <w:szCs w:val="24"/>
          <w:lang w:val="en-ZA"/>
        </w:rPr>
        <w:t xml:space="preserve">without merit. </w:t>
      </w:r>
      <w:r w:rsidR="00CE34AE">
        <w:rPr>
          <w:rFonts w:ascii="Times New Roman" w:eastAsia="Calibri" w:hAnsi="Times New Roman" w:cs="Times New Roman"/>
          <w:sz w:val="24"/>
          <w:szCs w:val="24"/>
          <w:lang w:val="en-ZA"/>
        </w:rPr>
        <w:t xml:space="preserve"> </w:t>
      </w:r>
      <w:r w:rsidRPr="00057527">
        <w:rPr>
          <w:rFonts w:ascii="Times New Roman" w:eastAsia="Calibri" w:hAnsi="Times New Roman" w:cs="Times New Roman"/>
          <w:sz w:val="24"/>
          <w:szCs w:val="24"/>
          <w:lang w:val="en-ZA"/>
        </w:rPr>
        <w:t>An application must stand or fall on the basis of the founding papers.</w:t>
      </w:r>
      <w:r w:rsidR="003E4857">
        <w:rPr>
          <w:rFonts w:ascii="Times New Roman" w:eastAsia="Calibri" w:hAnsi="Times New Roman" w:cs="Times New Roman"/>
          <w:sz w:val="24"/>
          <w:szCs w:val="24"/>
          <w:lang w:val="en-ZA"/>
        </w:rPr>
        <w:t xml:space="preserve"> </w:t>
      </w:r>
      <w:r w:rsidRPr="00057527">
        <w:rPr>
          <w:rFonts w:ascii="Times New Roman" w:eastAsia="Calibri" w:hAnsi="Times New Roman" w:cs="Times New Roman"/>
          <w:sz w:val="24"/>
          <w:szCs w:val="24"/>
          <w:lang w:val="en-ZA"/>
        </w:rPr>
        <w:t xml:space="preserve"> It only emerged well after the present application was filed that there were </w:t>
      </w:r>
      <w:r w:rsidR="00052D8F" w:rsidRPr="00057527">
        <w:rPr>
          <w:rFonts w:ascii="Times New Roman" w:eastAsia="Calibri" w:hAnsi="Times New Roman" w:cs="Times New Roman"/>
          <w:sz w:val="24"/>
          <w:szCs w:val="24"/>
          <w:lang w:val="en-ZA"/>
        </w:rPr>
        <w:t>in fact</w:t>
      </w:r>
      <w:r w:rsidRPr="00057527">
        <w:rPr>
          <w:rFonts w:ascii="Times New Roman" w:eastAsia="Calibri" w:hAnsi="Times New Roman" w:cs="Times New Roman"/>
          <w:sz w:val="24"/>
          <w:szCs w:val="24"/>
          <w:lang w:val="en-ZA"/>
        </w:rPr>
        <w:t xml:space="preserve"> other matters that had a huge bearing on the present matter. </w:t>
      </w:r>
      <w:r w:rsidR="00141542">
        <w:rPr>
          <w:rFonts w:ascii="Times New Roman" w:eastAsia="Calibri" w:hAnsi="Times New Roman" w:cs="Times New Roman"/>
          <w:sz w:val="24"/>
          <w:szCs w:val="24"/>
          <w:lang w:val="en-ZA"/>
        </w:rPr>
        <w:t xml:space="preserve">It is in those other matters that it was disclosed that the property was regazetted for agricultural purposes in 2017, and that the second respondent had been issued with an offer letter pursuant to that process. The dispute before me is not about the lawfulness of the 2017, but it is rather concerned with the lawfulness of the 2012 acquisition. </w:t>
      </w:r>
    </w:p>
    <w:p w14:paraId="745B5273" w14:textId="4D5DE138" w:rsidR="00754D43" w:rsidRPr="00057527" w:rsidRDefault="00152399" w:rsidP="00DD1036">
      <w:pPr>
        <w:spacing w:after="0" w:line="360" w:lineRule="auto"/>
        <w:ind w:firstLine="720"/>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The court determines that the issue</w:t>
      </w:r>
      <w:r w:rsidR="00052D8F" w:rsidRPr="00057527">
        <w:rPr>
          <w:rFonts w:ascii="Times New Roman" w:eastAsia="Calibri" w:hAnsi="Times New Roman" w:cs="Times New Roman"/>
          <w:sz w:val="24"/>
          <w:szCs w:val="24"/>
          <w:lang w:val="en-ZA"/>
        </w:rPr>
        <w:t>s</w:t>
      </w:r>
      <w:r w:rsidRPr="00057527">
        <w:rPr>
          <w:rFonts w:ascii="Times New Roman" w:eastAsia="Calibri" w:hAnsi="Times New Roman" w:cs="Times New Roman"/>
          <w:sz w:val="24"/>
          <w:szCs w:val="24"/>
          <w:lang w:val="en-ZA"/>
        </w:rPr>
        <w:t xml:space="preserve"> arising for determination in the present matter w</w:t>
      </w:r>
      <w:r w:rsidR="00141542">
        <w:rPr>
          <w:rFonts w:ascii="Times New Roman" w:eastAsia="Calibri" w:hAnsi="Times New Roman" w:cs="Times New Roman"/>
          <w:sz w:val="24"/>
          <w:szCs w:val="24"/>
          <w:lang w:val="en-ZA"/>
        </w:rPr>
        <w:t xml:space="preserve">ere </w:t>
      </w:r>
      <w:r w:rsidRPr="00057527">
        <w:rPr>
          <w:rFonts w:ascii="Times New Roman" w:eastAsia="Calibri" w:hAnsi="Times New Roman" w:cs="Times New Roman"/>
          <w:sz w:val="24"/>
          <w:szCs w:val="24"/>
          <w:lang w:val="en-ZA"/>
        </w:rPr>
        <w:t xml:space="preserve">judicially determined by this court in HC 12276/16. This court cannot therefore render another </w:t>
      </w:r>
      <w:r w:rsidRPr="00057527">
        <w:rPr>
          <w:rFonts w:ascii="Times New Roman" w:eastAsia="Calibri" w:hAnsi="Times New Roman" w:cs="Times New Roman"/>
          <w:sz w:val="24"/>
          <w:szCs w:val="24"/>
          <w:lang w:val="en-ZA"/>
        </w:rPr>
        <w:lastRenderedPageBreak/>
        <w:t>determination on the same issue</w:t>
      </w:r>
      <w:r w:rsidR="00141542">
        <w:rPr>
          <w:rFonts w:ascii="Times New Roman" w:eastAsia="Calibri" w:hAnsi="Times New Roman" w:cs="Times New Roman"/>
          <w:sz w:val="24"/>
          <w:szCs w:val="24"/>
          <w:lang w:val="en-ZA"/>
        </w:rPr>
        <w:t>s</w:t>
      </w:r>
      <w:r w:rsidRPr="00057527">
        <w:rPr>
          <w:rFonts w:ascii="Times New Roman" w:eastAsia="Calibri" w:hAnsi="Times New Roman" w:cs="Times New Roman"/>
          <w:sz w:val="24"/>
          <w:szCs w:val="24"/>
          <w:lang w:val="en-ZA"/>
        </w:rPr>
        <w:t xml:space="preserve">. </w:t>
      </w:r>
      <w:r w:rsidR="003E4857">
        <w:rPr>
          <w:rFonts w:ascii="Times New Roman" w:eastAsia="Calibri" w:hAnsi="Times New Roman" w:cs="Times New Roman"/>
          <w:sz w:val="24"/>
          <w:szCs w:val="24"/>
          <w:lang w:val="en-ZA"/>
        </w:rPr>
        <w:t xml:space="preserve"> </w:t>
      </w:r>
      <w:r w:rsidR="00122666" w:rsidRPr="00057527">
        <w:rPr>
          <w:rFonts w:ascii="Times New Roman" w:eastAsia="Calibri" w:hAnsi="Times New Roman" w:cs="Times New Roman"/>
          <w:sz w:val="24"/>
          <w:szCs w:val="24"/>
          <w:lang w:val="en-ZA"/>
        </w:rPr>
        <w:t>As a matter of principle, this court is permitted to take judicial notice of its own record. The proceedings in HC 7204/14 show that the offer letter that this court is being calle</w:t>
      </w:r>
      <w:r w:rsidR="00CE34AE">
        <w:rPr>
          <w:rFonts w:ascii="Times New Roman" w:eastAsia="Calibri" w:hAnsi="Times New Roman" w:cs="Times New Roman"/>
          <w:sz w:val="24"/>
          <w:szCs w:val="24"/>
          <w:lang w:val="en-ZA"/>
        </w:rPr>
        <w:t>d upon to set aside in para</w:t>
      </w:r>
      <w:r w:rsidR="00122666" w:rsidRPr="00057527">
        <w:rPr>
          <w:rFonts w:ascii="Times New Roman" w:eastAsia="Calibri" w:hAnsi="Times New Roman" w:cs="Times New Roman"/>
          <w:sz w:val="24"/>
          <w:szCs w:val="24"/>
          <w:lang w:val="en-ZA"/>
        </w:rPr>
        <w:t xml:space="preserve"> 2.3 of the draft order</w:t>
      </w:r>
      <w:r w:rsidR="002F56AA" w:rsidRPr="00057527">
        <w:rPr>
          <w:rFonts w:ascii="Times New Roman" w:eastAsia="Calibri" w:hAnsi="Times New Roman" w:cs="Times New Roman"/>
          <w:sz w:val="24"/>
          <w:szCs w:val="24"/>
          <w:lang w:val="en-ZA"/>
        </w:rPr>
        <w:t>,</w:t>
      </w:r>
      <w:r w:rsidR="00122666" w:rsidRPr="00057527">
        <w:rPr>
          <w:rFonts w:ascii="Times New Roman" w:eastAsia="Calibri" w:hAnsi="Times New Roman" w:cs="Times New Roman"/>
          <w:sz w:val="24"/>
          <w:szCs w:val="24"/>
          <w:lang w:val="en-ZA"/>
        </w:rPr>
        <w:t xml:space="preserve"> was issued pursuant to the 2017 acquisition of the property by the first respondent. The court cannot set aside </w:t>
      </w:r>
      <w:r w:rsidR="002F56AA" w:rsidRPr="00057527">
        <w:rPr>
          <w:rFonts w:ascii="Times New Roman" w:eastAsia="Calibri" w:hAnsi="Times New Roman" w:cs="Times New Roman"/>
          <w:sz w:val="24"/>
          <w:szCs w:val="24"/>
          <w:lang w:val="en-ZA"/>
        </w:rPr>
        <w:t xml:space="preserve">the offer letter </w:t>
      </w:r>
      <w:r w:rsidR="00122666" w:rsidRPr="00057527">
        <w:rPr>
          <w:rFonts w:ascii="Times New Roman" w:eastAsia="Calibri" w:hAnsi="Times New Roman" w:cs="Times New Roman"/>
          <w:sz w:val="24"/>
          <w:szCs w:val="24"/>
          <w:lang w:val="en-ZA"/>
        </w:rPr>
        <w:t xml:space="preserve">under the current proceedings, which are based on a challenge of the 2012 acquisition of the land. </w:t>
      </w:r>
      <w:r w:rsidR="003E4857">
        <w:rPr>
          <w:rFonts w:ascii="Times New Roman" w:eastAsia="Calibri" w:hAnsi="Times New Roman" w:cs="Times New Roman"/>
          <w:sz w:val="24"/>
          <w:szCs w:val="24"/>
          <w:lang w:val="en-ZA"/>
        </w:rPr>
        <w:t xml:space="preserve"> </w:t>
      </w:r>
      <w:r w:rsidR="00052D8F" w:rsidRPr="00057527">
        <w:rPr>
          <w:rFonts w:ascii="Times New Roman" w:eastAsia="Calibri" w:hAnsi="Times New Roman" w:cs="Times New Roman"/>
          <w:sz w:val="24"/>
          <w:szCs w:val="24"/>
          <w:lang w:val="en-ZA"/>
        </w:rPr>
        <w:t xml:space="preserve">From the papers before the court, </w:t>
      </w:r>
      <w:r w:rsidR="00141542">
        <w:rPr>
          <w:rFonts w:ascii="Times New Roman" w:eastAsia="Calibri" w:hAnsi="Times New Roman" w:cs="Times New Roman"/>
          <w:sz w:val="24"/>
          <w:szCs w:val="24"/>
          <w:lang w:val="en-ZA"/>
        </w:rPr>
        <w:t xml:space="preserve">it is not clear whether any offer letter had been issued </w:t>
      </w:r>
      <w:r w:rsidR="00052D8F" w:rsidRPr="00057527">
        <w:rPr>
          <w:rFonts w:ascii="Times New Roman" w:eastAsia="Calibri" w:hAnsi="Times New Roman" w:cs="Times New Roman"/>
          <w:sz w:val="24"/>
          <w:szCs w:val="24"/>
          <w:lang w:val="en-ZA"/>
        </w:rPr>
        <w:t xml:space="preserve">pursuant to the 2012 acquisition. </w:t>
      </w:r>
      <w:r w:rsidR="00141542">
        <w:rPr>
          <w:rFonts w:ascii="Times New Roman" w:eastAsia="Calibri" w:hAnsi="Times New Roman" w:cs="Times New Roman"/>
          <w:sz w:val="24"/>
          <w:szCs w:val="24"/>
          <w:lang w:val="en-ZA"/>
        </w:rPr>
        <w:t xml:space="preserve">If ever it was, it would at any rate have been superseded by the 2017 offer letter. </w:t>
      </w:r>
    </w:p>
    <w:p w14:paraId="1701F8B5" w14:textId="77777777" w:rsidR="00FC70E4" w:rsidRDefault="00122666" w:rsidP="00DD1036">
      <w:pPr>
        <w:spacing w:after="0" w:line="360" w:lineRule="auto"/>
        <w:ind w:firstLine="720"/>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 xml:space="preserve">The 2017 acquisition of the land was challenged under HC </w:t>
      </w:r>
      <w:r w:rsidR="00FF1708" w:rsidRPr="00057527">
        <w:rPr>
          <w:rFonts w:ascii="Times New Roman" w:eastAsia="Calibri" w:hAnsi="Times New Roman" w:cs="Times New Roman"/>
          <w:sz w:val="24"/>
          <w:szCs w:val="24"/>
          <w:lang w:val="en-ZA"/>
        </w:rPr>
        <w:t>8559/17.</w:t>
      </w:r>
      <w:r w:rsidR="002F56AA" w:rsidRPr="00057527">
        <w:rPr>
          <w:rFonts w:ascii="Times New Roman" w:eastAsia="Calibri" w:hAnsi="Times New Roman" w:cs="Times New Roman"/>
          <w:sz w:val="24"/>
          <w:szCs w:val="24"/>
          <w:lang w:val="en-ZA"/>
        </w:rPr>
        <w:t xml:space="preserve"> </w:t>
      </w:r>
      <w:r w:rsidR="00FF1708" w:rsidRPr="00057527">
        <w:rPr>
          <w:rFonts w:ascii="Times New Roman" w:eastAsia="Calibri" w:hAnsi="Times New Roman" w:cs="Times New Roman"/>
          <w:sz w:val="24"/>
          <w:szCs w:val="24"/>
          <w:lang w:val="en-ZA"/>
        </w:rPr>
        <w:t xml:space="preserve">In that matter the parties are the same as they are herein save for </w:t>
      </w:r>
      <w:r w:rsidR="00052D8F" w:rsidRPr="00057527">
        <w:rPr>
          <w:rFonts w:ascii="Times New Roman" w:eastAsia="Calibri" w:hAnsi="Times New Roman" w:cs="Times New Roman"/>
          <w:sz w:val="24"/>
          <w:szCs w:val="24"/>
          <w:lang w:val="en-ZA"/>
        </w:rPr>
        <w:t xml:space="preserve">the inclusion </w:t>
      </w:r>
      <w:r w:rsidR="00FF1708" w:rsidRPr="00057527">
        <w:rPr>
          <w:rFonts w:ascii="Times New Roman" w:eastAsia="Calibri" w:hAnsi="Times New Roman" w:cs="Times New Roman"/>
          <w:sz w:val="24"/>
          <w:szCs w:val="24"/>
          <w:lang w:val="en-ZA"/>
        </w:rPr>
        <w:t xml:space="preserve">of the Zimbabwe Land Commission as one of the respondents. </w:t>
      </w:r>
      <w:r w:rsidR="000649A1" w:rsidRPr="00057527">
        <w:rPr>
          <w:rFonts w:ascii="Times New Roman" w:eastAsia="Calibri" w:hAnsi="Times New Roman" w:cs="Times New Roman"/>
          <w:sz w:val="24"/>
          <w:szCs w:val="24"/>
          <w:lang w:val="en-ZA"/>
        </w:rPr>
        <w:t xml:space="preserve">The Registrar has not yet expressed a position on the fate of the matter </w:t>
      </w:r>
    </w:p>
    <w:p w14:paraId="7C66E220" w14:textId="41AEEE60" w:rsidR="00DD1036" w:rsidRPr="00057527" w:rsidRDefault="000649A1" w:rsidP="00FC70E4">
      <w:pPr>
        <w:spacing w:after="0" w:line="360" w:lineRule="auto"/>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 xml:space="preserve">following its removal from the roll by </w:t>
      </w:r>
      <w:r w:rsidR="00CE34AE" w:rsidRPr="00CE34AE">
        <w:rPr>
          <w:rFonts w:ascii="Times New Roman" w:eastAsia="Calibri" w:hAnsi="Times New Roman" w:cs="Times New Roman"/>
          <w:smallCaps/>
          <w:sz w:val="24"/>
          <w:szCs w:val="24"/>
          <w:lang w:val="en-ZA"/>
        </w:rPr>
        <w:t>Munangati Manongwa J</w:t>
      </w:r>
      <w:r w:rsidRPr="00057527">
        <w:rPr>
          <w:rFonts w:ascii="Times New Roman" w:eastAsia="Calibri" w:hAnsi="Times New Roman" w:cs="Times New Roman"/>
          <w:sz w:val="24"/>
          <w:szCs w:val="24"/>
          <w:lang w:val="en-ZA"/>
        </w:rPr>
        <w:t xml:space="preserve"> on 24 September 2018. </w:t>
      </w:r>
      <w:r w:rsidR="002F56AA" w:rsidRPr="00057527">
        <w:rPr>
          <w:rFonts w:ascii="Times New Roman" w:eastAsia="Calibri" w:hAnsi="Times New Roman" w:cs="Times New Roman"/>
          <w:sz w:val="24"/>
          <w:szCs w:val="24"/>
          <w:lang w:val="en-ZA"/>
        </w:rPr>
        <w:t xml:space="preserve">The court therefore further determines that the fate of the </w:t>
      </w:r>
      <w:r w:rsidR="00754D43" w:rsidRPr="00057527">
        <w:rPr>
          <w:rFonts w:ascii="Times New Roman" w:eastAsia="Calibri" w:hAnsi="Times New Roman" w:cs="Times New Roman"/>
          <w:sz w:val="24"/>
          <w:szCs w:val="24"/>
          <w:lang w:val="en-ZA"/>
        </w:rPr>
        <w:t xml:space="preserve">offer </w:t>
      </w:r>
      <w:r w:rsidR="002F56AA" w:rsidRPr="00057527">
        <w:rPr>
          <w:rFonts w:ascii="Times New Roman" w:eastAsia="Calibri" w:hAnsi="Times New Roman" w:cs="Times New Roman"/>
          <w:sz w:val="24"/>
          <w:szCs w:val="24"/>
          <w:lang w:val="en-ZA"/>
        </w:rPr>
        <w:t>letter issued pursuant to the acquisition of the land</w:t>
      </w:r>
      <w:r w:rsidR="003A5297" w:rsidRPr="00057527">
        <w:rPr>
          <w:rFonts w:ascii="Times New Roman" w:eastAsia="Calibri" w:hAnsi="Times New Roman" w:cs="Times New Roman"/>
          <w:sz w:val="24"/>
          <w:szCs w:val="24"/>
          <w:lang w:val="en-ZA"/>
        </w:rPr>
        <w:t xml:space="preserve"> in 2017</w:t>
      </w:r>
      <w:r w:rsidR="002F56AA" w:rsidRPr="00057527">
        <w:rPr>
          <w:rFonts w:ascii="Times New Roman" w:eastAsia="Calibri" w:hAnsi="Times New Roman" w:cs="Times New Roman"/>
          <w:sz w:val="24"/>
          <w:szCs w:val="24"/>
          <w:lang w:val="en-ZA"/>
        </w:rPr>
        <w:t xml:space="preserve"> can only be dealt with in proceedings challenging the 2017 acquisition of the</w:t>
      </w:r>
      <w:r w:rsidR="003A5297" w:rsidRPr="00057527">
        <w:rPr>
          <w:rFonts w:ascii="Times New Roman" w:eastAsia="Calibri" w:hAnsi="Times New Roman" w:cs="Times New Roman"/>
          <w:sz w:val="24"/>
          <w:szCs w:val="24"/>
          <w:lang w:val="en-ZA"/>
        </w:rPr>
        <w:t xml:space="preserve"> said</w:t>
      </w:r>
      <w:r w:rsidR="002F56AA" w:rsidRPr="00057527">
        <w:rPr>
          <w:rFonts w:ascii="Times New Roman" w:eastAsia="Calibri" w:hAnsi="Times New Roman" w:cs="Times New Roman"/>
          <w:sz w:val="24"/>
          <w:szCs w:val="24"/>
          <w:lang w:val="en-ZA"/>
        </w:rPr>
        <w:t xml:space="preserve"> property. </w:t>
      </w:r>
    </w:p>
    <w:p w14:paraId="62E440FA" w14:textId="4035B503" w:rsidR="002F56AA" w:rsidRPr="00057527" w:rsidRDefault="00052D8F" w:rsidP="00DD1036">
      <w:pPr>
        <w:spacing w:after="0" w:line="360" w:lineRule="auto"/>
        <w:ind w:firstLine="720"/>
        <w:jc w:val="both"/>
        <w:rPr>
          <w:rFonts w:ascii="Times New Roman" w:eastAsia="Calibri" w:hAnsi="Times New Roman" w:cs="Times New Roman"/>
          <w:sz w:val="24"/>
          <w:szCs w:val="24"/>
          <w:lang w:val="en-ZA"/>
        </w:rPr>
      </w:pPr>
      <w:r w:rsidRPr="00057527">
        <w:rPr>
          <w:rFonts w:ascii="Times New Roman" w:eastAsia="Calibri" w:hAnsi="Times New Roman" w:cs="Times New Roman"/>
          <w:sz w:val="24"/>
          <w:szCs w:val="24"/>
          <w:lang w:val="en-ZA"/>
        </w:rPr>
        <w:t>In view of the foregoing observations, the</w:t>
      </w:r>
      <w:r w:rsidR="003A5297" w:rsidRPr="00057527">
        <w:rPr>
          <w:rFonts w:ascii="Times New Roman" w:eastAsia="Calibri" w:hAnsi="Times New Roman" w:cs="Times New Roman"/>
          <w:sz w:val="24"/>
          <w:szCs w:val="24"/>
          <w:lang w:val="en-ZA"/>
        </w:rPr>
        <w:t xml:space="preserve"> court </w:t>
      </w:r>
      <w:r w:rsidRPr="00057527">
        <w:rPr>
          <w:rFonts w:ascii="Times New Roman" w:eastAsia="Calibri" w:hAnsi="Times New Roman" w:cs="Times New Roman"/>
          <w:sz w:val="24"/>
          <w:szCs w:val="24"/>
          <w:lang w:val="en-ZA"/>
        </w:rPr>
        <w:t xml:space="preserve">concludes </w:t>
      </w:r>
      <w:r w:rsidR="003A5297" w:rsidRPr="00057527">
        <w:rPr>
          <w:rFonts w:ascii="Times New Roman" w:eastAsia="Calibri" w:hAnsi="Times New Roman" w:cs="Times New Roman"/>
          <w:sz w:val="24"/>
          <w:szCs w:val="24"/>
          <w:lang w:val="en-ZA"/>
        </w:rPr>
        <w:t xml:space="preserve">that there is merit in the preliminary point based on the </w:t>
      </w:r>
      <w:r w:rsidR="003A5297" w:rsidRPr="00057527">
        <w:rPr>
          <w:rFonts w:ascii="Times New Roman" w:eastAsia="Calibri" w:hAnsi="Times New Roman" w:cs="Times New Roman"/>
          <w:i/>
          <w:sz w:val="24"/>
          <w:szCs w:val="24"/>
          <w:lang w:val="en-ZA"/>
        </w:rPr>
        <w:t>res judicata</w:t>
      </w:r>
      <w:r w:rsidR="003A5297" w:rsidRPr="00057527">
        <w:rPr>
          <w:rFonts w:ascii="Times New Roman" w:eastAsia="Calibri" w:hAnsi="Times New Roman" w:cs="Times New Roman"/>
          <w:sz w:val="24"/>
          <w:szCs w:val="24"/>
          <w:lang w:val="en-ZA"/>
        </w:rPr>
        <w:t xml:space="preserve"> principle. The application must fall on that score. </w:t>
      </w:r>
    </w:p>
    <w:p w14:paraId="46D06406" w14:textId="77777777" w:rsidR="003A5297" w:rsidRPr="00057527" w:rsidRDefault="003A5297" w:rsidP="003A5297">
      <w:pPr>
        <w:pStyle w:val="ListParagraph"/>
        <w:spacing w:after="0" w:line="360" w:lineRule="auto"/>
        <w:ind w:left="142"/>
        <w:jc w:val="both"/>
        <w:rPr>
          <w:rFonts w:ascii="Times New Roman" w:hAnsi="Times New Roman" w:cs="Times New Roman"/>
          <w:b/>
          <w:sz w:val="24"/>
          <w:szCs w:val="24"/>
        </w:rPr>
      </w:pPr>
      <w:r w:rsidRPr="00057527">
        <w:rPr>
          <w:rFonts w:ascii="Times New Roman" w:hAnsi="Times New Roman" w:cs="Times New Roman"/>
          <w:b/>
          <w:sz w:val="24"/>
          <w:szCs w:val="24"/>
        </w:rPr>
        <w:t xml:space="preserve">COSTS </w:t>
      </w:r>
    </w:p>
    <w:p w14:paraId="3A1AE352" w14:textId="4734A3E9" w:rsidR="00D415E7" w:rsidRPr="00057527" w:rsidRDefault="003A5297" w:rsidP="003349D7">
      <w:pPr>
        <w:pStyle w:val="ListParagraph"/>
        <w:spacing w:after="0" w:line="360" w:lineRule="auto"/>
        <w:ind w:left="0"/>
        <w:jc w:val="both"/>
        <w:rPr>
          <w:rFonts w:ascii="Times New Roman" w:eastAsia="Calibri" w:hAnsi="Times New Roman" w:cs="Times New Roman"/>
          <w:color w:val="FF0000"/>
          <w:sz w:val="24"/>
          <w:szCs w:val="24"/>
          <w:lang w:val="en-ZA"/>
        </w:rPr>
      </w:pPr>
      <w:r w:rsidRPr="00057527">
        <w:rPr>
          <w:rFonts w:ascii="Times New Roman" w:hAnsi="Times New Roman" w:cs="Times New Roman"/>
          <w:b/>
          <w:sz w:val="24"/>
          <w:szCs w:val="24"/>
        </w:rPr>
        <w:tab/>
      </w:r>
      <w:r w:rsidRPr="00057527">
        <w:rPr>
          <w:rFonts w:ascii="Times New Roman" w:hAnsi="Times New Roman" w:cs="Times New Roman"/>
          <w:sz w:val="24"/>
          <w:szCs w:val="24"/>
        </w:rPr>
        <w:t xml:space="preserve">The general rule is that costs follow the event. The first respondent urged the court to dismiss the application with costs. </w:t>
      </w:r>
      <w:r w:rsidR="00CE34AE">
        <w:rPr>
          <w:rFonts w:ascii="Times New Roman" w:hAnsi="Times New Roman" w:cs="Times New Roman"/>
          <w:sz w:val="24"/>
          <w:szCs w:val="24"/>
        </w:rPr>
        <w:t xml:space="preserve"> </w:t>
      </w:r>
      <w:r w:rsidRPr="00057527">
        <w:rPr>
          <w:rFonts w:ascii="Times New Roman" w:hAnsi="Times New Roman" w:cs="Times New Roman"/>
          <w:sz w:val="24"/>
          <w:szCs w:val="24"/>
        </w:rPr>
        <w:t>No meaningful submissions were made in support of the first respondent’s position.</w:t>
      </w:r>
      <w:r w:rsidR="00BB15A1">
        <w:rPr>
          <w:rFonts w:ascii="Times New Roman" w:hAnsi="Times New Roman" w:cs="Times New Roman"/>
          <w:sz w:val="24"/>
          <w:szCs w:val="24"/>
        </w:rPr>
        <w:t xml:space="preserve"> </w:t>
      </w:r>
      <w:r w:rsidRPr="00057527">
        <w:rPr>
          <w:rFonts w:ascii="Times New Roman" w:hAnsi="Times New Roman" w:cs="Times New Roman"/>
          <w:sz w:val="24"/>
          <w:szCs w:val="24"/>
        </w:rPr>
        <w:t xml:space="preserve"> In fact it is the first respondent’s conduct that torched the confusion which prompted the current</w:t>
      </w:r>
      <w:r w:rsidR="00A920B4" w:rsidRPr="00057527">
        <w:rPr>
          <w:rFonts w:ascii="Times New Roman" w:hAnsi="Times New Roman" w:cs="Times New Roman"/>
          <w:sz w:val="24"/>
          <w:szCs w:val="24"/>
        </w:rPr>
        <w:t xml:space="preserve"> and other similar</w:t>
      </w:r>
      <w:r w:rsidRPr="00057527">
        <w:rPr>
          <w:rFonts w:ascii="Times New Roman" w:hAnsi="Times New Roman" w:cs="Times New Roman"/>
          <w:sz w:val="24"/>
          <w:szCs w:val="24"/>
        </w:rPr>
        <w:t xml:space="preserve"> proceedings</w:t>
      </w:r>
      <w:r w:rsidR="00A920B4" w:rsidRPr="00057527">
        <w:rPr>
          <w:rFonts w:ascii="Times New Roman" w:hAnsi="Times New Roman" w:cs="Times New Roman"/>
          <w:sz w:val="24"/>
          <w:szCs w:val="24"/>
        </w:rPr>
        <w:t xml:space="preserve">. </w:t>
      </w:r>
      <w:r w:rsidR="00BB15A1">
        <w:rPr>
          <w:rFonts w:ascii="Times New Roman" w:hAnsi="Times New Roman" w:cs="Times New Roman"/>
          <w:sz w:val="24"/>
          <w:szCs w:val="24"/>
        </w:rPr>
        <w:t xml:space="preserve"> </w:t>
      </w:r>
      <w:r w:rsidR="00A920B4" w:rsidRPr="00057527">
        <w:rPr>
          <w:rFonts w:ascii="Times New Roman" w:hAnsi="Times New Roman" w:cs="Times New Roman"/>
          <w:sz w:val="24"/>
          <w:szCs w:val="24"/>
        </w:rPr>
        <w:t xml:space="preserve">It does not deserve to be rewarded with an award of costs in its favour. </w:t>
      </w:r>
      <w:r w:rsidRPr="00057527">
        <w:rPr>
          <w:rFonts w:ascii="Times New Roman" w:hAnsi="Times New Roman" w:cs="Times New Roman"/>
          <w:sz w:val="24"/>
          <w:szCs w:val="24"/>
        </w:rPr>
        <w:t xml:space="preserve">In her heads of argument, the second respondent urged </w:t>
      </w:r>
      <w:r w:rsidR="00A920B4" w:rsidRPr="00057527">
        <w:rPr>
          <w:rFonts w:ascii="Times New Roman" w:hAnsi="Times New Roman" w:cs="Times New Roman"/>
          <w:sz w:val="24"/>
          <w:szCs w:val="24"/>
        </w:rPr>
        <w:t xml:space="preserve">the court </w:t>
      </w:r>
      <w:r w:rsidRPr="00057527">
        <w:rPr>
          <w:rFonts w:ascii="Times New Roman" w:hAnsi="Times New Roman" w:cs="Times New Roman"/>
          <w:sz w:val="24"/>
          <w:szCs w:val="24"/>
        </w:rPr>
        <w:t>to dismiss the application with costs on the punitive scale.</w:t>
      </w:r>
      <w:r w:rsidR="00A920B4" w:rsidRPr="00057527">
        <w:rPr>
          <w:rFonts w:ascii="Times New Roman" w:hAnsi="Times New Roman" w:cs="Times New Roman"/>
          <w:sz w:val="24"/>
          <w:szCs w:val="24"/>
        </w:rPr>
        <w:t xml:space="preserve"> </w:t>
      </w:r>
      <w:r w:rsidR="00BB15A1">
        <w:rPr>
          <w:rFonts w:ascii="Times New Roman" w:hAnsi="Times New Roman" w:cs="Times New Roman"/>
          <w:sz w:val="24"/>
          <w:szCs w:val="24"/>
        </w:rPr>
        <w:t xml:space="preserve"> </w:t>
      </w:r>
      <w:r w:rsidR="00A920B4" w:rsidRPr="00057527">
        <w:rPr>
          <w:rFonts w:ascii="Times New Roman" w:hAnsi="Times New Roman" w:cs="Times New Roman"/>
          <w:sz w:val="24"/>
          <w:szCs w:val="24"/>
        </w:rPr>
        <w:t xml:space="preserve">I found no basis for an award of costs </w:t>
      </w:r>
      <w:r w:rsidR="00052D8F" w:rsidRPr="00057527">
        <w:rPr>
          <w:rFonts w:ascii="Times New Roman" w:hAnsi="Times New Roman" w:cs="Times New Roman"/>
          <w:sz w:val="24"/>
          <w:szCs w:val="24"/>
        </w:rPr>
        <w:t>at that level.</w:t>
      </w:r>
    </w:p>
    <w:p w14:paraId="3821FB63" w14:textId="0AB5D524" w:rsidR="00E333F3" w:rsidRPr="00057527" w:rsidRDefault="00E333F3" w:rsidP="00E47748">
      <w:pPr>
        <w:spacing w:after="0" w:line="360" w:lineRule="auto"/>
        <w:jc w:val="both"/>
        <w:rPr>
          <w:rFonts w:ascii="Times New Roman" w:hAnsi="Times New Roman" w:cs="Times New Roman"/>
          <w:b/>
          <w:sz w:val="24"/>
          <w:szCs w:val="24"/>
        </w:rPr>
      </w:pPr>
      <w:r w:rsidRPr="00057527">
        <w:rPr>
          <w:rFonts w:ascii="Times New Roman" w:hAnsi="Times New Roman" w:cs="Times New Roman"/>
          <w:b/>
          <w:sz w:val="24"/>
          <w:szCs w:val="24"/>
        </w:rPr>
        <w:t xml:space="preserve">DISPOSITION </w:t>
      </w:r>
    </w:p>
    <w:p w14:paraId="12F28575" w14:textId="38974B09" w:rsidR="004A5B2F" w:rsidRPr="00057527" w:rsidRDefault="007A782C" w:rsidP="00F72D81">
      <w:pPr>
        <w:pStyle w:val="BodyText1"/>
        <w:shd w:val="clear" w:color="auto" w:fill="auto"/>
        <w:spacing w:before="0" w:line="276" w:lineRule="auto"/>
        <w:ind w:right="20" w:firstLine="0"/>
        <w:jc w:val="both"/>
        <w:rPr>
          <w:b/>
          <w:sz w:val="24"/>
          <w:szCs w:val="24"/>
        </w:rPr>
      </w:pPr>
      <w:r w:rsidRPr="00057527">
        <w:rPr>
          <w:b/>
          <w:sz w:val="24"/>
          <w:szCs w:val="24"/>
        </w:rPr>
        <w:t>Resultantly</w:t>
      </w:r>
      <w:r w:rsidR="003954AF" w:rsidRPr="00057527">
        <w:rPr>
          <w:b/>
          <w:sz w:val="24"/>
          <w:szCs w:val="24"/>
        </w:rPr>
        <w:t xml:space="preserve"> </w:t>
      </w:r>
      <w:r w:rsidR="004A5B2F" w:rsidRPr="00057527">
        <w:rPr>
          <w:b/>
          <w:sz w:val="24"/>
          <w:szCs w:val="24"/>
        </w:rPr>
        <w:t xml:space="preserve">it is ordered that:  </w:t>
      </w:r>
    </w:p>
    <w:p w14:paraId="67C21615" w14:textId="77777777" w:rsidR="00A920B4" w:rsidRPr="00057527" w:rsidRDefault="00A920B4" w:rsidP="00F72D81">
      <w:pPr>
        <w:pStyle w:val="ListParagraph"/>
        <w:numPr>
          <w:ilvl w:val="0"/>
          <w:numId w:val="20"/>
        </w:numPr>
        <w:spacing w:after="100" w:afterAutospacing="1"/>
        <w:jc w:val="both"/>
        <w:rPr>
          <w:rFonts w:ascii="Times New Roman" w:eastAsia="Times New Roman" w:hAnsi="Times New Roman" w:cs="Times New Roman"/>
          <w:sz w:val="24"/>
          <w:szCs w:val="24"/>
          <w:lang w:val="en" w:eastAsia="en-ZW"/>
        </w:rPr>
      </w:pPr>
      <w:r w:rsidRPr="00057527">
        <w:rPr>
          <w:rFonts w:ascii="Times New Roman" w:hAnsi="Times New Roman" w:cs="Times New Roman"/>
          <w:sz w:val="24"/>
          <w:szCs w:val="24"/>
        </w:rPr>
        <w:t>The application is hereby dismissed.</w:t>
      </w:r>
    </w:p>
    <w:p w14:paraId="55ACC702" w14:textId="32D0BF3F" w:rsidR="00FA5D56" w:rsidRPr="00057527" w:rsidRDefault="00A920B4" w:rsidP="00F72D81">
      <w:pPr>
        <w:pStyle w:val="ListParagraph"/>
        <w:numPr>
          <w:ilvl w:val="0"/>
          <w:numId w:val="20"/>
        </w:numPr>
        <w:spacing w:after="100" w:afterAutospacing="1"/>
        <w:jc w:val="both"/>
        <w:rPr>
          <w:rFonts w:ascii="Times New Roman" w:hAnsi="Times New Roman" w:cs="Times New Roman"/>
          <w:i/>
        </w:rPr>
      </w:pPr>
      <w:r w:rsidRPr="00057527">
        <w:rPr>
          <w:rFonts w:ascii="Times New Roman" w:hAnsi="Times New Roman" w:cs="Times New Roman"/>
          <w:sz w:val="24"/>
          <w:szCs w:val="24"/>
        </w:rPr>
        <w:t xml:space="preserve">The applicant shall pay the second respondent’s costs of suit. </w:t>
      </w:r>
    </w:p>
    <w:p w14:paraId="6B52DC7E" w14:textId="77777777" w:rsidR="00CE19A1" w:rsidRDefault="00CE19A1" w:rsidP="00E47748">
      <w:pPr>
        <w:spacing w:after="0" w:line="360" w:lineRule="auto"/>
        <w:jc w:val="both"/>
        <w:rPr>
          <w:rFonts w:ascii="Times New Roman" w:hAnsi="Times New Roman" w:cs="Times New Roman"/>
          <w:i/>
          <w:sz w:val="24"/>
          <w:szCs w:val="24"/>
        </w:rPr>
      </w:pPr>
    </w:p>
    <w:p w14:paraId="244A538E" w14:textId="79E64595" w:rsidR="00B10942" w:rsidRPr="00057527" w:rsidRDefault="0015291E" w:rsidP="0015291E">
      <w:pPr>
        <w:spacing w:after="0" w:line="240" w:lineRule="auto"/>
        <w:jc w:val="both"/>
        <w:rPr>
          <w:rFonts w:ascii="Times New Roman" w:hAnsi="Times New Roman" w:cs="Times New Roman"/>
          <w:i/>
          <w:sz w:val="24"/>
          <w:szCs w:val="24"/>
        </w:rPr>
      </w:pPr>
      <w:r w:rsidRPr="00057527">
        <w:rPr>
          <w:rFonts w:ascii="Times New Roman" w:hAnsi="Times New Roman" w:cs="Times New Roman"/>
          <w:i/>
          <w:sz w:val="24"/>
          <w:szCs w:val="24"/>
        </w:rPr>
        <w:t>Kevin J. Arnott</w:t>
      </w:r>
      <w:r w:rsidR="0006743C" w:rsidRPr="00057527">
        <w:rPr>
          <w:rFonts w:ascii="Times New Roman" w:hAnsi="Times New Roman" w:cs="Times New Roman"/>
          <w:i/>
          <w:sz w:val="24"/>
          <w:szCs w:val="24"/>
        </w:rPr>
        <w:t>,</w:t>
      </w:r>
      <w:r w:rsidR="0006743C" w:rsidRPr="00057527">
        <w:rPr>
          <w:rFonts w:ascii="Times New Roman" w:hAnsi="Times New Roman" w:cs="Times New Roman"/>
          <w:sz w:val="24"/>
          <w:szCs w:val="24"/>
        </w:rPr>
        <w:t xml:space="preserve"> </w:t>
      </w:r>
      <w:r w:rsidRPr="00057527">
        <w:rPr>
          <w:rFonts w:ascii="Times New Roman" w:hAnsi="Times New Roman" w:cs="Times New Roman"/>
          <w:sz w:val="24"/>
          <w:szCs w:val="24"/>
        </w:rPr>
        <w:t>applicant</w:t>
      </w:r>
      <w:r w:rsidR="006F2C9E" w:rsidRPr="00057527">
        <w:rPr>
          <w:rFonts w:ascii="Times New Roman" w:hAnsi="Times New Roman" w:cs="Times New Roman"/>
          <w:sz w:val="24"/>
          <w:szCs w:val="24"/>
        </w:rPr>
        <w:t>’s</w:t>
      </w:r>
      <w:r w:rsidRPr="00057527">
        <w:rPr>
          <w:rFonts w:ascii="Times New Roman" w:hAnsi="Times New Roman" w:cs="Times New Roman"/>
          <w:sz w:val="24"/>
          <w:szCs w:val="24"/>
        </w:rPr>
        <w:t xml:space="preserve"> legal practitioner</w:t>
      </w:r>
    </w:p>
    <w:p w14:paraId="13C480D0" w14:textId="18378284" w:rsidR="00772BA7" w:rsidRPr="00057527" w:rsidRDefault="0015291E" w:rsidP="0015291E">
      <w:pPr>
        <w:pStyle w:val="ListParagraph"/>
        <w:spacing w:after="0" w:line="240" w:lineRule="auto"/>
        <w:ind w:left="0"/>
        <w:jc w:val="both"/>
        <w:rPr>
          <w:rFonts w:ascii="Times New Roman" w:hAnsi="Times New Roman" w:cs="Times New Roman"/>
          <w:sz w:val="24"/>
          <w:szCs w:val="24"/>
        </w:rPr>
      </w:pPr>
      <w:r w:rsidRPr="00057527">
        <w:rPr>
          <w:rFonts w:ascii="Times New Roman" w:hAnsi="Times New Roman" w:cs="Times New Roman"/>
          <w:i/>
          <w:sz w:val="24"/>
          <w:szCs w:val="24"/>
        </w:rPr>
        <w:t>Civil Division of the Attorney General’s Office</w:t>
      </w:r>
      <w:r w:rsidR="00D52794" w:rsidRPr="00057527">
        <w:rPr>
          <w:rFonts w:ascii="Times New Roman" w:hAnsi="Times New Roman" w:cs="Times New Roman"/>
          <w:i/>
          <w:sz w:val="24"/>
          <w:szCs w:val="24"/>
        </w:rPr>
        <w:t xml:space="preserve">, </w:t>
      </w:r>
      <w:r w:rsidR="00C51DBD">
        <w:rPr>
          <w:rFonts w:ascii="Times New Roman" w:hAnsi="Times New Roman" w:cs="Times New Roman"/>
          <w:sz w:val="24"/>
          <w:szCs w:val="24"/>
        </w:rPr>
        <w:t>first</w:t>
      </w:r>
      <w:r w:rsidRPr="00057527">
        <w:rPr>
          <w:rFonts w:ascii="Times New Roman" w:hAnsi="Times New Roman" w:cs="Times New Roman"/>
          <w:sz w:val="24"/>
          <w:szCs w:val="24"/>
        </w:rPr>
        <w:t xml:space="preserve"> respondent’s </w:t>
      </w:r>
      <w:r w:rsidR="00772BA7" w:rsidRPr="00057527">
        <w:rPr>
          <w:rFonts w:ascii="Times New Roman" w:hAnsi="Times New Roman" w:cs="Times New Roman"/>
          <w:sz w:val="24"/>
          <w:szCs w:val="24"/>
        </w:rPr>
        <w:t>legal practitioners</w:t>
      </w:r>
    </w:p>
    <w:p w14:paraId="6BF28F66" w14:textId="64E1B3D3" w:rsidR="00E71608" w:rsidRPr="00CE19A1" w:rsidRDefault="0015291E" w:rsidP="00CE19A1">
      <w:pPr>
        <w:pStyle w:val="ListParagraph"/>
        <w:spacing w:after="0" w:line="240" w:lineRule="auto"/>
        <w:ind w:left="0"/>
        <w:jc w:val="both"/>
        <w:rPr>
          <w:rFonts w:ascii="Times New Roman" w:hAnsi="Times New Roman" w:cs="Times New Roman"/>
          <w:sz w:val="24"/>
          <w:szCs w:val="24"/>
        </w:rPr>
      </w:pPr>
      <w:r w:rsidRPr="00057527">
        <w:rPr>
          <w:rFonts w:ascii="Times New Roman" w:hAnsi="Times New Roman" w:cs="Times New Roman"/>
          <w:i/>
          <w:sz w:val="24"/>
          <w:szCs w:val="24"/>
        </w:rPr>
        <w:t xml:space="preserve">Chatsanga &amp; Partners, </w:t>
      </w:r>
      <w:r w:rsidR="00C51DBD">
        <w:rPr>
          <w:rFonts w:ascii="Times New Roman" w:hAnsi="Times New Roman" w:cs="Times New Roman"/>
          <w:sz w:val="24"/>
          <w:szCs w:val="24"/>
        </w:rPr>
        <w:t>second</w:t>
      </w:r>
      <w:r w:rsidRPr="00057527">
        <w:rPr>
          <w:rFonts w:ascii="Times New Roman" w:hAnsi="Times New Roman" w:cs="Times New Roman"/>
          <w:sz w:val="24"/>
          <w:szCs w:val="24"/>
        </w:rPr>
        <w:t xml:space="preserve"> respondent’s legal practitioners</w:t>
      </w:r>
      <w:r>
        <w:rPr>
          <w:rFonts w:ascii="Times New Roman" w:hAnsi="Times New Roman" w:cs="Times New Roman"/>
          <w:sz w:val="24"/>
          <w:szCs w:val="24"/>
        </w:rPr>
        <w:t xml:space="preserve"> </w:t>
      </w:r>
    </w:p>
    <w:sectPr w:rsidR="00E71608" w:rsidRPr="00CE19A1" w:rsidSect="007E08E5">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852AE" w14:textId="77777777" w:rsidR="00860F96" w:rsidRDefault="00860F96" w:rsidP="0000054D">
      <w:pPr>
        <w:spacing w:after="0" w:line="240" w:lineRule="auto"/>
      </w:pPr>
      <w:r>
        <w:separator/>
      </w:r>
    </w:p>
  </w:endnote>
  <w:endnote w:type="continuationSeparator" w:id="0">
    <w:p w14:paraId="45E89790" w14:textId="77777777" w:rsidR="00860F96" w:rsidRDefault="00860F96" w:rsidP="00000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15E11" w14:textId="77777777" w:rsidR="00860F96" w:rsidRDefault="00860F96" w:rsidP="0000054D">
      <w:pPr>
        <w:spacing w:after="0" w:line="240" w:lineRule="auto"/>
      </w:pPr>
      <w:r>
        <w:separator/>
      </w:r>
    </w:p>
  </w:footnote>
  <w:footnote w:type="continuationSeparator" w:id="0">
    <w:p w14:paraId="7367B1BE" w14:textId="77777777" w:rsidR="00860F96" w:rsidRDefault="00860F96" w:rsidP="0000054D">
      <w:pPr>
        <w:spacing w:after="0" w:line="240" w:lineRule="auto"/>
      </w:pPr>
      <w:r>
        <w:continuationSeparator/>
      </w:r>
    </w:p>
  </w:footnote>
  <w:footnote w:id="1">
    <w:p w14:paraId="729E6FDD" w14:textId="23DE756E" w:rsidR="00607C55" w:rsidRPr="00403840" w:rsidRDefault="00607C55">
      <w:pPr>
        <w:pStyle w:val="FootnoteText"/>
        <w:rPr>
          <w:rFonts w:ascii="Times New Roman" w:hAnsi="Times New Roman" w:cs="Times New Roman"/>
          <w:sz w:val="18"/>
          <w:szCs w:val="18"/>
        </w:rPr>
      </w:pPr>
      <w:r w:rsidRPr="00403840">
        <w:rPr>
          <w:rStyle w:val="FootnoteReference"/>
          <w:rFonts w:ascii="Times New Roman" w:hAnsi="Times New Roman" w:cs="Times New Roman"/>
          <w:sz w:val="18"/>
          <w:szCs w:val="18"/>
        </w:rPr>
        <w:footnoteRef/>
      </w:r>
      <w:r w:rsidRPr="00403840">
        <w:rPr>
          <w:rFonts w:ascii="Times New Roman" w:hAnsi="Times New Roman" w:cs="Times New Roman"/>
          <w:sz w:val="18"/>
          <w:szCs w:val="18"/>
        </w:rPr>
        <w:t xml:space="preserve"> [</w:t>
      </w:r>
      <w:r w:rsidRPr="00403840">
        <w:rPr>
          <w:rFonts w:ascii="Times New Roman" w:hAnsi="Times New Roman" w:cs="Times New Roman"/>
          <w:i/>
          <w:sz w:val="18"/>
          <w:szCs w:val="18"/>
        </w:rPr>
        <w:t>Chapter 29:12</w:t>
      </w:r>
      <w:r w:rsidRPr="00403840">
        <w:rPr>
          <w:rFonts w:ascii="Times New Roman" w:hAnsi="Times New Roman" w:cs="Times New Roman"/>
          <w:sz w:val="18"/>
          <w:szCs w:val="18"/>
        </w:rPr>
        <w:t>]</w:t>
      </w:r>
    </w:p>
  </w:footnote>
  <w:footnote w:id="2">
    <w:p w14:paraId="2E536631" w14:textId="1180AFF3" w:rsidR="00607C55" w:rsidRPr="00D77EFE" w:rsidRDefault="00607C55">
      <w:pPr>
        <w:pStyle w:val="FootnoteText"/>
        <w:rPr>
          <w:rFonts w:ascii="Times New Roman" w:hAnsi="Times New Roman" w:cs="Times New Roman"/>
          <w:sz w:val="18"/>
          <w:szCs w:val="18"/>
          <w:lang w:val="en-ZW"/>
        </w:rPr>
      </w:pPr>
      <w:r w:rsidRPr="00D77EFE">
        <w:rPr>
          <w:rStyle w:val="FootnoteReference"/>
          <w:rFonts w:ascii="Times New Roman" w:hAnsi="Times New Roman" w:cs="Times New Roman"/>
          <w:sz w:val="18"/>
          <w:szCs w:val="18"/>
        </w:rPr>
        <w:footnoteRef/>
      </w:r>
      <w:r w:rsidRPr="00D77EFE">
        <w:rPr>
          <w:rFonts w:ascii="Times New Roman" w:hAnsi="Times New Roman" w:cs="Times New Roman"/>
          <w:sz w:val="18"/>
          <w:szCs w:val="18"/>
        </w:rPr>
        <w:t xml:space="preserve"> </w:t>
      </w:r>
      <w:r w:rsidRPr="00D77EFE">
        <w:rPr>
          <w:rFonts w:ascii="Times New Roman" w:hAnsi="Times New Roman" w:cs="Times New Roman"/>
          <w:sz w:val="18"/>
          <w:szCs w:val="18"/>
          <w:lang w:val="en-ZW"/>
        </w:rPr>
        <w:t>[</w:t>
      </w:r>
      <w:r w:rsidRPr="00D77EFE">
        <w:rPr>
          <w:rFonts w:ascii="Times New Roman" w:hAnsi="Times New Roman" w:cs="Times New Roman"/>
          <w:i/>
          <w:sz w:val="18"/>
          <w:szCs w:val="18"/>
          <w:lang w:val="en-ZW"/>
        </w:rPr>
        <w:t>Chapter 7:09</w:t>
      </w:r>
      <w:r w:rsidRPr="00D77EFE">
        <w:rPr>
          <w:rFonts w:ascii="Times New Roman" w:hAnsi="Times New Roman" w:cs="Times New Roman"/>
          <w:sz w:val="18"/>
          <w:szCs w:val="18"/>
          <w:lang w:val="en-ZW"/>
        </w:rPr>
        <w:t>]</w:t>
      </w:r>
    </w:p>
  </w:footnote>
  <w:footnote w:id="3">
    <w:p w14:paraId="2BB4D0B7" w14:textId="22B635C7" w:rsidR="00607C55" w:rsidRPr="00D77EFE" w:rsidRDefault="00607C55">
      <w:pPr>
        <w:pStyle w:val="FootnoteText"/>
        <w:rPr>
          <w:rFonts w:ascii="Times New Roman" w:hAnsi="Times New Roman" w:cs="Times New Roman"/>
          <w:sz w:val="18"/>
          <w:szCs w:val="18"/>
          <w:lang w:val="en-ZW"/>
        </w:rPr>
      </w:pPr>
      <w:r w:rsidRPr="00D77EFE">
        <w:rPr>
          <w:rStyle w:val="FootnoteReference"/>
          <w:rFonts w:ascii="Times New Roman" w:hAnsi="Times New Roman" w:cs="Times New Roman"/>
          <w:sz w:val="18"/>
          <w:szCs w:val="18"/>
        </w:rPr>
        <w:footnoteRef/>
      </w:r>
      <w:r w:rsidRPr="00D77EFE">
        <w:rPr>
          <w:rFonts w:ascii="Times New Roman" w:hAnsi="Times New Roman" w:cs="Times New Roman"/>
          <w:sz w:val="18"/>
          <w:szCs w:val="18"/>
        </w:rPr>
        <w:t xml:space="preserve"> </w:t>
      </w:r>
      <w:r w:rsidRPr="00D77EFE">
        <w:rPr>
          <w:rFonts w:ascii="Times New Roman" w:hAnsi="Times New Roman" w:cs="Times New Roman"/>
          <w:sz w:val="18"/>
          <w:szCs w:val="18"/>
          <w:lang w:val="en-ZW"/>
        </w:rPr>
        <w:t>[</w:t>
      </w:r>
      <w:r w:rsidRPr="00D77EFE">
        <w:rPr>
          <w:rFonts w:ascii="Times New Roman" w:hAnsi="Times New Roman" w:cs="Times New Roman"/>
          <w:i/>
          <w:sz w:val="18"/>
          <w:szCs w:val="18"/>
          <w:lang w:val="en-ZW"/>
        </w:rPr>
        <w:t>Chapter 7:06</w:t>
      </w:r>
      <w:r w:rsidRPr="00D77EFE">
        <w:rPr>
          <w:rFonts w:ascii="Times New Roman" w:hAnsi="Times New Roman" w:cs="Times New Roman"/>
          <w:sz w:val="18"/>
          <w:szCs w:val="18"/>
          <w:lang w:val="en-ZW"/>
        </w:rPr>
        <w:t>]</w:t>
      </w:r>
    </w:p>
  </w:footnote>
  <w:footnote w:id="4">
    <w:p w14:paraId="7067CB37" w14:textId="463DB81E" w:rsidR="00607C55" w:rsidRPr="006D684C" w:rsidRDefault="00607C55">
      <w:pPr>
        <w:pStyle w:val="FootnoteText"/>
        <w:rPr>
          <w:rFonts w:ascii="Times New Roman" w:hAnsi="Times New Roman" w:cs="Times New Roman"/>
          <w:sz w:val="18"/>
          <w:szCs w:val="18"/>
        </w:rPr>
      </w:pPr>
      <w:r w:rsidRPr="006D684C">
        <w:rPr>
          <w:rStyle w:val="FootnoteReference"/>
          <w:rFonts w:ascii="Times New Roman" w:hAnsi="Times New Roman" w:cs="Times New Roman"/>
          <w:sz w:val="18"/>
          <w:szCs w:val="18"/>
        </w:rPr>
        <w:footnoteRef/>
      </w:r>
      <w:r w:rsidRPr="006D684C">
        <w:rPr>
          <w:rFonts w:ascii="Times New Roman" w:hAnsi="Times New Roman" w:cs="Times New Roman"/>
          <w:sz w:val="18"/>
          <w:szCs w:val="18"/>
        </w:rPr>
        <w:t xml:space="preserve"> HH 377/13</w:t>
      </w:r>
    </w:p>
  </w:footnote>
  <w:footnote w:id="5">
    <w:p w14:paraId="4A3C08B4" w14:textId="59BF38B0" w:rsidR="00607C55" w:rsidRPr="00216257" w:rsidRDefault="00607C55" w:rsidP="00216257">
      <w:pPr>
        <w:spacing w:after="0" w:line="240" w:lineRule="auto"/>
        <w:jc w:val="both"/>
        <w:rPr>
          <w:rFonts w:ascii="Times New Roman" w:hAnsi="Times New Roman" w:cs="Times New Roman"/>
          <w:sz w:val="18"/>
          <w:szCs w:val="18"/>
        </w:rPr>
      </w:pPr>
      <w:r w:rsidRPr="00216257">
        <w:rPr>
          <w:rStyle w:val="FootnoteReference"/>
          <w:rFonts w:ascii="Times New Roman" w:hAnsi="Times New Roman" w:cs="Times New Roman"/>
          <w:sz w:val="18"/>
          <w:szCs w:val="18"/>
        </w:rPr>
        <w:footnoteRef/>
      </w:r>
      <w:r w:rsidRPr="00216257">
        <w:rPr>
          <w:rFonts w:ascii="Times New Roman" w:hAnsi="Times New Roman" w:cs="Times New Roman"/>
          <w:sz w:val="18"/>
          <w:szCs w:val="18"/>
        </w:rPr>
        <w:t xml:space="preserve"> </w:t>
      </w:r>
      <w:r>
        <w:rPr>
          <w:rFonts w:ascii="Times New Roman" w:hAnsi="Times New Roman" w:cs="Times New Roman"/>
          <w:sz w:val="18"/>
          <w:szCs w:val="18"/>
        </w:rPr>
        <w:t>1980 (2) SA 814 (A) at 835F-G.</w:t>
      </w:r>
    </w:p>
  </w:footnote>
  <w:footnote w:id="6">
    <w:p w14:paraId="64DB0C7B" w14:textId="0051AEA3" w:rsidR="00607C55" w:rsidRPr="00216257" w:rsidRDefault="00607C55" w:rsidP="00216257">
      <w:pPr>
        <w:pStyle w:val="FootnoteText"/>
        <w:rPr>
          <w:sz w:val="18"/>
          <w:szCs w:val="18"/>
        </w:rPr>
      </w:pPr>
      <w:r w:rsidRPr="00216257">
        <w:rPr>
          <w:rStyle w:val="FootnoteReference"/>
          <w:sz w:val="18"/>
          <w:szCs w:val="18"/>
        </w:rPr>
        <w:footnoteRef/>
      </w:r>
      <w:r w:rsidRPr="00216257">
        <w:rPr>
          <w:sz w:val="18"/>
          <w:szCs w:val="18"/>
        </w:rPr>
        <w:t xml:space="preserve"> </w:t>
      </w:r>
      <w:r w:rsidRPr="00216257">
        <w:rPr>
          <w:rFonts w:ascii="Times New Roman" w:hAnsi="Times New Roman" w:cs="Times New Roman"/>
          <w:i/>
          <w:sz w:val="18"/>
          <w:szCs w:val="18"/>
        </w:rPr>
        <w:t xml:space="preserve">Kawondera </w:t>
      </w:r>
      <w:r w:rsidRPr="00216257">
        <w:rPr>
          <w:rFonts w:ascii="Times New Roman" w:hAnsi="Times New Roman" w:cs="Times New Roman"/>
          <w:sz w:val="18"/>
          <w:szCs w:val="18"/>
        </w:rPr>
        <w:t>v</w:t>
      </w:r>
      <w:r w:rsidRPr="00216257">
        <w:rPr>
          <w:rFonts w:ascii="Times New Roman" w:hAnsi="Times New Roman" w:cs="Times New Roman"/>
          <w:i/>
          <w:sz w:val="18"/>
          <w:szCs w:val="18"/>
        </w:rPr>
        <w:t xml:space="preserve"> Mandebvu</w:t>
      </w:r>
      <w:r>
        <w:rPr>
          <w:rFonts w:ascii="Times New Roman" w:hAnsi="Times New Roman" w:cs="Times New Roman"/>
          <w:i/>
          <w:sz w:val="18"/>
          <w:szCs w:val="18"/>
        </w:rPr>
        <w:t xml:space="preserve"> </w:t>
      </w:r>
      <w:r>
        <w:rPr>
          <w:rFonts w:ascii="Times New Roman" w:hAnsi="Times New Roman" w:cs="Times New Roman"/>
          <w:sz w:val="18"/>
          <w:szCs w:val="18"/>
        </w:rPr>
        <w:t xml:space="preserve">SC 12/06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240505"/>
      <w:docPartObj>
        <w:docPartGallery w:val="Page Numbers (Top of Page)"/>
        <w:docPartUnique/>
      </w:docPartObj>
    </w:sdtPr>
    <w:sdtEndPr>
      <w:rPr>
        <w:rFonts w:ascii="Times New Roman" w:hAnsi="Times New Roman" w:cs="Times New Roman"/>
        <w:noProof/>
      </w:rPr>
    </w:sdtEndPr>
    <w:sdtContent>
      <w:p w14:paraId="498FD4A7" w14:textId="029AFE45" w:rsidR="00607C55" w:rsidRPr="00791FD2" w:rsidRDefault="00607C55">
        <w:pPr>
          <w:pStyle w:val="Header"/>
          <w:jc w:val="right"/>
          <w:rPr>
            <w:rFonts w:ascii="Times New Roman" w:hAnsi="Times New Roman" w:cs="Times New Roman"/>
            <w:noProof/>
          </w:rPr>
        </w:pPr>
        <w:r w:rsidRPr="00791FD2">
          <w:rPr>
            <w:rFonts w:ascii="Times New Roman" w:hAnsi="Times New Roman" w:cs="Times New Roman"/>
          </w:rPr>
          <w:fldChar w:fldCharType="begin"/>
        </w:r>
        <w:r w:rsidRPr="00791FD2">
          <w:rPr>
            <w:rFonts w:ascii="Times New Roman" w:hAnsi="Times New Roman" w:cs="Times New Roman"/>
          </w:rPr>
          <w:instrText xml:space="preserve"> PAGE   \* MERGEFORMAT </w:instrText>
        </w:r>
        <w:r w:rsidRPr="00791FD2">
          <w:rPr>
            <w:rFonts w:ascii="Times New Roman" w:hAnsi="Times New Roman" w:cs="Times New Roman"/>
          </w:rPr>
          <w:fldChar w:fldCharType="separate"/>
        </w:r>
        <w:r w:rsidR="0039439E">
          <w:rPr>
            <w:rFonts w:ascii="Times New Roman" w:hAnsi="Times New Roman" w:cs="Times New Roman"/>
            <w:noProof/>
          </w:rPr>
          <w:t>1</w:t>
        </w:r>
        <w:r w:rsidRPr="00791FD2">
          <w:rPr>
            <w:rFonts w:ascii="Times New Roman" w:hAnsi="Times New Roman" w:cs="Times New Roman"/>
            <w:noProof/>
          </w:rPr>
          <w:fldChar w:fldCharType="end"/>
        </w:r>
      </w:p>
      <w:p w14:paraId="361DEF2F" w14:textId="33BF0E31" w:rsidR="00607C55" w:rsidRPr="00791FD2" w:rsidRDefault="00607C55">
        <w:pPr>
          <w:pStyle w:val="Header"/>
          <w:jc w:val="right"/>
          <w:rPr>
            <w:rFonts w:ascii="Times New Roman" w:hAnsi="Times New Roman" w:cs="Times New Roman"/>
            <w:noProof/>
          </w:rPr>
        </w:pPr>
        <w:r w:rsidRPr="00791FD2">
          <w:rPr>
            <w:rFonts w:ascii="Times New Roman" w:hAnsi="Times New Roman" w:cs="Times New Roman"/>
            <w:noProof/>
          </w:rPr>
          <w:t>HH</w:t>
        </w:r>
        <w:r w:rsidR="00200083">
          <w:rPr>
            <w:rFonts w:ascii="Times New Roman" w:hAnsi="Times New Roman" w:cs="Times New Roman"/>
            <w:noProof/>
          </w:rPr>
          <w:t xml:space="preserve"> 159-23</w:t>
        </w:r>
      </w:p>
      <w:p w14:paraId="60864A13" w14:textId="079A67BF" w:rsidR="00607C55" w:rsidRDefault="00607C55" w:rsidP="00471C1C">
        <w:pPr>
          <w:pStyle w:val="Header"/>
          <w:jc w:val="right"/>
          <w:rPr>
            <w:rFonts w:ascii="Times New Roman" w:hAnsi="Times New Roman" w:cs="Times New Roman"/>
            <w:noProof/>
          </w:rPr>
        </w:pPr>
        <w:r w:rsidRPr="00791FD2">
          <w:rPr>
            <w:rFonts w:ascii="Times New Roman" w:hAnsi="Times New Roman" w:cs="Times New Roman"/>
            <w:noProof/>
          </w:rPr>
          <w:t xml:space="preserve">HC </w:t>
        </w:r>
        <w:r>
          <w:rPr>
            <w:rFonts w:ascii="Times New Roman" w:hAnsi="Times New Roman" w:cs="Times New Roman"/>
            <w:noProof/>
          </w:rPr>
          <w:t xml:space="preserve">5856/20 </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C4702"/>
    <w:multiLevelType w:val="hybridMultilevel"/>
    <w:tmpl w:val="EA14A25A"/>
    <w:lvl w:ilvl="0" w:tplc="887EEA2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4E43F5D"/>
    <w:multiLevelType w:val="hybridMultilevel"/>
    <w:tmpl w:val="698205C4"/>
    <w:lvl w:ilvl="0" w:tplc="E36EAA84">
      <w:start w:val="1"/>
      <w:numFmt w:val="decimal"/>
      <w:lvlText w:val="%1."/>
      <w:lvlJc w:val="left"/>
      <w:pPr>
        <w:ind w:left="720" w:hanging="360"/>
      </w:pPr>
      <w:rPr>
        <w:rFonts w:ascii="Arial" w:hAnsi="Arial" w:cs="Arial" w:hint="default"/>
        <w:sz w:val="24"/>
        <w:szCs w:val="24"/>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2" w15:restartNumberingAfterBreak="0">
    <w:nsid w:val="09595E4A"/>
    <w:multiLevelType w:val="hybridMultilevel"/>
    <w:tmpl w:val="2320D5A2"/>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 w15:restartNumberingAfterBreak="0">
    <w:nsid w:val="0D47162A"/>
    <w:multiLevelType w:val="hybridMultilevel"/>
    <w:tmpl w:val="6ADE3DF2"/>
    <w:lvl w:ilvl="0" w:tplc="14BCB39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12F732A5"/>
    <w:multiLevelType w:val="multilevel"/>
    <w:tmpl w:val="6FD0D9A2"/>
    <w:lvl w:ilvl="0">
      <w:start w:val="1"/>
      <w:numFmt w:val="decimal"/>
      <w:lvlText w:val="%1."/>
      <w:lvlJc w:val="left"/>
      <w:pPr>
        <w:ind w:left="1374" w:hanging="360"/>
      </w:pPr>
      <w:rPr>
        <w:rFonts w:ascii="Times New Roman" w:eastAsiaTheme="minorHAnsi" w:hAnsi="Times New Roman" w:cs="Times New Roman"/>
      </w:rPr>
    </w:lvl>
    <w:lvl w:ilvl="1">
      <w:start w:val="1"/>
      <w:numFmt w:val="decimal"/>
      <w:isLgl/>
      <w:lvlText w:val="%1.%2"/>
      <w:lvlJc w:val="left"/>
      <w:pPr>
        <w:ind w:left="1374" w:hanging="360"/>
      </w:pPr>
      <w:rPr>
        <w:rFonts w:hint="default"/>
      </w:rPr>
    </w:lvl>
    <w:lvl w:ilvl="2">
      <w:start w:val="1"/>
      <w:numFmt w:val="decimal"/>
      <w:isLgl/>
      <w:lvlText w:val="%1.%2.%3"/>
      <w:lvlJc w:val="left"/>
      <w:pPr>
        <w:ind w:left="1734" w:hanging="720"/>
      </w:pPr>
      <w:rPr>
        <w:rFonts w:hint="default"/>
      </w:rPr>
    </w:lvl>
    <w:lvl w:ilvl="3">
      <w:start w:val="1"/>
      <w:numFmt w:val="decimal"/>
      <w:isLgl/>
      <w:lvlText w:val="%1.%2.%3.%4"/>
      <w:lvlJc w:val="left"/>
      <w:pPr>
        <w:ind w:left="1734" w:hanging="720"/>
      </w:pPr>
      <w:rPr>
        <w:rFonts w:hint="default"/>
      </w:rPr>
    </w:lvl>
    <w:lvl w:ilvl="4">
      <w:start w:val="1"/>
      <w:numFmt w:val="decimal"/>
      <w:isLgl/>
      <w:lvlText w:val="%1.%2.%3.%4.%5"/>
      <w:lvlJc w:val="left"/>
      <w:pPr>
        <w:ind w:left="1734" w:hanging="720"/>
      </w:pPr>
      <w:rPr>
        <w:rFonts w:hint="default"/>
      </w:rPr>
    </w:lvl>
    <w:lvl w:ilvl="5">
      <w:start w:val="1"/>
      <w:numFmt w:val="decimal"/>
      <w:isLgl/>
      <w:lvlText w:val="%1.%2.%3.%4.%5.%6"/>
      <w:lvlJc w:val="left"/>
      <w:pPr>
        <w:ind w:left="2094" w:hanging="1080"/>
      </w:pPr>
      <w:rPr>
        <w:rFonts w:hint="default"/>
      </w:rPr>
    </w:lvl>
    <w:lvl w:ilvl="6">
      <w:start w:val="1"/>
      <w:numFmt w:val="decimal"/>
      <w:isLgl/>
      <w:lvlText w:val="%1.%2.%3.%4.%5.%6.%7"/>
      <w:lvlJc w:val="left"/>
      <w:pPr>
        <w:ind w:left="2094" w:hanging="1080"/>
      </w:pPr>
      <w:rPr>
        <w:rFonts w:hint="default"/>
      </w:rPr>
    </w:lvl>
    <w:lvl w:ilvl="7">
      <w:start w:val="1"/>
      <w:numFmt w:val="decimal"/>
      <w:isLgl/>
      <w:lvlText w:val="%1.%2.%3.%4.%5.%6.%7.%8"/>
      <w:lvlJc w:val="left"/>
      <w:pPr>
        <w:ind w:left="2454" w:hanging="1440"/>
      </w:pPr>
      <w:rPr>
        <w:rFonts w:hint="default"/>
      </w:rPr>
    </w:lvl>
    <w:lvl w:ilvl="8">
      <w:start w:val="1"/>
      <w:numFmt w:val="decimal"/>
      <w:isLgl/>
      <w:lvlText w:val="%1.%2.%3.%4.%5.%6.%7.%8.%9"/>
      <w:lvlJc w:val="left"/>
      <w:pPr>
        <w:ind w:left="2454" w:hanging="1440"/>
      </w:pPr>
      <w:rPr>
        <w:rFonts w:hint="default"/>
      </w:rPr>
    </w:lvl>
  </w:abstractNum>
  <w:abstractNum w:abstractNumId="5" w15:restartNumberingAfterBreak="0">
    <w:nsid w:val="13B82BDC"/>
    <w:multiLevelType w:val="multilevel"/>
    <w:tmpl w:val="2F8EE0D2"/>
    <w:lvl w:ilvl="0">
      <w:start w:val="1"/>
      <w:numFmt w:val="decimal"/>
      <w:lvlText w:val="%1."/>
      <w:lvlJc w:val="left"/>
      <w:pPr>
        <w:ind w:left="720" w:hanging="360"/>
      </w:pPr>
      <w:rPr>
        <w:rFonts w:hint="default"/>
        <w:b w:val="0"/>
        <w:i w:val="0"/>
      </w:rPr>
    </w:lvl>
    <w:lvl w:ilvl="1">
      <w:start w:val="1"/>
      <w:numFmt w:val="decimal"/>
      <w:isLgl/>
      <w:lvlText w:val="%1.%2"/>
      <w:lvlJc w:val="left"/>
      <w:pPr>
        <w:ind w:left="1080" w:hanging="360"/>
      </w:pPr>
      <w:rPr>
        <w:rFonts w:eastAsiaTheme="minorHAnsi" w:hint="default"/>
        <w:sz w:val="24"/>
        <w:szCs w:val="24"/>
      </w:rPr>
    </w:lvl>
    <w:lvl w:ilvl="2">
      <w:start w:val="1"/>
      <w:numFmt w:val="decimal"/>
      <w:isLgl/>
      <w:lvlText w:val="%1.%2.%3"/>
      <w:lvlJc w:val="left"/>
      <w:pPr>
        <w:ind w:left="1800" w:hanging="720"/>
      </w:pPr>
      <w:rPr>
        <w:rFonts w:eastAsiaTheme="minorHAnsi" w:hint="default"/>
        <w:sz w:val="22"/>
      </w:rPr>
    </w:lvl>
    <w:lvl w:ilvl="3">
      <w:start w:val="1"/>
      <w:numFmt w:val="decimal"/>
      <w:isLgl/>
      <w:lvlText w:val="%1.%2.%3.%4"/>
      <w:lvlJc w:val="left"/>
      <w:pPr>
        <w:ind w:left="2160" w:hanging="720"/>
      </w:pPr>
      <w:rPr>
        <w:rFonts w:eastAsiaTheme="minorHAnsi" w:hint="default"/>
        <w:sz w:val="22"/>
      </w:rPr>
    </w:lvl>
    <w:lvl w:ilvl="4">
      <w:start w:val="1"/>
      <w:numFmt w:val="decimal"/>
      <w:isLgl/>
      <w:lvlText w:val="%1.%2.%3.%4.%5"/>
      <w:lvlJc w:val="left"/>
      <w:pPr>
        <w:ind w:left="2880" w:hanging="1080"/>
      </w:pPr>
      <w:rPr>
        <w:rFonts w:eastAsiaTheme="minorHAnsi" w:hint="default"/>
        <w:sz w:val="22"/>
      </w:rPr>
    </w:lvl>
    <w:lvl w:ilvl="5">
      <w:start w:val="1"/>
      <w:numFmt w:val="decimal"/>
      <w:isLgl/>
      <w:lvlText w:val="%1.%2.%3.%4.%5.%6"/>
      <w:lvlJc w:val="left"/>
      <w:pPr>
        <w:ind w:left="3240" w:hanging="1080"/>
      </w:pPr>
      <w:rPr>
        <w:rFonts w:eastAsiaTheme="minorHAnsi" w:hint="default"/>
        <w:sz w:val="22"/>
      </w:rPr>
    </w:lvl>
    <w:lvl w:ilvl="6">
      <w:start w:val="1"/>
      <w:numFmt w:val="decimal"/>
      <w:isLgl/>
      <w:lvlText w:val="%1.%2.%3.%4.%5.%6.%7"/>
      <w:lvlJc w:val="left"/>
      <w:pPr>
        <w:ind w:left="3960" w:hanging="1440"/>
      </w:pPr>
      <w:rPr>
        <w:rFonts w:eastAsiaTheme="minorHAnsi" w:hint="default"/>
        <w:sz w:val="22"/>
      </w:rPr>
    </w:lvl>
    <w:lvl w:ilvl="7">
      <w:start w:val="1"/>
      <w:numFmt w:val="decimal"/>
      <w:isLgl/>
      <w:lvlText w:val="%1.%2.%3.%4.%5.%6.%7.%8"/>
      <w:lvlJc w:val="left"/>
      <w:pPr>
        <w:ind w:left="4320" w:hanging="1440"/>
      </w:pPr>
      <w:rPr>
        <w:rFonts w:eastAsiaTheme="minorHAnsi" w:hint="default"/>
        <w:sz w:val="22"/>
      </w:rPr>
    </w:lvl>
    <w:lvl w:ilvl="8">
      <w:start w:val="1"/>
      <w:numFmt w:val="decimal"/>
      <w:isLgl/>
      <w:lvlText w:val="%1.%2.%3.%4.%5.%6.%7.%8.%9"/>
      <w:lvlJc w:val="left"/>
      <w:pPr>
        <w:ind w:left="5040" w:hanging="1800"/>
      </w:pPr>
      <w:rPr>
        <w:rFonts w:eastAsiaTheme="minorHAnsi" w:hint="default"/>
        <w:sz w:val="22"/>
      </w:rPr>
    </w:lvl>
  </w:abstractNum>
  <w:abstractNum w:abstractNumId="6" w15:restartNumberingAfterBreak="0">
    <w:nsid w:val="223B6393"/>
    <w:multiLevelType w:val="hybridMultilevel"/>
    <w:tmpl w:val="0D8E522E"/>
    <w:lvl w:ilvl="0" w:tplc="D95E8BF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15:restartNumberingAfterBreak="0">
    <w:nsid w:val="274C3A9F"/>
    <w:multiLevelType w:val="multilevel"/>
    <w:tmpl w:val="64C421C4"/>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8" w15:restartNumberingAfterBreak="0">
    <w:nsid w:val="2DA54389"/>
    <w:multiLevelType w:val="hybridMultilevel"/>
    <w:tmpl w:val="AF18DF64"/>
    <w:lvl w:ilvl="0" w:tplc="D488FBA6">
      <w:start w:val="1"/>
      <w:numFmt w:val="lowerLetter"/>
      <w:lvlText w:val="%1)"/>
      <w:lvlJc w:val="left"/>
      <w:pPr>
        <w:ind w:left="1069" w:hanging="360"/>
      </w:pPr>
      <w:rPr>
        <w:rFonts w:hint="default"/>
      </w:rPr>
    </w:lvl>
    <w:lvl w:ilvl="1" w:tplc="30090019" w:tentative="1">
      <w:start w:val="1"/>
      <w:numFmt w:val="lowerLetter"/>
      <w:lvlText w:val="%2."/>
      <w:lvlJc w:val="left"/>
      <w:pPr>
        <w:ind w:left="1789" w:hanging="360"/>
      </w:pPr>
    </w:lvl>
    <w:lvl w:ilvl="2" w:tplc="3009001B" w:tentative="1">
      <w:start w:val="1"/>
      <w:numFmt w:val="lowerRoman"/>
      <w:lvlText w:val="%3."/>
      <w:lvlJc w:val="right"/>
      <w:pPr>
        <w:ind w:left="2509" w:hanging="180"/>
      </w:pPr>
    </w:lvl>
    <w:lvl w:ilvl="3" w:tplc="3009000F" w:tentative="1">
      <w:start w:val="1"/>
      <w:numFmt w:val="decimal"/>
      <w:lvlText w:val="%4."/>
      <w:lvlJc w:val="left"/>
      <w:pPr>
        <w:ind w:left="3229" w:hanging="360"/>
      </w:pPr>
    </w:lvl>
    <w:lvl w:ilvl="4" w:tplc="30090019" w:tentative="1">
      <w:start w:val="1"/>
      <w:numFmt w:val="lowerLetter"/>
      <w:lvlText w:val="%5."/>
      <w:lvlJc w:val="left"/>
      <w:pPr>
        <w:ind w:left="3949" w:hanging="360"/>
      </w:pPr>
    </w:lvl>
    <w:lvl w:ilvl="5" w:tplc="3009001B" w:tentative="1">
      <w:start w:val="1"/>
      <w:numFmt w:val="lowerRoman"/>
      <w:lvlText w:val="%6."/>
      <w:lvlJc w:val="right"/>
      <w:pPr>
        <w:ind w:left="4669" w:hanging="180"/>
      </w:pPr>
    </w:lvl>
    <w:lvl w:ilvl="6" w:tplc="3009000F" w:tentative="1">
      <w:start w:val="1"/>
      <w:numFmt w:val="decimal"/>
      <w:lvlText w:val="%7."/>
      <w:lvlJc w:val="left"/>
      <w:pPr>
        <w:ind w:left="5389" w:hanging="360"/>
      </w:pPr>
    </w:lvl>
    <w:lvl w:ilvl="7" w:tplc="30090019" w:tentative="1">
      <w:start w:val="1"/>
      <w:numFmt w:val="lowerLetter"/>
      <w:lvlText w:val="%8."/>
      <w:lvlJc w:val="left"/>
      <w:pPr>
        <w:ind w:left="6109" w:hanging="360"/>
      </w:pPr>
    </w:lvl>
    <w:lvl w:ilvl="8" w:tplc="3009001B" w:tentative="1">
      <w:start w:val="1"/>
      <w:numFmt w:val="lowerRoman"/>
      <w:lvlText w:val="%9."/>
      <w:lvlJc w:val="right"/>
      <w:pPr>
        <w:ind w:left="6829" w:hanging="180"/>
      </w:pPr>
    </w:lvl>
  </w:abstractNum>
  <w:abstractNum w:abstractNumId="9" w15:restartNumberingAfterBreak="0">
    <w:nsid w:val="33EF18C5"/>
    <w:multiLevelType w:val="hybridMultilevel"/>
    <w:tmpl w:val="DB42287A"/>
    <w:lvl w:ilvl="0" w:tplc="D50CC94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40A06FEC"/>
    <w:multiLevelType w:val="hybridMultilevel"/>
    <w:tmpl w:val="3BCA1A20"/>
    <w:lvl w:ilvl="0" w:tplc="565A3AE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42115A6B"/>
    <w:multiLevelType w:val="hybridMultilevel"/>
    <w:tmpl w:val="1B3401E0"/>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15:restartNumberingAfterBreak="0">
    <w:nsid w:val="45D25DF8"/>
    <w:multiLevelType w:val="multilevel"/>
    <w:tmpl w:val="8C84252E"/>
    <w:lvl w:ilvl="0">
      <w:start w:val="1"/>
      <w:numFmt w:val="decimal"/>
      <w:lvlText w:val="%1"/>
      <w:lvlJc w:val="left"/>
      <w:pPr>
        <w:ind w:left="420" w:hanging="420"/>
      </w:pPr>
      <w:rPr>
        <w:rFonts w:hint="default"/>
      </w:rPr>
    </w:lvl>
    <w:lvl w:ilvl="1">
      <w:start w:val="1"/>
      <w:numFmt w:val="decimal"/>
      <w:lvlText w:val="%1.%2"/>
      <w:lvlJc w:val="left"/>
      <w:pPr>
        <w:ind w:left="1554" w:hanging="4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13" w15:restartNumberingAfterBreak="0">
    <w:nsid w:val="4B096269"/>
    <w:multiLevelType w:val="hybridMultilevel"/>
    <w:tmpl w:val="75EC7A8A"/>
    <w:lvl w:ilvl="0" w:tplc="28BC161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4C7C7E7E"/>
    <w:multiLevelType w:val="hybridMultilevel"/>
    <w:tmpl w:val="157EFFD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504828B4"/>
    <w:multiLevelType w:val="multilevel"/>
    <w:tmpl w:val="98522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3A6130"/>
    <w:multiLevelType w:val="hybridMultilevel"/>
    <w:tmpl w:val="9BC454F0"/>
    <w:lvl w:ilvl="0" w:tplc="ACD61DC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556F57C3"/>
    <w:multiLevelType w:val="multilevel"/>
    <w:tmpl w:val="48565DA0"/>
    <w:lvl w:ilvl="0">
      <w:start w:val="1"/>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8" w15:restartNumberingAfterBreak="0">
    <w:nsid w:val="575E7D93"/>
    <w:multiLevelType w:val="hybridMultilevel"/>
    <w:tmpl w:val="12BE50E0"/>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58E80901"/>
    <w:multiLevelType w:val="hybridMultilevel"/>
    <w:tmpl w:val="896C8234"/>
    <w:lvl w:ilvl="0" w:tplc="5E36B97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5CAB4595"/>
    <w:multiLevelType w:val="hybridMultilevel"/>
    <w:tmpl w:val="759AF936"/>
    <w:lvl w:ilvl="0" w:tplc="3009000B">
      <w:start w:val="1"/>
      <w:numFmt w:val="bullet"/>
      <w:lvlText w:val=""/>
      <w:lvlJc w:val="left"/>
      <w:pPr>
        <w:ind w:left="1429" w:hanging="360"/>
      </w:pPr>
      <w:rPr>
        <w:rFonts w:ascii="Wingdings" w:hAnsi="Wingdings" w:hint="default"/>
      </w:rPr>
    </w:lvl>
    <w:lvl w:ilvl="1" w:tplc="30090003" w:tentative="1">
      <w:start w:val="1"/>
      <w:numFmt w:val="bullet"/>
      <w:lvlText w:val="o"/>
      <w:lvlJc w:val="left"/>
      <w:pPr>
        <w:ind w:left="2149" w:hanging="360"/>
      </w:pPr>
      <w:rPr>
        <w:rFonts w:ascii="Courier New" w:hAnsi="Courier New" w:cs="Courier New" w:hint="default"/>
      </w:rPr>
    </w:lvl>
    <w:lvl w:ilvl="2" w:tplc="30090005" w:tentative="1">
      <w:start w:val="1"/>
      <w:numFmt w:val="bullet"/>
      <w:lvlText w:val=""/>
      <w:lvlJc w:val="left"/>
      <w:pPr>
        <w:ind w:left="2869" w:hanging="360"/>
      </w:pPr>
      <w:rPr>
        <w:rFonts w:ascii="Wingdings" w:hAnsi="Wingdings" w:hint="default"/>
      </w:rPr>
    </w:lvl>
    <w:lvl w:ilvl="3" w:tplc="30090001" w:tentative="1">
      <w:start w:val="1"/>
      <w:numFmt w:val="bullet"/>
      <w:lvlText w:val=""/>
      <w:lvlJc w:val="left"/>
      <w:pPr>
        <w:ind w:left="3589" w:hanging="360"/>
      </w:pPr>
      <w:rPr>
        <w:rFonts w:ascii="Symbol" w:hAnsi="Symbol" w:hint="default"/>
      </w:rPr>
    </w:lvl>
    <w:lvl w:ilvl="4" w:tplc="30090003" w:tentative="1">
      <w:start w:val="1"/>
      <w:numFmt w:val="bullet"/>
      <w:lvlText w:val="o"/>
      <w:lvlJc w:val="left"/>
      <w:pPr>
        <w:ind w:left="4309" w:hanging="360"/>
      </w:pPr>
      <w:rPr>
        <w:rFonts w:ascii="Courier New" w:hAnsi="Courier New" w:cs="Courier New" w:hint="default"/>
      </w:rPr>
    </w:lvl>
    <w:lvl w:ilvl="5" w:tplc="30090005" w:tentative="1">
      <w:start w:val="1"/>
      <w:numFmt w:val="bullet"/>
      <w:lvlText w:val=""/>
      <w:lvlJc w:val="left"/>
      <w:pPr>
        <w:ind w:left="5029" w:hanging="360"/>
      </w:pPr>
      <w:rPr>
        <w:rFonts w:ascii="Wingdings" w:hAnsi="Wingdings" w:hint="default"/>
      </w:rPr>
    </w:lvl>
    <w:lvl w:ilvl="6" w:tplc="30090001" w:tentative="1">
      <w:start w:val="1"/>
      <w:numFmt w:val="bullet"/>
      <w:lvlText w:val=""/>
      <w:lvlJc w:val="left"/>
      <w:pPr>
        <w:ind w:left="5749" w:hanging="360"/>
      </w:pPr>
      <w:rPr>
        <w:rFonts w:ascii="Symbol" w:hAnsi="Symbol" w:hint="default"/>
      </w:rPr>
    </w:lvl>
    <w:lvl w:ilvl="7" w:tplc="30090003" w:tentative="1">
      <w:start w:val="1"/>
      <w:numFmt w:val="bullet"/>
      <w:lvlText w:val="o"/>
      <w:lvlJc w:val="left"/>
      <w:pPr>
        <w:ind w:left="6469" w:hanging="360"/>
      </w:pPr>
      <w:rPr>
        <w:rFonts w:ascii="Courier New" w:hAnsi="Courier New" w:cs="Courier New" w:hint="default"/>
      </w:rPr>
    </w:lvl>
    <w:lvl w:ilvl="8" w:tplc="30090005" w:tentative="1">
      <w:start w:val="1"/>
      <w:numFmt w:val="bullet"/>
      <w:lvlText w:val=""/>
      <w:lvlJc w:val="left"/>
      <w:pPr>
        <w:ind w:left="7189" w:hanging="360"/>
      </w:pPr>
      <w:rPr>
        <w:rFonts w:ascii="Wingdings" w:hAnsi="Wingdings" w:hint="default"/>
      </w:rPr>
    </w:lvl>
  </w:abstractNum>
  <w:abstractNum w:abstractNumId="21" w15:restartNumberingAfterBreak="0">
    <w:nsid w:val="5FCA0BCE"/>
    <w:multiLevelType w:val="hybridMultilevel"/>
    <w:tmpl w:val="FBB6262A"/>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2" w15:restartNumberingAfterBreak="0">
    <w:nsid w:val="63BC00BA"/>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654A131E"/>
    <w:multiLevelType w:val="hybridMultilevel"/>
    <w:tmpl w:val="58B2281A"/>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4" w15:restartNumberingAfterBreak="0">
    <w:nsid w:val="719414A2"/>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73F37A7D"/>
    <w:multiLevelType w:val="hybridMultilevel"/>
    <w:tmpl w:val="F35A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1D21CC"/>
    <w:multiLevelType w:val="hybridMultilevel"/>
    <w:tmpl w:val="2FECFDD6"/>
    <w:lvl w:ilvl="0" w:tplc="9DD475A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7" w15:restartNumberingAfterBreak="0">
    <w:nsid w:val="76223728"/>
    <w:multiLevelType w:val="hybridMultilevel"/>
    <w:tmpl w:val="682E1894"/>
    <w:lvl w:ilvl="0" w:tplc="0409000F">
      <w:start w:val="1"/>
      <w:numFmt w:val="decimal"/>
      <w:lvlText w:val="%1."/>
      <w:lvlJc w:val="left"/>
      <w:pPr>
        <w:ind w:left="1014" w:hanging="360"/>
      </w:pPr>
    </w:lvl>
    <w:lvl w:ilvl="1" w:tplc="04090019">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28" w15:restartNumberingAfterBreak="0">
    <w:nsid w:val="7965615F"/>
    <w:multiLevelType w:val="hybridMultilevel"/>
    <w:tmpl w:val="9052FB3C"/>
    <w:lvl w:ilvl="0" w:tplc="3009000F">
      <w:start w:val="1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9" w15:restartNumberingAfterBreak="0">
    <w:nsid w:val="799C1816"/>
    <w:multiLevelType w:val="hybridMultilevel"/>
    <w:tmpl w:val="DBB2FCF4"/>
    <w:lvl w:ilvl="0" w:tplc="25BCFB8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0" w15:restartNumberingAfterBreak="0">
    <w:nsid w:val="7A030B56"/>
    <w:multiLevelType w:val="hybridMultilevel"/>
    <w:tmpl w:val="8A80C056"/>
    <w:lvl w:ilvl="0" w:tplc="FC42FE8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5"/>
  </w:num>
  <w:num w:numId="2">
    <w:abstractNumId w:val="13"/>
  </w:num>
  <w:num w:numId="3">
    <w:abstractNumId w:val="27"/>
  </w:num>
  <w:num w:numId="4">
    <w:abstractNumId w:val="4"/>
  </w:num>
  <w:num w:numId="5">
    <w:abstractNumId w:val="9"/>
  </w:num>
  <w:num w:numId="6">
    <w:abstractNumId w:val="0"/>
  </w:num>
  <w:num w:numId="7">
    <w:abstractNumId w:val="30"/>
  </w:num>
  <w:num w:numId="8">
    <w:abstractNumId w:val="3"/>
  </w:num>
  <w:num w:numId="9">
    <w:abstractNumId w:val="18"/>
  </w:num>
  <w:num w:numId="10">
    <w:abstractNumId w:val="16"/>
  </w:num>
  <w:num w:numId="11">
    <w:abstractNumId w:val="19"/>
  </w:num>
  <w:num w:numId="12">
    <w:abstractNumId w:val="14"/>
  </w:num>
  <w:num w:numId="13">
    <w:abstractNumId w:val="1"/>
  </w:num>
  <w:num w:numId="14">
    <w:abstractNumId w:val="28"/>
  </w:num>
  <w:num w:numId="15">
    <w:abstractNumId w:val="15"/>
  </w:num>
  <w:num w:numId="16">
    <w:abstractNumId w:val="26"/>
  </w:num>
  <w:num w:numId="17">
    <w:abstractNumId w:val="29"/>
  </w:num>
  <w:num w:numId="18">
    <w:abstractNumId w:val="11"/>
  </w:num>
  <w:num w:numId="19">
    <w:abstractNumId w:val="10"/>
  </w:num>
  <w:num w:numId="20">
    <w:abstractNumId w:val="5"/>
  </w:num>
  <w:num w:numId="21">
    <w:abstractNumId w:val="17"/>
  </w:num>
  <w:num w:numId="22">
    <w:abstractNumId w:val="21"/>
  </w:num>
  <w:num w:numId="23">
    <w:abstractNumId w:val="23"/>
  </w:num>
  <w:num w:numId="24">
    <w:abstractNumId w:val="6"/>
  </w:num>
  <w:num w:numId="25">
    <w:abstractNumId w:val="12"/>
  </w:num>
  <w:num w:numId="26">
    <w:abstractNumId w:val="7"/>
  </w:num>
  <w:num w:numId="27">
    <w:abstractNumId w:val="22"/>
  </w:num>
  <w:num w:numId="28">
    <w:abstractNumId w:val="24"/>
  </w:num>
  <w:num w:numId="29">
    <w:abstractNumId w:val="2"/>
  </w:num>
  <w:num w:numId="30">
    <w:abstractNumId w:val="8"/>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54D"/>
    <w:rsid w:val="00000277"/>
    <w:rsid w:val="00000485"/>
    <w:rsid w:val="0000054D"/>
    <w:rsid w:val="00000649"/>
    <w:rsid w:val="0000353F"/>
    <w:rsid w:val="00004E48"/>
    <w:rsid w:val="00006354"/>
    <w:rsid w:val="00007781"/>
    <w:rsid w:val="000100E4"/>
    <w:rsid w:val="000116FE"/>
    <w:rsid w:val="00013BC1"/>
    <w:rsid w:val="00015659"/>
    <w:rsid w:val="0001570C"/>
    <w:rsid w:val="00015B41"/>
    <w:rsid w:val="0001668F"/>
    <w:rsid w:val="00017E83"/>
    <w:rsid w:val="00020BD4"/>
    <w:rsid w:val="00021749"/>
    <w:rsid w:val="000236C7"/>
    <w:rsid w:val="00023786"/>
    <w:rsid w:val="00025656"/>
    <w:rsid w:val="00026785"/>
    <w:rsid w:val="00027973"/>
    <w:rsid w:val="00027BFD"/>
    <w:rsid w:val="00032F73"/>
    <w:rsid w:val="00033931"/>
    <w:rsid w:val="00034937"/>
    <w:rsid w:val="00034BB6"/>
    <w:rsid w:val="00034D2C"/>
    <w:rsid w:val="0003549B"/>
    <w:rsid w:val="0003558C"/>
    <w:rsid w:val="00037923"/>
    <w:rsid w:val="00037D3D"/>
    <w:rsid w:val="00041543"/>
    <w:rsid w:val="00041B61"/>
    <w:rsid w:val="0004287E"/>
    <w:rsid w:val="00043725"/>
    <w:rsid w:val="000451F6"/>
    <w:rsid w:val="000472D5"/>
    <w:rsid w:val="00051823"/>
    <w:rsid w:val="000528F9"/>
    <w:rsid w:val="000529FD"/>
    <w:rsid w:val="00052D8F"/>
    <w:rsid w:val="00053321"/>
    <w:rsid w:val="00053BE2"/>
    <w:rsid w:val="000549FF"/>
    <w:rsid w:val="00055F45"/>
    <w:rsid w:val="00057527"/>
    <w:rsid w:val="00057DBF"/>
    <w:rsid w:val="00057DC9"/>
    <w:rsid w:val="00062640"/>
    <w:rsid w:val="00062A1D"/>
    <w:rsid w:val="00063EB3"/>
    <w:rsid w:val="000649A1"/>
    <w:rsid w:val="00064FEA"/>
    <w:rsid w:val="000652A4"/>
    <w:rsid w:val="00065491"/>
    <w:rsid w:val="0006739E"/>
    <w:rsid w:val="0006743C"/>
    <w:rsid w:val="00067888"/>
    <w:rsid w:val="00071AFF"/>
    <w:rsid w:val="00072247"/>
    <w:rsid w:val="0007272B"/>
    <w:rsid w:val="00072C97"/>
    <w:rsid w:val="0007391C"/>
    <w:rsid w:val="00073C86"/>
    <w:rsid w:val="00073D80"/>
    <w:rsid w:val="000746F9"/>
    <w:rsid w:val="0007479A"/>
    <w:rsid w:val="00074B56"/>
    <w:rsid w:val="000757C5"/>
    <w:rsid w:val="00075A06"/>
    <w:rsid w:val="000767BB"/>
    <w:rsid w:val="00076A25"/>
    <w:rsid w:val="00077B24"/>
    <w:rsid w:val="00077F17"/>
    <w:rsid w:val="00080112"/>
    <w:rsid w:val="00080BF3"/>
    <w:rsid w:val="00083A8E"/>
    <w:rsid w:val="000852DD"/>
    <w:rsid w:val="00085309"/>
    <w:rsid w:val="00085651"/>
    <w:rsid w:val="0008754B"/>
    <w:rsid w:val="0008764C"/>
    <w:rsid w:val="00087D54"/>
    <w:rsid w:val="000901BD"/>
    <w:rsid w:val="00090D46"/>
    <w:rsid w:val="00090E44"/>
    <w:rsid w:val="00092711"/>
    <w:rsid w:val="00094987"/>
    <w:rsid w:val="00094AC3"/>
    <w:rsid w:val="00094B58"/>
    <w:rsid w:val="00094BD3"/>
    <w:rsid w:val="00096533"/>
    <w:rsid w:val="00096ABE"/>
    <w:rsid w:val="00096B04"/>
    <w:rsid w:val="000A041A"/>
    <w:rsid w:val="000A0D81"/>
    <w:rsid w:val="000A1B0A"/>
    <w:rsid w:val="000A289D"/>
    <w:rsid w:val="000A3540"/>
    <w:rsid w:val="000A3E94"/>
    <w:rsid w:val="000A3EB3"/>
    <w:rsid w:val="000A40FB"/>
    <w:rsid w:val="000A5393"/>
    <w:rsid w:val="000A56CF"/>
    <w:rsid w:val="000A5C8F"/>
    <w:rsid w:val="000A64E7"/>
    <w:rsid w:val="000A74E3"/>
    <w:rsid w:val="000A7CF6"/>
    <w:rsid w:val="000B0326"/>
    <w:rsid w:val="000B05BA"/>
    <w:rsid w:val="000B255F"/>
    <w:rsid w:val="000B3FE5"/>
    <w:rsid w:val="000B4214"/>
    <w:rsid w:val="000B7448"/>
    <w:rsid w:val="000C03D6"/>
    <w:rsid w:val="000C1926"/>
    <w:rsid w:val="000C1B6D"/>
    <w:rsid w:val="000C211C"/>
    <w:rsid w:val="000C297E"/>
    <w:rsid w:val="000C2EEF"/>
    <w:rsid w:val="000C37CC"/>
    <w:rsid w:val="000C3843"/>
    <w:rsid w:val="000C3CD5"/>
    <w:rsid w:val="000C3E98"/>
    <w:rsid w:val="000C48D8"/>
    <w:rsid w:val="000C50D1"/>
    <w:rsid w:val="000C5A87"/>
    <w:rsid w:val="000C5E9D"/>
    <w:rsid w:val="000C735C"/>
    <w:rsid w:val="000C7DBD"/>
    <w:rsid w:val="000D0383"/>
    <w:rsid w:val="000D33BD"/>
    <w:rsid w:val="000D361C"/>
    <w:rsid w:val="000D381F"/>
    <w:rsid w:val="000D44D3"/>
    <w:rsid w:val="000D52AE"/>
    <w:rsid w:val="000D74CD"/>
    <w:rsid w:val="000D7EB5"/>
    <w:rsid w:val="000E08C2"/>
    <w:rsid w:val="000E1294"/>
    <w:rsid w:val="000E3EE7"/>
    <w:rsid w:val="000E4371"/>
    <w:rsid w:val="000E605B"/>
    <w:rsid w:val="000F4340"/>
    <w:rsid w:val="000F4E18"/>
    <w:rsid w:val="000F5041"/>
    <w:rsid w:val="000F6384"/>
    <w:rsid w:val="001007A3"/>
    <w:rsid w:val="00100DAB"/>
    <w:rsid w:val="00102237"/>
    <w:rsid w:val="00103075"/>
    <w:rsid w:val="0010610B"/>
    <w:rsid w:val="00107E07"/>
    <w:rsid w:val="00110D64"/>
    <w:rsid w:val="00114671"/>
    <w:rsid w:val="001161DE"/>
    <w:rsid w:val="00117450"/>
    <w:rsid w:val="00120020"/>
    <w:rsid w:val="00120F1D"/>
    <w:rsid w:val="00120FE8"/>
    <w:rsid w:val="00122666"/>
    <w:rsid w:val="00122D09"/>
    <w:rsid w:val="0012776F"/>
    <w:rsid w:val="00127892"/>
    <w:rsid w:val="00127F20"/>
    <w:rsid w:val="0013112C"/>
    <w:rsid w:val="0013367D"/>
    <w:rsid w:val="00134B56"/>
    <w:rsid w:val="00137E12"/>
    <w:rsid w:val="001401C6"/>
    <w:rsid w:val="00140A98"/>
    <w:rsid w:val="001414D0"/>
    <w:rsid w:val="00141542"/>
    <w:rsid w:val="001420E9"/>
    <w:rsid w:val="00145764"/>
    <w:rsid w:val="001465F0"/>
    <w:rsid w:val="0014750A"/>
    <w:rsid w:val="001475E0"/>
    <w:rsid w:val="00152399"/>
    <w:rsid w:val="0015291E"/>
    <w:rsid w:val="00153F56"/>
    <w:rsid w:val="001568F4"/>
    <w:rsid w:val="00156EF0"/>
    <w:rsid w:val="0016023F"/>
    <w:rsid w:val="00160F9B"/>
    <w:rsid w:val="00161B6F"/>
    <w:rsid w:val="001629C1"/>
    <w:rsid w:val="00164780"/>
    <w:rsid w:val="00164DA1"/>
    <w:rsid w:val="001663A6"/>
    <w:rsid w:val="00173B2D"/>
    <w:rsid w:val="00173BED"/>
    <w:rsid w:val="0017445F"/>
    <w:rsid w:val="0017754F"/>
    <w:rsid w:val="00177917"/>
    <w:rsid w:val="0018103A"/>
    <w:rsid w:val="001819F7"/>
    <w:rsid w:val="00181D1D"/>
    <w:rsid w:val="001830CE"/>
    <w:rsid w:val="001839CA"/>
    <w:rsid w:val="00184B82"/>
    <w:rsid w:val="00186847"/>
    <w:rsid w:val="001871F4"/>
    <w:rsid w:val="001919AC"/>
    <w:rsid w:val="00192121"/>
    <w:rsid w:val="00192FC0"/>
    <w:rsid w:val="001938BB"/>
    <w:rsid w:val="0019396C"/>
    <w:rsid w:val="00193BFF"/>
    <w:rsid w:val="0019532F"/>
    <w:rsid w:val="00196BCF"/>
    <w:rsid w:val="001A1E70"/>
    <w:rsid w:val="001A38C8"/>
    <w:rsid w:val="001A4E64"/>
    <w:rsid w:val="001B42A5"/>
    <w:rsid w:val="001B4832"/>
    <w:rsid w:val="001B4EE5"/>
    <w:rsid w:val="001B53E2"/>
    <w:rsid w:val="001B6E97"/>
    <w:rsid w:val="001B70FF"/>
    <w:rsid w:val="001C0C28"/>
    <w:rsid w:val="001C16D0"/>
    <w:rsid w:val="001C5492"/>
    <w:rsid w:val="001C56B4"/>
    <w:rsid w:val="001D08B4"/>
    <w:rsid w:val="001D2F64"/>
    <w:rsid w:val="001D40CA"/>
    <w:rsid w:val="001D6ECB"/>
    <w:rsid w:val="001E0411"/>
    <w:rsid w:val="001E3F06"/>
    <w:rsid w:val="001E4B97"/>
    <w:rsid w:val="001E4F6A"/>
    <w:rsid w:val="001E66B7"/>
    <w:rsid w:val="001E6ADA"/>
    <w:rsid w:val="001E71E5"/>
    <w:rsid w:val="001E7591"/>
    <w:rsid w:val="001F0EE9"/>
    <w:rsid w:val="001F30CC"/>
    <w:rsid w:val="001F4B18"/>
    <w:rsid w:val="001F50F0"/>
    <w:rsid w:val="001F60B1"/>
    <w:rsid w:val="00200083"/>
    <w:rsid w:val="00203C3A"/>
    <w:rsid w:val="00204E57"/>
    <w:rsid w:val="0020531F"/>
    <w:rsid w:val="0020541C"/>
    <w:rsid w:val="00205E83"/>
    <w:rsid w:val="002065ED"/>
    <w:rsid w:val="00206B44"/>
    <w:rsid w:val="00210891"/>
    <w:rsid w:val="00210A10"/>
    <w:rsid w:val="00210A92"/>
    <w:rsid w:val="00210FFB"/>
    <w:rsid w:val="0021384A"/>
    <w:rsid w:val="002138C9"/>
    <w:rsid w:val="00213A26"/>
    <w:rsid w:val="00214A97"/>
    <w:rsid w:val="00215572"/>
    <w:rsid w:val="00215B2B"/>
    <w:rsid w:val="00215EE2"/>
    <w:rsid w:val="00216257"/>
    <w:rsid w:val="002165B5"/>
    <w:rsid w:val="0021664F"/>
    <w:rsid w:val="00216F48"/>
    <w:rsid w:val="002176B7"/>
    <w:rsid w:val="00223BA8"/>
    <w:rsid w:val="002266E7"/>
    <w:rsid w:val="00226D57"/>
    <w:rsid w:val="002306F2"/>
    <w:rsid w:val="002309BD"/>
    <w:rsid w:val="002315BA"/>
    <w:rsid w:val="00232207"/>
    <w:rsid w:val="002333A9"/>
    <w:rsid w:val="0023398C"/>
    <w:rsid w:val="00233AB2"/>
    <w:rsid w:val="00233C45"/>
    <w:rsid w:val="00234150"/>
    <w:rsid w:val="002341F0"/>
    <w:rsid w:val="00234A6A"/>
    <w:rsid w:val="0023588B"/>
    <w:rsid w:val="0023728B"/>
    <w:rsid w:val="00244999"/>
    <w:rsid w:val="0024644E"/>
    <w:rsid w:val="002470AB"/>
    <w:rsid w:val="002500DD"/>
    <w:rsid w:val="00250890"/>
    <w:rsid w:val="002511D4"/>
    <w:rsid w:val="00251506"/>
    <w:rsid w:val="002516B8"/>
    <w:rsid w:val="00252036"/>
    <w:rsid w:val="00252054"/>
    <w:rsid w:val="002527BC"/>
    <w:rsid w:val="00252ED0"/>
    <w:rsid w:val="0025393E"/>
    <w:rsid w:val="00255FD9"/>
    <w:rsid w:val="00256392"/>
    <w:rsid w:val="00257C62"/>
    <w:rsid w:val="00257E89"/>
    <w:rsid w:val="00260BFF"/>
    <w:rsid w:val="0026572C"/>
    <w:rsid w:val="00265999"/>
    <w:rsid w:val="00267A19"/>
    <w:rsid w:val="00267ECE"/>
    <w:rsid w:val="002712C6"/>
    <w:rsid w:val="002740F5"/>
    <w:rsid w:val="00276A8B"/>
    <w:rsid w:val="0027701A"/>
    <w:rsid w:val="002778D3"/>
    <w:rsid w:val="00277C2B"/>
    <w:rsid w:val="00280442"/>
    <w:rsid w:val="002824AB"/>
    <w:rsid w:val="002824F6"/>
    <w:rsid w:val="00282ED5"/>
    <w:rsid w:val="00283F43"/>
    <w:rsid w:val="002855B2"/>
    <w:rsid w:val="002866DC"/>
    <w:rsid w:val="0028687B"/>
    <w:rsid w:val="00286F48"/>
    <w:rsid w:val="00291F88"/>
    <w:rsid w:val="002937E2"/>
    <w:rsid w:val="00293AF7"/>
    <w:rsid w:val="002949BF"/>
    <w:rsid w:val="0029529F"/>
    <w:rsid w:val="002957F8"/>
    <w:rsid w:val="002967A8"/>
    <w:rsid w:val="00296D0E"/>
    <w:rsid w:val="002A0479"/>
    <w:rsid w:val="002A1435"/>
    <w:rsid w:val="002A2077"/>
    <w:rsid w:val="002A2430"/>
    <w:rsid w:val="002A2852"/>
    <w:rsid w:val="002A2DAF"/>
    <w:rsid w:val="002A39D3"/>
    <w:rsid w:val="002A4335"/>
    <w:rsid w:val="002A4723"/>
    <w:rsid w:val="002A4887"/>
    <w:rsid w:val="002A4D24"/>
    <w:rsid w:val="002A4D5B"/>
    <w:rsid w:val="002A4E8D"/>
    <w:rsid w:val="002A5390"/>
    <w:rsid w:val="002A5D90"/>
    <w:rsid w:val="002A605C"/>
    <w:rsid w:val="002A644E"/>
    <w:rsid w:val="002A7AF7"/>
    <w:rsid w:val="002B05D6"/>
    <w:rsid w:val="002B1303"/>
    <w:rsid w:val="002B3FB8"/>
    <w:rsid w:val="002B44D6"/>
    <w:rsid w:val="002B5511"/>
    <w:rsid w:val="002B6160"/>
    <w:rsid w:val="002B6E96"/>
    <w:rsid w:val="002B728F"/>
    <w:rsid w:val="002C0975"/>
    <w:rsid w:val="002C0BFE"/>
    <w:rsid w:val="002C0DD4"/>
    <w:rsid w:val="002C123B"/>
    <w:rsid w:val="002C3571"/>
    <w:rsid w:val="002C5E0A"/>
    <w:rsid w:val="002C6E9E"/>
    <w:rsid w:val="002D2134"/>
    <w:rsid w:val="002D219A"/>
    <w:rsid w:val="002D2EC5"/>
    <w:rsid w:val="002D30A5"/>
    <w:rsid w:val="002D51B7"/>
    <w:rsid w:val="002D62CD"/>
    <w:rsid w:val="002D63CF"/>
    <w:rsid w:val="002D6688"/>
    <w:rsid w:val="002D697B"/>
    <w:rsid w:val="002D6B1C"/>
    <w:rsid w:val="002E0C19"/>
    <w:rsid w:val="002E0E38"/>
    <w:rsid w:val="002E106C"/>
    <w:rsid w:val="002E19E3"/>
    <w:rsid w:val="002E4EDA"/>
    <w:rsid w:val="002E692B"/>
    <w:rsid w:val="002F164D"/>
    <w:rsid w:val="002F3D5F"/>
    <w:rsid w:val="002F3D60"/>
    <w:rsid w:val="002F408B"/>
    <w:rsid w:val="002F5661"/>
    <w:rsid w:val="002F56AA"/>
    <w:rsid w:val="002F6B65"/>
    <w:rsid w:val="002F76E5"/>
    <w:rsid w:val="003002AE"/>
    <w:rsid w:val="00301639"/>
    <w:rsid w:val="00302416"/>
    <w:rsid w:val="00302D4F"/>
    <w:rsid w:val="00303B51"/>
    <w:rsid w:val="0030438A"/>
    <w:rsid w:val="00304514"/>
    <w:rsid w:val="003112DE"/>
    <w:rsid w:val="00312748"/>
    <w:rsid w:val="00313D0B"/>
    <w:rsid w:val="0031552B"/>
    <w:rsid w:val="003156C7"/>
    <w:rsid w:val="00316C7E"/>
    <w:rsid w:val="00322F28"/>
    <w:rsid w:val="003236D0"/>
    <w:rsid w:val="00323844"/>
    <w:rsid w:val="003241BC"/>
    <w:rsid w:val="003257CB"/>
    <w:rsid w:val="00325BC4"/>
    <w:rsid w:val="00325FD3"/>
    <w:rsid w:val="00326220"/>
    <w:rsid w:val="00327A1D"/>
    <w:rsid w:val="003307AB"/>
    <w:rsid w:val="00330ECF"/>
    <w:rsid w:val="00331A01"/>
    <w:rsid w:val="003323F5"/>
    <w:rsid w:val="00332B3C"/>
    <w:rsid w:val="00332C35"/>
    <w:rsid w:val="00333687"/>
    <w:rsid w:val="0033379E"/>
    <w:rsid w:val="00333D91"/>
    <w:rsid w:val="003349D7"/>
    <w:rsid w:val="00334F23"/>
    <w:rsid w:val="00335ACC"/>
    <w:rsid w:val="0033662A"/>
    <w:rsid w:val="00342597"/>
    <w:rsid w:val="00342E9B"/>
    <w:rsid w:val="003435A7"/>
    <w:rsid w:val="00343B77"/>
    <w:rsid w:val="00344EE4"/>
    <w:rsid w:val="0034576C"/>
    <w:rsid w:val="00346DCD"/>
    <w:rsid w:val="00351270"/>
    <w:rsid w:val="003517E8"/>
    <w:rsid w:val="00353A2D"/>
    <w:rsid w:val="0035492C"/>
    <w:rsid w:val="00357687"/>
    <w:rsid w:val="00360A4C"/>
    <w:rsid w:val="0036246F"/>
    <w:rsid w:val="003627BD"/>
    <w:rsid w:val="003628B9"/>
    <w:rsid w:val="0036317F"/>
    <w:rsid w:val="003636B8"/>
    <w:rsid w:val="00363772"/>
    <w:rsid w:val="00365C8D"/>
    <w:rsid w:val="00365EE1"/>
    <w:rsid w:val="00366508"/>
    <w:rsid w:val="003665DD"/>
    <w:rsid w:val="003677B9"/>
    <w:rsid w:val="00367BB5"/>
    <w:rsid w:val="00370780"/>
    <w:rsid w:val="00371B30"/>
    <w:rsid w:val="00372858"/>
    <w:rsid w:val="00375251"/>
    <w:rsid w:val="00375A81"/>
    <w:rsid w:val="00377FCE"/>
    <w:rsid w:val="003817A9"/>
    <w:rsid w:val="00383764"/>
    <w:rsid w:val="00384F1B"/>
    <w:rsid w:val="00385B92"/>
    <w:rsid w:val="00387686"/>
    <w:rsid w:val="0038781E"/>
    <w:rsid w:val="00387CDB"/>
    <w:rsid w:val="00390BFA"/>
    <w:rsid w:val="003916F2"/>
    <w:rsid w:val="003923DE"/>
    <w:rsid w:val="00393918"/>
    <w:rsid w:val="0039439E"/>
    <w:rsid w:val="00394997"/>
    <w:rsid w:val="003954AF"/>
    <w:rsid w:val="00395598"/>
    <w:rsid w:val="00396B65"/>
    <w:rsid w:val="003A0165"/>
    <w:rsid w:val="003A1460"/>
    <w:rsid w:val="003A1853"/>
    <w:rsid w:val="003A212A"/>
    <w:rsid w:val="003A2779"/>
    <w:rsid w:val="003A3241"/>
    <w:rsid w:val="003A5297"/>
    <w:rsid w:val="003A604D"/>
    <w:rsid w:val="003A753A"/>
    <w:rsid w:val="003A7FAF"/>
    <w:rsid w:val="003B2EA6"/>
    <w:rsid w:val="003B443C"/>
    <w:rsid w:val="003B4501"/>
    <w:rsid w:val="003C02C4"/>
    <w:rsid w:val="003C3C04"/>
    <w:rsid w:val="003C4595"/>
    <w:rsid w:val="003C4CF6"/>
    <w:rsid w:val="003C4EF0"/>
    <w:rsid w:val="003C516F"/>
    <w:rsid w:val="003C5516"/>
    <w:rsid w:val="003C62F2"/>
    <w:rsid w:val="003C6469"/>
    <w:rsid w:val="003C74F8"/>
    <w:rsid w:val="003C7D9D"/>
    <w:rsid w:val="003D021F"/>
    <w:rsid w:val="003D10D9"/>
    <w:rsid w:val="003D147F"/>
    <w:rsid w:val="003D18D0"/>
    <w:rsid w:val="003D301F"/>
    <w:rsid w:val="003D4706"/>
    <w:rsid w:val="003D47AD"/>
    <w:rsid w:val="003D4D0C"/>
    <w:rsid w:val="003D4FFD"/>
    <w:rsid w:val="003D5480"/>
    <w:rsid w:val="003E1540"/>
    <w:rsid w:val="003E3C42"/>
    <w:rsid w:val="003E4857"/>
    <w:rsid w:val="003E5567"/>
    <w:rsid w:val="003F0D40"/>
    <w:rsid w:val="003F13E3"/>
    <w:rsid w:val="003F187A"/>
    <w:rsid w:val="003F1C63"/>
    <w:rsid w:val="003F3BA7"/>
    <w:rsid w:val="003F4BD6"/>
    <w:rsid w:val="003F584D"/>
    <w:rsid w:val="003F5E42"/>
    <w:rsid w:val="003F707C"/>
    <w:rsid w:val="003F738A"/>
    <w:rsid w:val="00400E03"/>
    <w:rsid w:val="00400E88"/>
    <w:rsid w:val="00401E02"/>
    <w:rsid w:val="00402393"/>
    <w:rsid w:val="00403840"/>
    <w:rsid w:val="004039C2"/>
    <w:rsid w:val="00404459"/>
    <w:rsid w:val="004050D4"/>
    <w:rsid w:val="004054CF"/>
    <w:rsid w:val="00405F4A"/>
    <w:rsid w:val="0041016D"/>
    <w:rsid w:val="00410FE5"/>
    <w:rsid w:val="004128F2"/>
    <w:rsid w:val="00412CD3"/>
    <w:rsid w:val="0041382E"/>
    <w:rsid w:val="00414E6F"/>
    <w:rsid w:val="00415265"/>
    <w:rsid w:val="00415487"/>
    <w:rsid w:val="0041679E"/>
    <w:rsid w:val="004209AF"/>
    <w:rsid w:val="004215D9"/>
    <w:rsid w:val="00421A5C"/>
    <w:rsid w:val="00422399"/>
    <w:rsid w:val="00424BF0"/>
    <w:rsid w:val="0042502A"/>
    <w:rsid w:val="00427D93"/>
    <w:rsid w:val="00430214"/>
    <w:rsid w:val="0043205B"/>
    <w:rsid w:val="00432620"/>
    <w:rsid w:val="004326DF"/>
    <w:rsid w:val="00432F5E"/>
    <w:rsid w:val="00433546"/>
    <w:rsid w:val="0043369B"/>
    <w:rsid w:val="00433F4E"/>
    <w:rsid w:val="00434061"/>
    <w:rsid w:val="00435D81"/>
    <w:rsid w:val="004360C3"/>
    <w:rsid w:val="00436523"/>
    <w:rsid w:val="00441666"/>
    <w:rsid w:val="00441AFF"/>
    <w:rsid w:val="00441C59"/>
    <w:rsid w:val="00443AC5"/>
    <w:rsid w:val="00443BFD"/>
    <w:rsid w:val="00443D6D"/>
    <w:rsid w:val="00443FE0"/>
    <w:rsid w:val="0044475E"/>
    <w:rsid w:val="00447627"/>
    <w:rsid w:val="00450C25"/>
    <w:rsid w:val="00452F75"/>
    <w:rsid w:val="00453A98"/>
    <w:rsid w:val="00453E5B"/>
    <w:rsid w:val="00454E3E"/>
    <w:rsid w:val="004574AC"/>
    <w:rsid w:val="00461B5A"/>
    <w:rsid w:val="0046241B"/>
    <w:rsid w:val="00463259"/>
    <w:rsid w:val="00463AE0"/>
    <w:rsid w:val="004647F4"/>
    <w:rsid w:val="00467C74"/>
    <w:rsid w:val="00467F5E"/>
    <w:rsid w:val="00467F61"/>
    <w:rsid w:val="00470E8A"/>
    <w:rsid w:val="00471AE6"/>
    <w:rsid w:val="00471C1C"/>
    <w:rsid w:val="00473957"/>
    <w:rsid w:val="00473B3F"/>
    <w:rsid w:val="00474600"/>
    <w:rsid w:val="00474E86"/>
    <w:rsid w:val="00477865"/>
    <w:rsid w:val="00477CC4"/>
    <w:rsid w:val="00477E12"/>
    <w:rsid w:val="00477F35"/>
    <w:rsid w:val="00480946"/>
    <w:rsid w:val="00481225"/>
    <w:rsid w:val="004823AF"/>
    <w:rsid w:val="0048281C"/>
    <w:rsid w:val="00482DF6"/>
    <w:rsid w:val="00482DFA"/>
    <w:rsid w:val="00482EEC"/>
    <w:rsid w:val="00483371"/>
    <w:rsid w:val="004838B6"/>
    <w:rsid w:val="00484FA2"/>
    <w:rsid w:val="0049058B"/>
    <w:rsid w:val="00491EF2"/>
    <w:rsid w:val="0049333B"/>
    <w:rsid w:val="00494BDC"/>
    <w:rsid w:val="0049613D"/>
    <w:rsid w:val="00496CCC"/>
    <w:rsid w:val="00497B15"/>
    <w:rsid w:val="004A104D"/>
    <w:rsid w:val="004A15EC"/>
    <w:rsid w:val="004A3754"/>
    <w:rsid w:val="004A5590"/>
    <w:rsid w:val="004A5B2F"/>
    <w:rsid w:val="004A5FAA"/>
    <w:rsid w:val="004A7042"/>
    <w:rsid w:val="004A724A"/>
    <w:rsid w:val="004A75C3"/>
    <w:rsid w:val="004A76C4"/>
    <w:rsid w:val="004B0384"/>
    <w:rsid w:val="004B1140"/>
    <w:rsid w:val="004B2D8C"/>
    <w:rsid w:val="004B550A"/>
    <w:rsid w:val="004B55E5"/>
    <w:rsid w:val="004B73F4"/>
    <w:rsid w:val="004B7A0C"/>
    <w:rsid w:val="004B7AF1"/>
    <w:rsid w:val="004C1275"/>
    <w:rsid w:val="004C285D"/>
    <w:rsid w:val="004C3044"/>
    <w:rsid w:val="004C3FD3"/>
    <w:rsid w:val="004C415B"/>
    <w:rsid w:val="004C4883"/>
    <w:rsid w:val="004C4D3C"/>
    <w:rsid w:val="004C5DA4"/>
    <w:rsid w:val="004C73F8"/>
    <w:rsid w:val="004C75A9"/>
    <w:rsid w:val="004C7A0F"/>
    <w:rsid w:val="004D1087"/>
    <w:rsid w:val="004D1A2A"/>
    <w:rsid w:val="004D2C91"/>
    <w:rsid w:val="004D3F73"/>
    <w:rsid w:val="004D48D9"/>
    <w:rsid w:val="004E1BDB"/>
    <w:rsid w:val="004E2AE9"/>
    <w:rsid w:val="004E303A"/>
    <w:rsid w:val="004E334E"/>
    <w:rsid w:val="004E36DC"/>
    <w:rsid w:val="004E59AE"/>
    <w:rsid w:val="004E670A"/>
    <w:rsid w:val="004E6EDF"/>
    <w:rsid w:val="004E758B"/>
    <w:rsid w:val="004E766A"/>
    <w:rsid w:val="004E7BA2"/>
    <w:rsid w:val="004F18D2"/>
    <w:rsid w:val="004F244B"/>
    <w:rsid w:val="004F2F8D"/>
    <w:rsid w:val="004F338B"/>
    <w:rsid w:val="004F4DE0"/>
    <w:rsid w:val="00500406"/>
    <w:rsid w:val="005005B9"/>
    <w:rsid w:val="00500785"/>
    <w:rsid w:val="00500E1C"/>
    <w:rsid w:val="00501BD2"/>
    <w:rsid w:val="005025C9"/>
    <w:rsid w:val="00504C92"/>
    <w:rsid w:val="005052B3"/>
    <w:rsid w:val="00506A9B"/>
    <w:rsid w:val="00506B27"/>
    <w:rsid w:val="00507796"/>
    <w:rsid w:val="005077FF"/>
    <w:rsid w:val="00507954"/>
    <w:rsid w:val="0051022E"/>
    <w:rsid w:val="005132C3"/>
    <w:rsid w:val="00516320"/>
    <w:rsid w:val="00530304"/>
    <w:rsid w:val="00531711"/>
    <w:rsid w:val="005317C8"/>
    <w:rsid w:val="00536BF4"/>
    <w:rsid w:val="00536F89"/>
    <w:rsid w:val="00541B8F"/>
    <w:rsid w:val="00542C01"/>
    <w:rsid w:val="00542F34"/>
    <w:rsid w:val="00542FF7"/>
    <w:rsid w:val="00543412"/>
    <w:rsid w:val="00544169"/>
    <w:rsid w:val="005446C1"/>
    <w:rsid w:val="00544AA4"/>
    <w:rsid w:val="00544D0F"/>
    <w:rsid w:val="00545192"/>
    <w:rsid w:val="00545E5F"/>
    <w:rsid w:val="00546C98"/>
    <w:rsid w:val="00547333"/>
    <w:rsid w:val="00550D8E"/>
    <w:rsid w:val="00552609"/>
    <w:rsid w:val="005534A0"/>
    <w:rsid w:val="0055552E"/>
    <w:rsid w:val="00555D4F"/>
    <w:rsid w:val="0055637B"/>
    <w:rsid w:val="00556C2C"/>
    <w:rsid w:val="00560B87"/>
    <w:rsid w:val="00562E16"/>
    <w:rsid w:val="00563237"/>
    <w:rsid w:val="005634DC"/>
    <w:rsid w:val="0056471E"/>
    <w:rsid w:val="00564FE5"/>
    <w:rsid w:val="00565928"/>
    <w:rsid w:val="00566E7A"/>
    <w:rsid w:val="005739EF"/>
    <w:rsid w:val="00573F7F"/>
    <w:rsid w:val="005742C8"/>
    <w:rsid w:val="0057599D"/>
    <w:rsid w:val="005767C4"/>
    <w:rsid w:val="005805AC"/>
    <w:rsid w:val="005840CF"/>
    <w:rsid w:val="00585558"/>
    <w:rsid w:val="00585CFC"/>
    <w:rsid w:val="0058693F"/>
    <w:rsid w:val="00587907"/>
    <w:rsid w:val="00593D2D"/>
    <w:rsid w:val="005941F8"/>
    <w:rsid w:val="00594AA7"/>
    <w:rsid w:val="00595C10"/>
    <w:rsid w:val="005A0198"/>
    <w:rsid w:val="005A0A76"/>
    <w:rsid w:val="005A1E60"/>
    <w:rsid w:val="005A2E88"/>
    <w:rsid w:val="005A3808"/>
    <w:rsid w:val="005A4745"/>
    <w:rsid w:val="005A4803"/>
    <w:rsid w:val="005A4C33"/>
    <w:rsid w:val="005A6833"/>
    <w:rsid w:val="005A7FFC"/>
    <w:rsid w:val="005B110D"/>
    <w:rsid w:val="005B1604"/>
    <w:rsid w:val="005B3A83"/>
    <w:rsid w:val="005B409E"/>
    <w:rsid w:val="005B45A9"/>
    <w:rsid w:val="005B58E8"/>
    <w:rsid w:val="005B70AB"/>
    <w:rsid w:val="005B787A"/>
    <w:rsid w:val="005B7D4B"/>
    <w:rsid w:val="005C21EE"/>
    <w:rsid w:val="005C272F"/>
    <w:rsid w:val="005C3977"/>
    <w:rsid w:val="005C3AB0"/>
    <w:rsid w:val="005C400D"/>
    <w:rsid w:val="005C4635"/>
    <w:rsid w:val="005C4CC2"/>
    <w:rsid w:val="005C5708"/>
    <w:rsid w:val="005D03FE"/>
    <w:rsid w:val="005D046D"/>
    <w:rsid w:val="005D0B37"/>
    <w:rsid w:val="005D261E"/>
    <w:rsid w:val="005D29D4"/>
    <w:rsid w:val="005D3234"/>
    <w:rsid w:val="005D4750"/>
    <w:rsid w:val="005D55B3"/>
    <w:rsid w:val="005D692E"/>
    <w:rsid w:val="005D7388"/>
    <w:rsid w:val="005E09DD"/>
    <w:rsid w:val="005E2E9E"/>
    <w:rsid w:val="005E3098"/>
    <w:rsid w:val="005E37B7"/>
    <w:rsid w:val="005E4780"/>
    <w:rsid w:val="005E4C0B"/>
    <w:rsid w:val="005E67B4"/>
    <w:rsid w:val="005E6FDA"/>
    <w:rsid w:val="005F020D"/>
    <w:rsid w:val="005F15C1"/>
    <w:rsid w:val="005F3C69"/>
    <w:rsid w:val="005F3E81"/>
    <w:rsid w:val="005F5715"/>
    <w:rsid w:val="005F7E01"/>
    <w:rsid w:val="00604926"/>
    <w:rsid w:val="00605087"/>
    <w:rsid w:val="0060607A"/>
    <w:rsid w:val="006067D8"/>
    <w:rsid w:val="00607C55"/>
    <w:rsid w:val="00611A92"/>
    <w:rsid w:val="006133D2"/>
    <w:rsid w:val="00613DE9"/>
    <w:rsid w:val="00614641"/>
    <w:rsid w:val="00614C48"/>
    <w:rsid w:val="00615263"/>
    <w:rsid w:val="006166B5"/>
    <w:rsid w:val="00621579"/>
    <w:rsid w:val="006221C5"/>
    <w:rsid w:val="006234F1"/>
    <w:rsid w:val="006239C7"/>
    <w:rsid w:val="006249E8"/>
    <w:rsid w:val="00624DC0"/>
    <w:rsid w:val="00626A78"/>
    <w:rsid w:val="00627782"/>
    <w:rsid w:val="00630575"/>
    <w:rsid w:val="00630F36"/>
    <w:rsid w:val="00631240"/>
    <w:rsid w:val="00631E9E"/>
    <w:rsid w:val="00633924"/>
    <w:rsid w:val="006339D6"/>
    <w:rsid w:val="00633F5B"/>
    <w:rsid w:val="00636182"/>
    <w:rsid w:val="00636250"/>
    <w:rsid w:val="00636F43"/>
    <w:rsid w:val="00637E4D"/>
    <w:rsid w:val="00640200"/>
    <w:rsid w:val="00640FF3"/>
    <w:rsid w:val="0064407C"/>
    <w:rsid w:val="006462E4"/>
    <w:rsid w:val="006465D7"/>
    <w:rsid w:val="00646D4F"/>
    <w:rsid w:val="00646FD7"/>
    <w:rsid w:val="00647363"/>
    <w:rsid w:val="00650AE8"/>
    <w:rsid w:val="00651B71"/>
    <w:rsid w:val="0065275B"/>
    <w:rsid w:val="006531B0"/>
    <w:rsid w:val="006533A2"/>
    <w:rsid w:val="00654432"/>
    <w:rsid w:val="0065623A"/>
    <w:rsid w:val="006562FF"/>
    <w:rsid w:val="0066106E"/>
    <w:rsid w:val="00662052"/>
    <w:rsid w:val="00662958"/>
    <w:rsid w:val="00663F22"/>
    <w:rsid w:val="006640C4"/>
    <w:rsid w:val="0066449E"/>
    <w:rsid w:val="006665E0"/>
    <w:rsid w:val="00670E3A"/>
    <w:rsid w:val="00673422"/>
    <w:rsid w:val="00673DD0"/>
    <w:rsid w:val="006740FA"/>
    <w:rsid w:val="006756A4"/>
    <w:rsid w:val="00675712"/>
    <w:rsid w:val="006761A0"/>
    <w:rsid w:val="006762DA"/>
    <w:rsid w:val="006773EC"/>
    <w:rsid w:val="00677842"/>
    <w:rsid w:val="00682FC0"/>
    <w:rsid w:val="00684F11"/>
    <w:rsid w:val="00684F1A"/>
    <w:rsid w:val="00686286"/>
    <w:rsid w:val="0068693D"/>
    <w:rsid w:val="006911DA"/>
    <w:rsid w:val="00691483"/>
    <w:rsid w:val="00693E50"/>
    <w:rsid w:val="00694673"/>
    <w:rsid w:val="00694AE1"/>
    <w:rsid w:val="006950C8"/>
    <w:rsid w:val="006953CD"/>
    <w:rsid w:val="00695816"/>
    <w:rsid w:val="00696152"/>
    <w:rsid w:val="00697A64"/>
    <w:rsid w:val="006A2233"/>
    <w:rsid w:val="006A337E"/>
    <w:rsid w:val="006A3ADD"/>
    <w:rsid w:val="006A787E"/>
    <w:rsid w:val="006B181E"/>
    <w:rsid w:val="006B1AC7"/>
    <w:rsid w:val="006B2B04"/>
    <w:rsid w:val="006B5662"/>
    <w:rsid w:val="006B648A"/>
    <w:rsid w:val="006B64BC"/>
    <w:rsid w:val="006B7EEB"/>
    <w:rsid w:val="006C12A6"/>
    <w:rsid w:val="006C294F"/>
    <w:rsid w:val="006C2C5B"/>
    <w:rsid w:val="006C2E8A"/>
    <w:rsid w:val="006C3A66"/>
    <w:rsid w:val="006C4094"/>
    <w:rsid w:val="006C473F"/>
    <w:rsid w:val="006C478F"/>
    <w:rsid w:val="006C50B2"/>
    <w:rsid w:val="006C5C41"/>
    <w:rsid w:val="006C6EC1"/>
    <w:rsid w:val="006D13F0"/>
    <w:rsid w:val="006D2860"/>
    <w:rsid w:val="006D3050"/>
    <w:rsid w:val="006D5A5D"/>
    <w:rsid w:val="006D684C"/>
    <w:rsid w:val="006D68F0"/>
    <w:rsid w:val="006E1435"/>
    <w:rsid w:val="006E26C6"/>
    <w:rsid w:val="006E2F01"/>
    <w:rsid w:val="006E2FFA"/>
    <w:rsid w:val="006E362D"/>
    <w:rsid w:val="006E3AFB"/>
    <w:rsid w:val="006E4263"/>
    <w:rsid w:val="006E4C88"/>
    <w:rsid w:val="006E5CDE"/>
    <w:rsid w:val="006E5E1C"/>
    <w:rsid w:val="006E7E59"/>
    <w:rsid w:val="006F1E5E"/>
    <w:rsid w:val="006F2C9E"/>
    <w:rsid w:val="006F2FB8"/>
    <w:rsid w:val="006F3917"/>
    <w:rsid w:val="006F55B6"/>
    <w:rsid w:val="006F5A3D"/>
    <w:rsid w:val="006F605F"/>
    <w:rsid w:val="00702E51"/>
    <w:rsid w:val="00704B5F"/>
    <w:rsid w:val="007056C8"/>
    <w:rsid w:val="00707B44"/>
    <w:rsid w:val="00714DA1"/>
    <w:rsid w:val="00714F47"/>
    <w:rsid w:val="00721124"/>
    <w:rsid w:val="00722851"/>
    <w:rsid w:val="0072408D"/>
    <w:rsid w:val="007243CA"/>
    <w:rsid w:val="00726139"/>
    <w:rsid w:val="0072641D"/>
    <w:rsid w:val="00727EDF"/>
    <w:rsid w:val="0073120E"/>
    <w:rsid w:val="00731278"/>
    <w:rsid w:val="0073152F"/>
    <w:rsid w:val="00731FB8"/>
    <w:rsid w:val="00733AAC"/>
    <w:rsid w:val="00733B2C"/>
    <w:rsid w:val="00736F34"/>
    <w:rsid w:val="0074061E"/>
    <w:rsid w:val="007406D6"/>
    <w:rsid w:val="007414B5"/>
    <w:rsid w:val="00741547"/>
    <w:rsid w:val="00741DC7"/>
    <w:rsid w:val="007438FB"/>
    <w:rsid w:val="007440A5"/>
    <w:rsid w:val="00744468"/>
    <w:rsid w:val="00753D7C"/>
    <w:rsid w:val="00753DB7"/>
    <w:rsid w:val="0075405C"/>
    <w:rsid w:val="007546BC"/>
    <w:rsid w:val="00754D43"/>
    <w:rsid w:val="0075507E"/>
    <w:rsid w:val="007555DD"/>
    <w:rsid w:val="0075799D"/>
    <w:rsid w:val="0076118B"/>
    <w:rsid w:val="00762842"/>
    <w:rsid w:val="007629E3"/>
    <w:rsid w:val="007640C9"/>
    <w:rsid w:val="00765718"/>
    <w:rsid w:val="00765CCC"/>
    <w:rsid w:val="00765EB1"/>
    <w:rsid w:val="00767CC0"/>
    <w:rsid w:val="007704E4"/>
    <w:rsid w:val="00772ADF"/>
    <w:rsid w:val="00772BA7"/>
    <w:rsid w:val="00772E44"/>
    <w:rsid w:val="0077371A"/>
    <w:rsid w:val="00774086"/>
    <w:rsid w:val="007743C6"/>
    <w:rsid w:val="00774451"/>
    <w:rsid w:val="0077616D"/>
    <w:rsid w:val="007767CD"/>
    <w:rsid w:val="00777B1A"/>
    <w:rsid w:val="00780870"/>
    <w:rsid w:val="00785369"/>
    <w:rsid w:val="00786F3E"/>
    <w:rsid w:val="00787723"/>
    <w:rsid w:val="007906B0"/>
    <w:rsid w:val="007906D8"/>
    <w:rsid w:val="00791466"/>
    <w:rsid w:val="00791552"/>
    <w:rsid w:val="00791FD2"/>
    <w:rsid w:val="00793C03"/>
    <w:rsid w:val="00793E2D"/>
    <w:rsid w:val="00793F44"/>
    <w:rsid w:val="007946B5"/>
    <w:rsid w:val="00794BA0"/>
    <w:rsid w:val="00795B8F"/>
    <w:rsid w:val="00795DB5"/>
    <w:rsid w:val="007A05CA"/>
    <w:rsid w:val="007A0D14"/>
    <w:rsid w:val="007A4382"/>
    <w:rsid w:val="007A4CFC"/>
    <w:rsid w:val="007A4F12"/>
    <w:rsid w:val="007A5C4B"/>
    <w:rsid w:val="007A6C87"/>
    <w:rsid w:val="007A782C"/>
    <w:rsid w:val="007A7B8A"/>
    <w:rsid w:val="007B1AA9"/>
    <w:rsid w:val="007B290A"/>
    <w:rsid w:val="007B31ED"/>
    <w:rsid w:val="007B4012"/>
    <w:rsid w:val="007B48BC"/>
    <w:rsid w:val="007B5870"/>
    <w:rsid w:val="007B5BAB"/>
    <w:rsid w:val="007B6889"/>
    <w:rsid w:val="007C125C"/>
    <w:rsid w:val="007C1EBB"/>
    <w:rsid w:val="007C343A"/>
    <w:rsid w:val="007C47BF"/>
    <w:rsid w:val="007C484B"/>
    <w:rsid w:val="007C710A"/>
    <w:rsid w:val="007C743D"/>
    <w:rsid w:val="007D0CFB"/>
    <w:rsid w:val="007D11D3"/>
    <w:rsid w:val="007D2172"/>
    <w:rsid w:val="007D3A57"/>
    <w:rsid w:val="007D3C5E"/>
    <w:rsid w:val="007D3DDF"/>
    <w:rsid w:val="007D4286"/>
    <w:rsid w:val="007D4A85"/>
    <w:rsid w:val="007D4C92"/>
    <w:rsid w:val="007D5C89"/>
    <w:rsid w:val="007E08E5"/>
    <w:rsid w:val="007E26AF"/>
    <w:rsid w:val="007E2FBA"/>
    <w:rsid w:val="007E3CB5"/>
    <w:rsid w:val="007E4C28"/>
    <w:rsid w:val="007E5891"/>
    <w:rsid w:val="007E7682"/>
    <w:rsid w:val="007F0F17"/>
    <w:rsid w:val="007F17B7"/>
    <w:rsid w:val="007F1B43"/>
    <w:rsid w:val="007F2390"/>
    <w:rsid w:val="007F40AE"/>
    <w:rsid w:val="007F5C6C"/>
    <w:rsid w:val="007F709A"/>
    <w:rsid w:val="00800CC3"/>
    <w:rsid w:val="008010A5"/>
    <w:rsid w:val="00804DE7"/>
    <w:rsid w:val="00804E28"/>
    <w:rsid w:val="00805D3F"/>
    <w:rsid w:val="00806972"/>
    <w:rsid w:val="00810BE3"/>
    <w:rsid w:val="00811CD7"/>
    <w:rsid w:val="0081305E"/>
    <w:rsid w:val="00813365"/>
    <w:rsid w:val="00814076"/>
    <w:rsid w:val="00814FBB"/>
    <w:rsid w:val="00815477"/>
    <w:rsid w:val="008159F2"/>
    <w:rsid w:val="00820E4F"/>
    <w:rsid w:val="00822139"/>
    <w:rsid w:val="00822C03"/>
    <w:rsid w:val="00823056"/>
    <w:rsid w:val="00823504"/>
    <w:rsid w:val="0082391F"/>
    <w:rsid w:val="0082508C"/>
    <w:rsid w:val="008278D3"/>
    <w:rsid w:val="00827B54"/>
    <w:rsid w:val="008303E3"/>
    <w:rsid w:val="008308B0"/>
    <w:rsid w:val="00831942"/>
    <w:rsid w:val="00832D47"/>
    <w:rsid w:val="008330C2"/>
    <w:rsid w:val="00834055"/>
    <w:rsid w:val="008347AC"/>
    <w:rsid w:val="0083587E"/>
    <w:rsid w:val="008401BA"/>
    <w:rsid w:val="00841DBB"/>
    <w:rsid w:val="00842A45"/>
    <w:rsid w:val="00842D0B"/>
    <w:rsid w:val="008446E8"/>
    <w:rsid w:val="00844861"/>
    <w:rsid w:val="008453B1"/>
    <w:rsid w:val="00845DAD"/>
    <w:rsid w:val="00846B2F"/>
    <w:rsid w:val="00846BD7"/>
    <w:rsid w:val="0084778E"/>
    <w:rsid w:val="008502CF"/>
    <w:rsid w:val="00850D97"/>
    <w:rsid w:val="00851165"/>
    <w:rsid w:val="00852FF3"/>
    <w:rsid w:val="008545A0"/>
    <w:rsid w:val="00856B7F"/>
    <w:rsid w:val="00857B17"/>
    <w:rsid w:val="00860775"/>
    <w:rsid w:val="00860CC5"/>
    <w:rsid w:val="00860F96"/>
    <w:rsid w:val="008614B9"/>
    <w:rsid w:val="008619EE"/>
    <w:rsid w:val="0086254D"/>
    <w:rsid w:val="00863DE9"/>
    <w:rsid w:val="00866653"/>
    <w:rsid w:val="00871E25"/>
    <w:rsid w:val="008746C5"/>
    <w:rsid w:val="008761DE"/>
    <w:rsid w:val="00876FAA"/>
    <w:rsid w:val="00880576"/>
    <w:rsid w:val="00883B2D"/>
    <w:rsid w:val="008851EC"/>
    <w:rsid w:val="00885FC0"/>
    <w:rsid w:val="00886449"/>
    <w:rsid w:val="00886F53"/>
    <w:rsid w:val="008902BF"/>
    <w:rsid w:val="00890962"/>
    <w:rsid w:val="00893465"/>
    <w:rsid w:val="008947A5"/>
    <w:rsid w:val="00896C6F"/>
    <w:rsid w:val="008A070E"/>
    <w:rsid w:val="008A3714"/>
    <w:rsid w:val="008A48BF"/>
    <w:rsid w:val="008A4B55"/>
    <w:rsid w:val="008A75BF"/>
    <w:rsid w:val="008B0DDE"/>
    <w:rsid w:val="008B1C35"/>
    <w:rsid w:val="008B2179"/>
    <w:rsid w:val="008B2DF2"/>
    <w:rsid w:val="008B3D46"/>
    <w:rsid w:val="008B426C"/>
    <w:rsid w:val="008B4B38"/>
    <w:rsid w:val="008B5778"/>
    <w:rsid w:val="008B5DDC"/>
    <w:rsid w:val="008B7232"/>
    <w:rsid w:val="008B7800"/>
    <w:rsid w:val="008C06AE"/>
    <w:rsid w:val="008C073E"/>
    <w:rsid w:val="008C27A8"/>
    <w:rsid w:val="008C2FB2"/>
    <w:rsid w:val="008C3166"/>
    <w:rsid w:val="008C3682"/>
    <w:rsid w:val="008C3CC9"/>
    <w:rsid w:val="008C3E5C"/>
    <w:rsid w:val="008C7028"/>
    <w:rsid w:val="008D1E47"/>
    <w:rsid w:val="008D2019"/>
    <w:rsid w:val="008D3502"/>
    <w:rsid w:val="008D4C86"/>
    <w:rsid w:val="008D540E"/>
    <w:rsid w:val="008D5C00"/>
    <w:rsid w:val="008D6105"/>
    <w:rsid w:val="008E0431"/>
    <w:rsid w:val="008E0B10"/>
    <w:rsid w:val="008E22E7"/>
    <w:rsid w:val="008E2D13"/>
    <w:rsid w:val="008E2FAD"/>
    <w:rsid w:val="008E45FD"/>
    <w:rsid w:val="008E542A"/>
    <w:rsid w:val="008E7948"/>
    <w:rsid w:val="008F2112"/>
    <w:rsid w:val="008F27E5"/>
    <w:rsid w:val="008F29C9"/>
    <w:rsid w:val="008F323D"/>
    <w:rsid w:val="008F3572"/>
    <w:rsid w:val="008F5216"/>
    <w:rsid w:val="008F56A9"/>
    <w:rsid w:val="008F6E96"/>
    <w:rsid w:val="00901377"/>
    <w:rsid w:val="00901D1C"/>
    <w:rsid w:val="00901EEA"/>
    <w:rsid w:val="0090275D"/>
    <w:rsid w:val="00906148"/>
    <w:rsid w:val="00907753"/>
    <w:rsid w:val="00910A59"/>
    <w:rsid w:val="00911DA2"/>
    <w:rsid w:val="009136F9"/>
    <w:rsid w:val="009145D9"/>
    <w:rsid w:val="00914BFD"/>
    <w:rsid w:val="00917231"/>
    <w:rsid w:val="0092142C"/>
    <w:rsid w:val="00922B5F"/>
    <w:rsid w:val="00923A7D"/>
    <w:rsid w:val="00923C11"/>
    <w:rsid w:val="0092639B"/>
    <w:rsid w:val="00926BE9"/>
    <w:rsid w:val="00927195"/>
    <w:rsid w:val="00927277"/>
    <w:rsid w:val="009318B7"/>
    <w:rsid w:val="00932E6F"/>
    <w:rsid w:val="0093315F"/>
    <w:rsid w:val="00934988"/>
    <w:rsid w:val="009356AA"/>
    <w:rsid w:val="009361AD"/>
    <w:rsid w:val="009366E1"/>
    <w:rsid w:val="0093702D"/>
    <w:rsid w:val="00937505"/>
    <w:rsid w:val="00940C33"/>
    <w:rsid w:val="00944375"/>
    <w:rsid w:val="00944574"/>
    <w:rsid w:val="009456BB"/>
    <w:rsid w:val="00950171"/>
    <w:rsid w:val="00950DB6"/>
    <w:rsid w:val="00951EEC"/>
    <w:rsid w:val="00953172"/>
    <w:rsid w:val="00955BB1"/>
    <w:rsid w:val="0096127F"/>
    <w:rsid w:val="00961B1C"/>
    <w:rsid w:val="0096367C"/>
    <w:rsid w:val="0096606A"/>
    <w:rsid w:val="00967DFD"/>
    <w:rsid w:val="009702C4"/>
    <w:rsid w:val="00970438"/>
    <w:rsid w:val="00973F53"/>
    <w:rsid w:val="00974E4B"/>
    <w:rsid w:val="00976656"/>
    <w:rsid w:val="009803AC"/>
    <w:rsid w:val="009832F0"/>
    <w:rsid w:val="00983A16"/>
    <w:rsid w:val="0098543C"/>
    <w:rsid w:val="00985FBF"/>
    <w:rsid w:val="00986817"/>
    <w:rsid w:val="00987655"/>
    <w:rsid w:val="00987680"/>
    <w:rsid w:val="009915EA"/>
    <w:rsid w:val="00995901"/>
    <w:rsid w:val="009969AF"/>
    <w:rsid w:val="00996B58"/>
    <w:rsid w:val="009A0216"/>
    <w:rsid w:val="009A0AA1"/>
    <w:rsid w:val="009A0D3A"/>
    <w:rsid w:val="009A3B84"/>
    <w:rsid w:val="009A3D63"/>
    <w:rsid w:val="009A44EE"/>
    <w:rsid w:val="009A46AA"/>
    <w:rsid w:val="009A5A8E"/>
    <w:rsid w:val="009A71C4"/>
    <w:rsid w:val="009A72D6"/>
    <w:rsid w:val="009A7FA1"/>
    <w:rsid w:val="009B0266"/>
    <w:rsid w:val="009B1806"/>
    <w:rsid w:val="009B2DC5"/>
    <w:rsid w:val="009B36EB"/>
    <w:rsid w:val="009B469E"/>
    <w:rsid w:val="009B4B29"/>
    <w:rsid w:val="009B4F8F"/>
    <w:rsid w:val="009B67D8"/>
    <w:rsid w:val="009B6A08"/>
    <w:rsid w:val="009B6E01"/>
    <w:rsid w:val="009B7385"/>
    <w:rsid w:val="009C0790"/>
    <w:rsid w:val="009C0A5E"/>
    <w:rsid w:val="009C44A1"/>
    <w:rsid w:val="009C480E"/>
    <w:rsid w:val="009C682E"/>
    <w:rsid w:val="009C7E75"/>
    <w:rsid w:val="009D094E"/>
    <w:rsid w:val="009D0DC4"/>
    <w:rsid w:val="009D4E08"/>
    <w:rsid w:val="009D5E68"/>
    <w:rsid w:val="009D6BCC"/>
    <w:rsid w:val="009D6DDF"/>
    <w:rsid w:val="009E0397"/>
    <w:rsid w:val="009E0647"/>
    <w:rsid w:val="009E1C83"/>
    <w:rsid w:val="009E26CD"/>
    <w:rsid w:val="009E3A23"/>
    <w:rsid w:val="009E42EB"/>
    <w:rsid w:val="009E6479"/>
    <w:rsid w:val="009E649E"/>
    <w:rsid w:val="009E65E9"/>
    <w:rsid w:val="009E6F78"/>
    <w:rsid w:val="009E7414"/>
    <w:rsid w:val="009F1034"/>
    <w:rsid w:val="009F2D63"/>
    <w:rsid w:val="009F3CC7"/>
    <w:rsid w:val="009F4533"/>
    <w:rsid w:val="009F536D"/>
    <w:rsid w:val="009F5699"/>
    <w:rsid w:val="009F57AD"/>
    <w:rsid w:val="00A010C1"/>
    <w:rsid w:val="00A01289"/>
    <w:rsid w:val="00A02C9C"/>
    <w:rsid w:val="00A0345F"/>
    <w:rsid w:val="00A0748B"/>
    <w:rsid w:val="00A13B0F"/>
    <w:rsid w:val="00A13BD6"/>
    <w:rsid w:val="00A13CF4"/>
    <w:rsid w:val="00A15094"/>
    <w:rsid w:val="00A16DAD"/>
    <w:rsid w:val="00A2323B"/>
    <w:rsid w:val="00A26543"/>
    <w:rsid w:val="00A26862"/>
    <w:rsid w:val="00A27049"/>
    <w:rsid w:val="00A27BD1"/>
    <w:rsid w:val="00A30440"/>
    <w:rsid w:val="00A3111F"/>
    <w:rsid w:val="00A31347"/>
    <w:rsid w:val="00A33DCC"/>
    <w:rsid w:val="00A34536"/>
    <w:rsid w:val="00A34A12"/>
    <w:rsid w:val="00A35448"/>
    <w:rsid w:val="00A40849"/>
    <w:rsid w:val="00A41366"/>
    <w:rsid w:val="00A42C67"/>
    <w:rsid w:val="00A4332B"/>
    <w:rsid w:val="00A45DC0"/>
    <w:rsid w:val="00A46154"/>
    <w:rsid w:val="00A502CB"/>
    <w:rsid w:val="00A51193"/>
    <w:rsid w:val="00A52461"/>
    <w:rsid w:val="00A5380F"/>
    <w:rsid w:val="00A53C65"/>
    <w:rsid w:val="00A551AB"/>
    <w:rsid w:val="00A62182"/>
    <w:rsid w:val="00A63026"/>
    <w:rsid w:val="00A6669F"/>
    <w:rsid w:val="00A66F5C"/>
    <w:rsid w:val="00A711C9"/>
    <w:rsid w:val="00A713D4"/>
    <w:rsid w:val="00A72FB6"/>
    <w:rsid w:val="00A7336D"/>
    <w:rsid w:val="00A741CC"/>
    <w:rsid w:val="00A7715D"/>
    <w:rsid w:val="00A776B1"/>
    <w:rsid w:val="00A801B5"/>
    <w:rsid w:val="00A80A06"/>
    <w:rsid w:val="00A81E35"/>
    <w:rsid w:val="00A83AB9"/>
    <w:rsid w:val="00A86886"/>
    <w:rsid w:val="00A912CE"/>
    <w:rsid w:val="00A920B4"/>
    <w:rsid w:val="00A925C4"/>
    <w:rsid w:val="00A9391E"/>
    <w:rsid w:val="00A9398B"/>
    <w:rsid w:val="00A941C0"/>
    <w:rsid w:val="00A959CC"/>
    <w:rsid w:val="00A96273"/>
    <w:rsid w:val="00A97E73"/>
    <w:rsid w:val="00AA1CEA"/>
    <w:rsid w:val="00AA22CF"/>
    <w:rsid w:val="00AA32B1"/>
    <w:rsid w:val="00AA4B93"/>
    <w:rsid w:val="00AA7545"/>
    <w:rsid w:val="00AA76D8"/>
    <w:rsid w:val="00AA7A9A"/>
    <w:rsid w:val="00AB102C"/>
    <w:rsid w:val="00AB1459"/>
    <w:rsid w:val="00AB192A"/>
    <w:rsid w:val="00AB26C6"/>
    <w:rsid w:val="00AB3ABB"/>
    <w:rsid w:val="00AB47AD"/>
    <w:rsid w:val="00AB6822"/>
    <w:rsid w:val="00AC0AC6"/>
    <w:rsid w:val="00AC27CC"/>
    <w:rsid w:val="00AC29D6"/>
    <w:rsid w:val="00AC2B7A"/>
    <w:rsid w:val="00AC2D73"/>
    <w:rsid w:val="00AC3AC5"/>
    <w:rsid w:val="00AC4507"/>
    <w:rsid w:val="00AC4651"/>
    <w:rsid w:val="00AC5EF3"/>
    <w:rsid w:val="00AC7222"/>
    <w:rsid w:val="00AC72EC"/>
    <w:rsid w:val="00AC7B38"/>
    <w:rsid w:val="00AD033C"/>
    <w:rsid w:val="00AD1920"/>
    <w:rsid w:val="00AD1DBF"/>
    <w:rsid w:val="00AD2A79"/>
    <w:rsid w:val="00AD3504"/>
    <w:rsid w:val="00AD43F5"/>
    <w:rsid w:val="00AD7DDA"/>
    <w:rsid w:val="00AE231B"/>
    <w:rsid w:val="00AE24E0"/>
    <w:rsid w:val="00AE2B22"/>
    <w:rsid w:val="00AE49BD"/>
    <w:rsid w:val="00AE5E9F"/>
    <w:rsid w:val="00AE620C"/>
    <w:rsid w:val="00AE6669"/>
    <w:rsid w:val="00AE7088"/>
    <w:rsid w:val="00AF00D0"/>
    <w:rsid w:val="00AF128F"/>
    <w:rsid w:val="00AF242B"/>
    <w:rsid w:val="00AF5195"/>
    <w:rsid w:val="00AF5DF4"/>
    <w:rsid w:val="00AF6A4B"/>
    <w:rsid w:val="00AF6FFD"/>
    <w:rsid w:val="00AF701E"/>
    <w:rsid w:val="00AF748E"/>
    <w:rsid w:val="00AF7640"/>
    <w:rsid w:val="00B01181"/>
    <w:rsid w:val="00B0124A"/>
    <w:rsid w:val="00B0169E"/>
    <w:rsid w:val="00B017AC"/>
    <w:rsid w:val="00B01A80"/>
    <w:rsid w:val="00B02346"/>
    <w:rsid w:val="00B042BF"/>
    <w:rsid w:val="00B04E76"/>
    <w:rsid w:val="00B0577E"/>
    <w:rsid w:val="00B066B7"/>
    <w:rsid w:val="00B07359"/>
    <w:rsid w:val="00B10942"/>
    <w:rsid w:val="00B12B0B"/>
    <w:rsid w:val="00B16B40"/>
    <w:rsid w:val="00B16DA8"/>
    <w:rsid w:val="00B2015A"/>
    <w:rsid w:val="00B205FA"/>
    <w:rsid w:val="00B21C89"/>
    <w:rsid w:val="00B22E27"/>
    <w:rsid w:val="00B2456B"/>
    <w:rsid w:val="00B251BE"/>
    <w:rsid w:val="00B2743A"/>
    <w:rsid w:val="00B31B4A"/>
    <w:rsid w:val="00B31EFC"/>
    <w:rsid w:val="00B3228D"/>
    <w:rsid w:val="00B329C7"/>
    <w:rsid w:val="00B33663"/>
    <w:rsid w:val="00B33FB5"/>
    <w:rsid w:val="00B359ED"/>
    <w:rsid w:val="00B36ABB"/>
    <w:rsid w:val="00B40A87"/>
    <w:rsid w:val="00B419F6"/>
    <w:rsid w:val="00B4239B"/>
    <w:rsid w:val="00B43130"/>
    <w:rsid w:val="00B4415A"/>
    <w:rsid w:val="00B45D6E"/>
    <w:rsid w:val="00B46BBE"/>
    <w:rsid w:val="00B47E03"/>
    <w:rsid w:val="00B50388"/>
    <w:rsid w:val="00B51753"/>
    <w:rsid w:val="00B5268C"/>
    <w:rsid w:val="00B5385D"/>
    <w:rsid w:val="00B55582"/>
    <w:rsid w:val="00B569F4"/>
    <w:rsid w:val="00B579E6"/>
    <w:rsid w:val="00B57FDD"/>
    <w:rsid w:val="00B612FE"/>
    <w:rsid w:val="00B6140B"/>
    <w:rsid w:val="00B6167D"/>
    <w:rsid w:val="00B61A19"/>
    <w:rsid w:val="00B63625"/>
    <w:rsid w:val="00B6428D"/>
    <w:rsid w:val="00B6439C"/>
    <w:rsid w:val="00B650F6"/>
    <w:rsid w:val="00B65978"/>
    <w:rsid w:val="00B70923"/>
    <w:rsid w:val="00B70E43"/>
    <w:rsid w:val="00B72200"/>
    <w:rsid w:val="00B72346"/>
    <w:rsid w:val="00B729A9"/>
    <w:rsid w:val="00B72CF0"/>
    <w:rsid w:val="00B765E2"/>
    <w:rsid w:val="00B76817"/>
    <w:rsid w:val="00B77208"/>
    <w:rsid w:val="00B77FD6"/>
    <w:rsid w:val="00B808F8"/>
    <w:rsid w:val="00B80DEB"/>
    <w:rsid w:val="00B816B5"/>
    <w:rsid w:val="00B82EAD"/>
    <w:rsid w:val="00B82F32"/>
    <w:rsid w:val="00B833E7"/>
    <w:rsid w:val="00B84947"/>
    <w:rsid w:val="00B85457"/>
    <w:rsid w:val="00B85514"/>
    <w:rsid w:val="00B855AF"/>
    <w:rsid w:val="00B85C52"/>
    <w:rsid w:val="00B90D25"/>
    <w:rsid w:val="00B91B27"/>
    <w:rsid w:val="00B94AD4"/>
    <w:rsid w:val="00B96978"/>
    <w:rsid w:val="00B96A13"/>
    <w:rsid w:val="00B97F51"/>
    <w:rsid w:val="00B97F70"/>
    <w:rsid w:val="00BA00CE"/>
    <w:rsid w:val="00BA22F3"/>
    <w:rsid w:val="00BA2EEB"/>
    <w:rsid w:val="00BA3B24"/>
    <w:rsid w:val="00BA42B7"/>
    <w:rsid w:val="00BA45F5"/>
    <w:rsid w:val="00BA4D3C"/>
    <w:rsid w:val="00BA66D2"/>
    <w:rsid w:val="00BA723A"/>
    <w:rsid w:val="00BA729F"/>
    <w:rsid w:val="00BA751A"/>
    <w:rsid w:val="00BB15A1"/>
    <w:rsid w:val="00BB590F"/>
    <w:rsid w:val="00BB5A87"/>
    <w:rsid w:val="00BB6082"/>
    <w:rsid w:val="00BB6B51"/>
    <w:rsid w:val="00BB71AD"/>
    <w:rsid w:val="00BB7418"/>
    <w:rsid w:val="00BB7A3C"/>
    <w:rsid w:val="00BB7C76"/>
    <w:rsid w:val="00BC0ADE"/>
    <w:rsid w:val="00BC0B3B"/>
    <w:rsid w:val="00BC125F"/>
    <w:rsid w:val="00BC281B"/>
    <w:rsid w:val="00BC48A8"/>
    <w:rsid w:val="00BC5AAC"/>
    <w:rsid w:val="00BC6306"/>
    <w:rsid w:val="00BC66AB"/>
    <w:rsid w:val="00BC67FB"/>
    <w:rsid w:val="00BC7817"/>
    <w:rsid w:val="00BC7BBA"/>
    <w:rsid w:val="00BD0E4F"/>
    <w:rsid w:val="00BD15C5"/>
    <w:rsid w:val="00BD2F51"/>
    <w:rsid w:val="00BD3010"/>
    <w:rsid w:val="00BD312A"/>
    <w:rsid w:val="00BD313E"/>
    <w:rsid w:val="00BD32C0"/>
    <w:rsid w:val="00BD4B8C"/>
    <w:rsid w:val="00BE0D35"/>
    <w:rsid w:val="00BE53F9"/>
    <w:rsid w:val="00BE5D2A"/>
    <w:rsid w:val="00BE70BF"/>
    <w:rsid w:val="00BE71D8"/>
    <w:rsid w:val="00BE7AA1"/>
    <w:rsid w:val="00BF0D23"/>
    <w:rsid w:val="00BF396B"/>
    <w:rsid w:val="00BF477A"/>
    <w:rsid w:val="00BF74AA"/>
    <w:rsid w:val="00BF7B7E"/>
    <w:rsid w:val="00C020BB"/>
    <w:rsid w:val="00C02575"/>
    <w:rsid w:val="00C04757"/>
    <w:rsid w:val="00C0489F"/>
    <w:rsid w:val="00C049B2"/>
    <w:rsid w:val="00C04B9F"/>
    <w:rsid w:val="00C0598F"/>
    <w:rsid w:val="00C06603"/>
    <w:rsid w:val="00C06BBE"/>
    <w:rsid w:val="00C06EF9"/>
    <w:rsid w:val="00C138F8"/>
    <w:rsid w:val="00C151F8"/>
    <w:rsid w:val="00C161F6"/>
    <w:rsid w:val="00C17F8E"/>
    <w:rsid w:val="00C20096"/>
    <w:rsid w:val="00C20D6E"/>
    <w:rsid w:val="00C218A9"/>
    <w:rsid w:val="00C24749"/>
    <w:rsid w:val="00C2601A"/>
    <w:rsid w:val="00C27FB8"/>
    <w:rsid w:val="00C302DD"/>
    <w:rsid w:val="00C317FF"/>
    <w:rsid w:val="00C31EFD"/>
    <w:rsid w:val="00C322CF"/>
    <w:rsid w:val="00C32384"/>
    <w:rsid w:val="00C32475"/>
    <w:rsid w:val="00C33582"/>
    <w:rsid w:val="00C356EC"/>
    <w:rsid w:val="00C357F6"/>
    <w:rsid w:val="00C363C0"/>
    <w:rsid w:val="00C36ECC"/>
    <w:rsid w:val="00C36F13"/>
    <w:rsid w:val="00C407A0"/>
    <w:rsid w:val="00C40998"/>
    <w:rsid w:val="00C428C9"/>
    <w:rsid w:val="00C44C55"/>
    <w:rsid w:val="00C46FBC"/>
    <w:rsid w:val="00C51DBD"/>
    <w:rsid w:val="00C52420"/>
    <w:rsid w:val="00C534FE"/>
    <w:rsid w:val="00C53C5C"/>
    <w:rsid w:val="00C53CCA"/>
    <w:rsid w:val="00C54B25"/>
    <w:rsid w:val="00C54DB4"/>
    <w:rsid w:val="00C565B7"/>
    <w:rsid w:val="00C56D80"/>
    <w:rsid w:val="00C57350"/>
    <w:rsid w:val="00C57406"/>
    <w:rsid w:val="00C57A29"/>
    <w:rsid w:val="00C60A4C"/>
    <w:rsid w:val="00C61B9E"/>
    <w:rsid w:val="00C62259"/>
    <w:rsid w:val="00C6356F"/>
    <w:rsid w:val="00C63F07"/>
    <w:rsid w:val="00C653AD"/>
    <w:rsid w:val="00C65E28"/>
    <w:rsid w:val="00C6608A"/>
    <w:rsid w:val="00C66769"/>
    <w:rsid w:val="00C66D99"/>
    <w:rsid w:val="00C6712A"/>
    <w:rsid w:val="00C6766A"/>
    <w:rsid w:val="00C7005E"/>
    <w:rsid w:val="00C702B0"/>
    <w:rsid w:val="00C70EA8"/>
    <w:rsid w:val="00C7159A"/>
    <w:rsid w:val="00C74199"/>
    <w:rsid w:val="00C74532"/>
    <w:rsid w:val="00C74EF1"/>
    <w:rsid w:val="00C75A47"/>
    <w:rsid w:val="00C76E76"/>
    <w:rsid w:val="00C77C77"/>
    <w:rsid w:val="00C77D69"/>
    <w:rsid w:val="00C80C74"/>
    <w:rsid w:val="00C8267F"/>
    <w:rsid w:val="00C8289A"/>
    <w:rsid w:val="00C86096"/>
    <w:rsid w:val="00C92056"/>
    <w:rsid w:val="00C92A9F"/>
    <w:rsid w:val="00C92D8A"/>
    <w:rsid w:val="00C97174"/>
    <w:rsid w:val="00CA05F4"/>
    <w:rsid w:val="00CA08A1"/>
    <w:rsid w:val="00CA1BEA"/>
    <w:rsid w:val="00CA2C38"/>
    <w:rsid w:val="00CA2D04"/>
    <w:rsid w:val="00CA389D"/>
    <w:rsid w:val="00CA4828"/>
    <w:rsid w:val="00CA6427"/>
    <w:rsid w:val="00CA6DF9"/>
    <w:rsid w:val="00CA77F1"/>
    <w:rsid w:val="00CA7A90"/>
    <w:rsid w:val="00CB09A9"/>
    <w:rsid w:val="00CB269C"/>
    <w:rsid w:val="00CB472F"/>
    <w:rsid w:val="00CB4859"/>
    <w:rsid w:val="00CB5109"/>
    <w:rsid w:val="00CB75F1"/>
    <w:rsid w:val="00CC227D"/>
    <w:rsid w:val="00CC477B"/>
    <w:rsid w:val="00CC4E11"/>
    <w:rsid w:val="00CC557E"/>
    <w:rsid w:val="00CC6891"/>
    <w:rsid w:val="00CC6961"/>
    <w:rsid w:val="00CD13EE"/>
    <w:rsid w:val="00CD1E6B"/>
    <w:rsid w:val="00CD20DC"/>
    <w:rsid w:val="00CD2521"/>
    <w:rsid w:val="00CD2B4A"/>
    <w:rsid w:val="00CD3682"/>
    <w:rsid w:val="00CD3DD2"/>
    <w:rsid w:val="00CD5B4B"/>
    <w:rsid w:val="00CD6186"/>
    <w:rsid w:val="00CD633A"/>
    <w:rsid w:val="00CD6B9E"/>
    <w:rsid w:val="00CD6C00"/>
    <w:rsid w:val="00CE19A1"/>
    <w:rsid w:val="00CE1F04"/>
    <w:rsid w:val="00CE1FA5"/>
    <w:rsid w:val="00CE20BE"/>
    <w:rsid w:val="00CE2B9D"/>
    <w:rsid w:val="00CE34AE"/>
    <w:rsid w:val="00CE3C74"/>
    <w:rsid w:val="00CE5C15"/>
    <w:rsid w:val="00CE60E5"/>
    <w:rsid w:val="00CE65EF"/>
    <w:rsid w:val="00CE6AAC"/>
    <w:rsid w:val="00CF0A6C"/>
    <w:rsid w:val="00CF14AC"/>
    <w:rsid w:val="00CF1652"/>
    <w:rsid w:val="00CF2A1C"/>
    <w:rsid w:val="00CF2FC7"/>
    <w:rsid w:val="00CF3C09"/>
    <w:rsid w:val="00CF3F9A"/>
    <w:rsid w:val="00CF44F3"/>
    <w:rsid w:val="00CF4C70"/>
    <w:rsid w:val="00CF593C"/>
    <w:rsid w:val="00CF73D8"/>
    <w:rsid w:val="00CF7A6C"/>
    <w:rsid w:val="00CF7BDE"/>
    <w:rsid w:val="00D00CB1"/>
    <w:rsid w:val="00D02428"/>
    <w:rsid w:val="00D03E8E"/>
    <w:rsid w:val="00D051E5"/>
    <w:rsid w:val="00D05A9F"/>
    <w:rsid w:val="00D06E25"/>
    <w:rsid w:val="00D074C5"/>
    <w:rsid w:val="00D11294"/>
    <w:rsid w:val="00D114F9"/>
    <w:rsid w:val="00D12859"/>
    <w:rsid w:val="00D12D47"/>
    <w:rsid w:val="00D12DD4"/>
    <w:rsid w:val="00D1349E"/>
    <w:rsid w:val="00D13554"/>
    <w:rsid w:val="00D13A8F"/>
    <w:rsid w:val="00D14163"/>
    <w:rsid w:val="00D1611B"/>
    <w:rsid w:val="00D1701F"/>
    <w:rsid w:val="00D17AAB"/>
    <w:rsid w:val="00D2049B"/>
    <w:rsid w:val="00D205AF"/>
    <w:rsid w:val="00D214EC"/>
    <w:rsid w:val="00D21CB2"/>
    <w:rsid w:val="00D227AF"/>
    <w:rsid w:val="00D2403D"/>
    <w:rsid w:val="00D24484"/>
    <w:rsid w:val="00D26747"/>
    <w:rsid w:val="00D26A4D"/>
    <w:rsid w:val="00D27CE0"/>
    <w:rsid w:val="00D30775"/>
    <w:rsid w:val="00D30789"/>
    <w:rsid w:val="00D312CC"/>
    <w:rsid w:val="00D33968"/>
    <w:rsid w:val="00D33B16"/>
    <w:rsid w:val="00D33EAA"/>
    <w:rsid w:val="00D34DEF"/>
    <w:rsid w:val="00D35260"/>
    <w:rsid w:val="00D3676D"/>
    <w:rsid w:val="00D4016D"/>
    <w:rsid w:val="00D40631"/>
    <w:rsid w:val="00D415E7"/>
    <w:rsid w:val="00D43A65"/>
    <w:rsid w:val="00D45A12"/>
    <w:rsid w:val="00D45C5C"/>
    <w:rsid w:val="00D46775"/>
    <w:rsid w:val="00D47A72"/>
    <w:rsid w:val="00D47D7E"/>
    <w:rsid w:val="00D50A4F"/>
    <w:rsid w:val="00D50CA6"/>
    <w:rsid w:val="00D52794"/>
    <w:rsid w:val="00D52E74"/>
    <w:rsid w:val="00D53185"/>
    <w:rsid w:val="00D53C52"/>
    <w:rsid w:val="00D546C0"/>
    <w:rsid w:val="00D55C52"/>
    <w:rsid w:val="00D608CC"/>
    <w:rsid w:val="00D61705"/>
    <w:rsid w:val="00D61EBB"/>
    <w:rsid w:val="00D6280A"/>
    <w:rsid w:val="00D62823"/>
    <w:rsid w:val="00D6313C"/>
    <w:rsid w:val="00D63FEE"/>
    <w:rsid w:val="00D65262"/>
    <w:rsid w:val="00D6528A"/>
    <w:rsid w:val="00D6535A"/>
    <w:rsid w:val="00D671C3"/>
    <w:rsid w:val="00D671CC"/>
    <w:rsid w:val="00D67517"/>
    <w:rsid w:val="00D70375"/>
    <w:rsid w:val="00D70E93"/>
    <w:rsid w:val="00D712F2"/>
    <w:rsid w:val="00D71414"/>
    <w:rsid w:val="00D7212F"/>
    <w:rsid w:val="00D722F9"/>
    <w:rsid w:val="00D731DB"/>
    <w:rsid w:val="00D7386C"/>
    <w:rsid w:val="00D75E5B"/>
    <w:rsid w:val="00D75F1D"/>
    <w:rsid w:val="00D77EFE"/>
    <w:rsid w:val="00D80706"/>
    <w:rsid w:val="00D8319C"/>
    <w:rsid w:val="00D831CA"/>
    <w:rsid w:val="00D84B91"/>
    <w:rsid w:val="00D85FAF"/>
    <w:rsid w:val="00D863D3"/>
    <w:rsid w:val="00D872B3"/>
    <w:rsid w:val="00D911E3"/>
    <w:rsid w:val="00D92ED7"/>
    <w:rsid w:val="00D92F5F"/>
    <w:rsid w:val="00D9335A"/>
    <w:rsid w:val="00D93ADC"/>
    <w:rsid w:val="00D9546F"/>
    <w:rsid w:val="00D956C4"/>
    <w:rsid w:val="00D973E4"/>
    <w:rsid w:val="00D97F79"/>
    <w:rsid w:val="00DA10F7"/>
    <w:rsid w:val="00DA3109"/>
    <w:rsid w:val="00DA36F6"/>
    <w:rsid w:val="00DA3F49"/>
    <w:rsid w:val="00DA49C8"/>
    <w:rsid w:val="00DA6CA3"/>
    <w:rsid w:val="00DA7214"/>
    <w:rsid w:val="00DB205F"/>
    <w:rsid w:val="00DB2344"/>
    <w:rsid w:val="00DB3423"/>
    <w:rsid w:val="00DB505C"/>
    <w:rsid w:val="00DB60AD"/>
    <w:rsid w:val="00DB627E"/>
    <w:rsid w:val="00DB6BA4"/>
    <w:rsid w:val="00DB7BDE"/>
    <w:rsid w:val="00DC009F"/>
    <w:rsid w:val="00DC1531"/>
    <w:rsid w:val="00DC2303"/>
    <w:rsid w:val="00DC365F"/>
    <w:rsid w:val="00DC3AB0"/>
    <w:rsid w:val="00DC4237"/>
    <w:rsid w:val="00DC5393"/>
    <w:rsid w:val="00DC628A"/>
    <w:rsid w:val="00DC772D"/>
    <w:rsid w:val="00DC7DFE"/>
    <w:rsid w:val="00DD006E"/>
    <w:rsid w:val="00DD0CAF"/>
    <w:rsid w:val="00DD1036"/>
    <w:rsid w:val="00DD3416"/>
    <w:rsid w:val="00DD395B"/>
    <w:rsid w:val="00DD3D89"/>
    <w:rsid w:val="00DD42D3"/>
    <w:rsid w:val="00DD4313"/>
    <w:rsid w:val="00DD4987"/>
    <w:rsid w:val="00DD49BC"/>
    <w:rsid w:val="00DD55E7"/>
    <w:rsid w:val="00DD6028"/>
    <w:rsid w:val="00DD68B4"/>
    <w:rsid w:val="00DD6F0E"/>
    <w:rsid w:val="00DE1791"/>
    <w:rsid w:val="00DE3DDC"/>
    <w:rsid w:val="00DE410B"/>
    <w:rsid w:val="00DE4154"/>
    <w:rsid w:val="00DE44BF"/>
    <w:rsid w:val="00DE6082"/>
    <w:rsid w:val="00DE60CE"/>
    <w:rsid w:val="00DE65D2"/>
    <w:rsid w:val="00DF17D3"/>
    <w:rsid w:val="00DF25E3"/>
    <w:rsid w:val="00DF6329"/>
    <w:rsid w:val="00DF75A1"/>
    <w:rsid w:val="00E00540"/>
    <w:rsid w:val="00E04F51"/>
    <w:rsid w:val="00E056FA"/>
    <w:rsid w:val="00E07B3C"/>
    <w:rsid w:val="00E1217A"/>
    <w:rsid w:val="00E1280D"/>
    <w:rsid w:val="00E1310E"/>
    <w:rsid w:val="00E13413"/>
    <w:rsid w:val="00E13620"/>
    <w:rsid w:val="00E13C93"/>
    <w:rsid w:val="00E148F8"/>
    <w:rsid w:val="00E15F9B"/>
    <w:rsid w:val="00E17BEF"/>
    <w:rsid w:val="00E22120"/>
    <w:rsid w:val="00E22C6D"/>
    <w:rsid w:val="00E24460"/>
    <w:rsid w:val="00E258A6"/>
    <w:rsid w:val="00E2629A"/>
    <w:rsid w:val="00E30C44"/>
    <w:rsid w:val="00E30DEF"/>
    <w:rsid w:val="00E30EF9"/>
    <w:rsid w:val="00E3134C"/>
    <w:rsid w:val="00E32655"/>
    <w:rsid w:val="00E326E2"/>
    <w:rsid w:val="00E333F3"/>
    <w:rsid w:val="00E33760"/>
    <w:rsid w:val="00E341FF"/>
    <w:rsid w:val="00E347DD"/>
    <w:rsid w:val="00E3742D"/>
    <w:rsid w:val="00E40187"/>
    <w:rsid w:val="00E41370"/>
    <w:rsid w:val="00E417E0"/>
    <w:rsid w:val="00E4269A"/>
    <w:rsid w:val="00E42EAE"/>
    <w:rsid w:val="00E43302"/>
    <w:rsid w:val="00E43576"/>
    <w:rsid w:val="00E4403F"/>
    <w:rsid w:val="00E458D3"/>
    <w:rsid w:val="00E467D8"/>
    <w:rsid w:val="00E46965"/>
    <w:rsid w:val="00E46ED1"/>
    <w:rsid w:val="00E46FB0"/>
    <w:rsid w:val="00E475A1"/>
    <w:rsid w:val="00E47748"/>
    <w:rsid w:val="00E513F0"/>
    <w:rsid w:val="00E52E81"/>
    <w:rsid w:val="00E52F30"/>
    <w:rsid w:val="00E533AE"/>
    <w:rsid w:val="00E53628"/>
    <w:rsid w:val="00E55AA9"/>
    <w:rsid w:val="00E56B41"/>
    <w:rsid w:val="00E57D27"/>
    <w:rsid w:val="00E57D7D"/>
    <w:rsid w:val="00E6012E"/>
    <w:rsid w:val="00E60B91"/>
    <w:rsid w:val="00E63DB8"/>
    <w:rsid w:val="00E641DF"/>
    <w:rsid w:val="00E655C7"/>
    <w:rsid w:val="00E656E2"/>
    <w:rsid w:val="00E660B0"/>
    <w:rsid w:val="00E67761"/>
    <w:rsid w:val="00E67E4B"/>
    <w:rsid w:val="00E71123"/>
    <w:rsid w:val="00E71608"/>
    <w:rsid w:val="00E722A2"/>
    <w:rsid w:val="00E72CBA"/>
    <w:rsid w:val="00E73A4F"/>
    <w:rsid w:val="00E74D7D"/>
    <w:rsid w:val="00E837D8"/>
    <w:rsid w:val="00E84AA0"/>
    <w:rsid w:val="00E8545C"/>
    <w:rsid w:val="00E87B0B"/>
    <w:rsid w:val="00E902FF"/>
    <w:rsid w:val="00E90DE3"/>
    <w:rsid w:val="00E90F41"/>
    <w:rsid w:val="00E91AC8"/>
    <w:rsid w:val="00E9238D"/>
    <w:rsid w:val="00E92F5C"/>
    <w:rsid w:val="00E93246"/>
    <w:rsid w:val="00E934E4"/>
    <w:rsid w:val="00E935E4"/>
    <w:rsid w:val="00E942F3"/>
    <w:rsid w:val="00E94455"/>
    <w:rsid w:val="00E9507C"/>
    <w:rsid w:val="00E95CD1"/>
    <w:rsid w:val="00E9739B"/>
    <w:rsid w:val="00E975FD"/>
    <w:rsid w:val="00EA044E"/>
    <w:rsid w:val="00EA0554"/>
    <w:rsid w:val="00EA47BE"/>
    <w:rsid w:val="00EA60AE"/>
    <w:rsid w:val="00EA6862"/>
    <w:rsid w:val="00EB0226"/>
    <w:rsid w:val="00EB0E64"/>
    <w:rsid w:val="00EB1AEB"/>
    <w:rsid w:val="00EB24FD"/>
    <w:rsid w:val="00EB3F81"/>
    <w:rsid w:val="00EB76A3"/>
    <w:rsid w:val="00EC0F6A"/>
    <w:rsid w:val="00EC142F"/>
    <w:rsid w:val="00EC2A1B"/>
    <w:rsid w:val="00EC3429"/>
    <w:rsid w:val="00EC4961"/>
    <w:rsid w:val="00EC608F"/>
    <w:rsid w:val="00EC67DD"/>
    <w:rsid w:val="00ED18F6"/>
    <w:rsid w:val="00ED2E03"/>
    <w:rsid w:val="00ED4B42"/>
    <w:rsid w:val="00ED4B80"/>
    <w:rsid w:val="00ED53C1"/>
    <w:rsid w:val="00ED58BD"/>
    <w:rsid w:val="00ED7128"/>
    <w:rsid w:val="00EE0E70"/>
    <w:rsid w:val="00EE2CF4"/>
    <w:rsid w:val="00EE4BA9"/>
    <w:rsid w:val="00EE52D1"/>
    <w:rsid w:val="00EE7365"/>
    <w:rsid w:val="00EF193B"/>
    <w:rsid w:val="00EF3337"/>
    <w:rsid w:val="00EF4DC6"/>
    <w:rsid w:val="00EF4F7A"/>
    <w:rsid w:val="00EF6B86"/>
    <w:rsid w:val="00EF72E1"/>
    <w:rsid w:val="00F00114"/>
    <w:rsid w:val="00F0013A"/>
    <w:rsid w:val="00F01D7E"/>
    <w:rsid w:val="00F0403A"/>
    <w:rsid w:val="00F0486D"/>
    <w:rsid w:val="00F06F48"/>
    <w:rsid w:val="00F105C4"/>
    <w:rsid w:val="00F10775"/>
    <w:rsid w:val="00F10CAA"/>
    <w:rsid w:val="00F11372"/>
    <w:rsid w:val="00F12679"/>
    <w:rsid w:val="00F14B77"/>
    <w:rsid w:val="00F15003"/>
    <w:rsid w:val="00F156EA"/>
    <w:rsid w:val="00F17002"/>
    <w:rsid w:val="00F1719E"/>
    <w:rsid w:val="00F17977"/>
    <w:rsid w:val="00F210CF"/>
    <w:rsid w:val="00F2179C"/>
    <w:rsid w:val="00F21CF2"/>
    <w:rsid w:val="00F232FC"/>
    <w:rsid w:val="00F238E4"/>
    <w:rsid w:val="00F24860"/>
    <w:rsid w:val="00F27B22"/>
    <w:rsid w:val="00F30C2F"/>
    <w:rsid w:val="00F33E20"/>
    <w:rsid w:val="00F35CDE"/>
    <w:rsid w:val="00F36C24"/>
    <w:rsid w:val="00F375A9"/>
    <w:rsid w:val="00F412D2"/>
    <w:rsid w:val="00F4149F"/>
    <w:rsid w:val="00F43CAF"/>
    <w:rsid w:val="00F449F2"/>
    <w:rsid w:val="00F45F23"/>
    <w:rsid w:val="00F50555"/>
    <w:rsid w:val="00F50CCC"/>
    <w:rsid w:val="00F51D0E"/>
    <w:rsid w:val="00F52BB3"/>
    <w:rsid w:val="00F5337C"/>
    <w:rsid w:val="00F54541"/>
    <w:rsid w:val="00F56F60"/>
    <w:rsid w:val="00F57ADC"/>
    <w:rsid w:val="00F602C4"/>
    <w:rsid w:val="00F617D5"/>
    <w:rsid w:val="00F61870"/>
    <w:rsid w:val="00F62E9C"/>
    <w:rsid w:val="00F63797"/>
    <w:rsid w:val="00F65FED"/>
    <w:rsid w:val="00F66DB2"/>
    <w:rsid w:val="00F72D81"/>
    <w:rsid w:val="00F7451D"/>
    <w:rsid w:val="00F75077"/>
    <w:rsid w:val="00F75C18"/>
    <w:rsid w:val="00F771A6"/>
    <w:rsid w:val="00F773FB"/>
    <w:rsid w:val="00F77ABC"/>
    <w:rsid w:val="00F80A4E"/>
    <w:rsid w:val="00F80CB1"/>
    <w:rsid w:val="00F83778"/>
    <w:rsid w:val="00F856D4"/>
    <w:rsid w:val="00F87F0D"/>
    <w:rsid w:val="00F93AA7"/>
    <w:rsid w:val="00F93B80"/>
    <w:rsid w:val="00F93F31"/>
    <w:rsid w:val="00F9433D"/>
    <w:rsid w:val="00F94CF5"/>
    <w:rsid w:val="00F95926"/>
    <w:rsid w:val="00F961C0"/>
    <w:rsid w:val="00F962D4"/>
    <w:rsid w:val="00FA13B8"/>
    <w:rsid w:val="00FA3190"/>
    <w:rsid w:val="00FA4EF9"/>
    <w:rsid w:val="00FA5097"/>
    <w:rsid w:val="00FA5D56"/>
    <w:rsid w:val="00FA71E3"/>
    <w:rsid w:val="00FA724D"/>
    <w:rsid w:val="00FB5110"/>
    <w:rsid w:val="00FB5179"/>
    <w:rsid w:val="00FB7BBF"/>
    <w:rsid w:val="00FB7BFD"/>
    <w:rsid w:val="00FC05F3"/>
    <w:rsid w:val="00FC0CF4"/>
    <w:rsid w:val="00FC1920"/>
    <w:rsid w:val="00FC2D9C"/>
    <w:rsid w:val="00FC403D"/>
    <w:rsid w:val="00FC569E"/>
    <w:rsid w:val="00FC70E4"/>
    <w:rsid w:val="00FD2907"/>
    <w:rsid w:val="00FD2B40"/>
    <w:rsid w:val="00FD30AD"/>
    <w:rsid w:val="00FD4B7B"/>
    <w:rsid w:val="00FD548C"/>
    <w:rsid w:val="00FD5C68"/>
    <w:rsid w:val="00FD7021"/>
    <w:rsid w:val="00FE0E98"/>
    <w:rsid w:val="00FE1B71"/>
    <w:rsid w:val="00FE27A7"/>
    <w:rsid w:val="00FE3AEA"/>
    <w:rsid w:val="00FE50F3"/>
    <w:rsid w:val="00FE5287"/>
    <w:rsid w:val="00FE551D"/>
    <w:rsid w:val="00FE6CFE"/>
    <w:rsid w:val="00FF1708"/>
    <w:rsid w:val="00FF1F8E"/>
    <w:rsid w:val="00FF32BF"/>
    <w:rsid w:val="00FF4D0B"/>
    <w:rsid w:val="00FF7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2BF5C"/>
  <w15:docId w15:val="{1D3DBEB0-86A7-4969-AA91-5956EE227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54D"/>
  </w:style>
  <w:style w:type="paragraph" w:styleId="Footer">
    <w:name w:val="footer"/>
    <w:basedOn w:val="Normal"/>
    <w:link w:val="FooterChar"/>
    <w:uiPriority w:val="99"/>
    <w:unhideWhenUsed/>
    <w:rsid w:val="00000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54D"/>
  </w:style>
  <w:style w:type="paragraph" w:styleId="ListParagraph">
    <w:name w:val="List Paragraph"/>
    <w:basedOn w:val="Normal"/>
    <w:uiPriority w:val="34"/>
    <w:qFormat/>
    <w:rsid w:val="000B3FE5"/>
    <w:pPr>
      <w:ind w:left="720"/>
      <w:contextualSpacing/>
    </w:pPr>
  </w:style>
  <w:style w:type="paragraph" w:styleId="BalloonText">
    <w:name w:val="Balloon Text"/>
    <w:basedOn w:val="Normal"/>
    <w:link w:val="BalloonTextChar"/>
    <w:uiPriority w:val="99"/>
    <w:semiHidden/>
    <w:unhideWhenUsed/>
    <w:rsid w:val="00366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DD"/>
    <w:rPr>
      <w:rFonts w:ascii="Tahoma" w:hAnsi="Tahoma" w:cs="Tahoma"/>
      <w:sz w:val="16"/>
      <w:szCs w:val="16"/>
    </w:rPr>
  </w:style>
  <w:style w:type="paragraph" w:styleId="FootnoteText">
    <w:name w:val="footnote text"/>
    <w:basedOn w:val="Normal"/>
    <w:link w:val="FootnoteTextChar"/>
    <w:uiPriority w:val="99"/>
    <w:unhideWhenUsed/>
    <w:rsid w:val="006F55B6"/>
    <w:pPr>
      <w:spacing w:after="0" w:line="240" w:lineRule="auto"/>
    </w:pPr>
    <w:rPr>
      <w:sz w:val="20"/>
      <w:szCs w:val="20"/>
    </w:rPr>
  </w:style>
  <w:style w:type="character" w:customStyle="1" w:styleId="FootnoteTextChar">
    <w:name w:val="Footnote Text Char"/>
    <w:basedOn w:val="DefaultParagraphFont"/>
    <w:link w:val="FootnoteText"/>
    <w:uiPriority w:val="99"/>
    <w:rsid w:val="006F55B6"/>
    <w:rPr>
      <w:sz w:val="20"/>
      <w:szCs w:val="20"/>
    </w:rPr>
  </w:style>
  <w:style w:type="character" w:styleId="FootnoteReference">
    <w:name w:val="footnote reference"/>
    <w:basedOn w:val="DefaultParagraphFont"/>
    <w:uiPriority w:val="99"/>
    <w:semiHidden/>
    <w:unhideWhenUsed/>
    <w:rsid w:val="006F55B6"/>
    <w:rPr>
      <w:vertAlign w:val="superscript"/>
    </w:rPr>
  </w:style>
  <w:style w:type="paragraph" w:styleId="EndnoteText">
    <w:name w:val="endnote text"/>
    <w:basedOn w:val="Normal"/>
    <w:link w:val="EndnoteTextChar"/>
    <w:uiPriority w:val="99"/>
    <w:semiHidden/>
    <w:unhideWhenUsed/>
    <w:rsid w:val="00334F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4F23"/>
    <w:rPr>
      <w:sz w:val="20"/>
      <w:szCs w:val="20"/>
    </w:rPr>
  </w:style>
  <w:style w:type="character" w:styleId="EndnoteReference">
    <w:name w:val="endnote reference"/>
    <w:basedOn w:val="DefaultParagraphFont"/>
    <w:uiPriority w:val="99"/>
    <w:semiHidden/>
    <w:unhideWhenUsed/>
    <w:rsid w:val="00334F23"/>
    <w:rPr>
      <w:vertAlign w:val="superscript"/>
    </w:rPr>
  </w:style>
  <w:style w:type="character" w:styleId="CommentReference">
    <w:name w:val="annotation reference"/>
    <w:basedOn w:val="DefaultParagraphFont"/>
    <w:uiPriority w:val="99"/>
    <w:semiHidden/>
    <w:unhideWhenUsed/>
    <w:rsid w:val="00A13B0F"/>
    <w:rPr>
      <w:sz w:val="16"/>
      <w:szCs w:val="16"/>
    </w:rPr>
  </w:style>
  <w:style w:type="paragraph" w:styleId="CommentText">
    <w:name w:val="annotation text"/>
    <w:basedOn w:val="Normal"/>
    <w:link w:val="CommentTextChar"/>
    <w:uiPriority w:val="99"/>
    <w:semiHidden/>
    <w:unhideWhenUsed/>
    <w:rsid w:val="00A13B0F"/>
    <w:pPr>
      <w:spacing w:line="240" w:lineRule="auto"/>
    </w:pPr>
    <w:rPr>
      <w:sz w:val="20"/>
      <w:szCs w:val="20"/>
    </w:rPr>
  </w:style>
  <w:style w:type="character" w:customStyle="1" w:styleId="CommentTextChar">
    <w:name w:val="Comment Text Char"/>
    <w:basedOn w:val="DefaultParagraphFont"/>
    <w:link w:val="CommentText"/>
    <w:uiPriority w:val="99"/>
    <w:semiHidden/>
    <w:rsid w:val="00A13B0F"/>
    <w:rPr>
      <w:sz w:val="20"/>
      <w:szCs w:val="20"/>
    </w:rPr>
  </w:style>
  <w:style w:type="paragraph" w:styleId="CommentSubject">
    <w:name w:val="annotation subject"/>
    <w:basedOn w:val="CommentText"/>
    <w:next w:val="CommentText"/>
    <w:link w:val="CommentSubjectChar"/>
    <w:uiPriority w:val="99"/>
    <w:semiHidden/>
    <w:unhideWhenUsed/>
    <w:rsid w:val="00A13B0F"/>
    <w:rPr>
      <w:b/>
      <w:bCs/>
    </w:rPr>
  </w:style>
  <w:style w:type="character" w:customStyle="1" w:styleId="CommentSubjectChar">
    <w:name w:val="Comment Subject Char"/>
    <w:basedOn w:val="CommentTextChar"/>
    <w:link w:val="CommentSubject"/>
    <w:uiPriority w:val="99"/>
    <w:semiHidden/>
    <w:rsid w:val="00A13B0F"/>
    <w:rPr>
      <w:b/>
      <w:bCs/>
      <w:sz w:val="20"/>
      <w:szCs w:val="20"/>
    </w:rPr>
  </w:style>
  <w:style w:type="paragraph" w:customStyle="1" w:styleId="Default">
    <w:name w:val="Default"/>
    <w:rsid w:val="00210A92"/>
    <w:pPr>
      <w:autoSpaceDE w:val="0"/>
      <w:autoSpaceDN w:val="0"/>
      <w:adjustRightInd w:val="0"/>
      <w:spacing w:after="0" w:line="240" w:lineRule="auto"/>
    </w:pPr>
    <w:rPr>
      <w:rFonts w:ascii="Times New Roman" w:hAnsi="Times New Roman" w:cs="Times New Roman"/>
      <w:color w:val="000000"/>
      <w:sz w:val="24"/>
      <w:szCs w:val="24"/>
      <w:lang w:val="en-ZW"/>
    </w:rPr>
  </w:style>
  <w:style w:type="paragraph" w:styleId="BodyText">
    <w:name w:val="Body Text"/>
    <w:basedOn w:val="Normal"/>
    <w:link w:val="BodyTextChar"/>
    <w:semiHidden/>
    <w:rsid w:val="004D1A2A"/>
    <w:pPr>
      <w:spacing w:after="0" w:line="480" w:lineRule="auto"/>
    </w:pPr>
    <w:rPr>
      <w:rFonts w:ascii="Times New Roman" w:eastAsia="Times New Roman" w:hAnsi="Times New Roman" w:cs="Times New Roman"/>
      <w:sz w:val="24"/>
      <w:szCs w:val="20"/>
      <w:lang w:val="en-GB" w:eastAsia="en-ZW"/>
    </w:rPr>
  </w:style>
  <w:style w:type="character" w:customStyle="1" w:styleId="BodyTextChar">
    <w:name w:val="Body Text Char"/>
    <w:basedOn w:val="DefaultParagraphFont"/>
    <w:link w:val="BodyText"/>
    <w:semiHidden/>
    <w:rsid w:val="004D1A2A"/>
    <w:rPr>
      <w:rFonts w:ascii="Times New Roman" w:eastAsia="Times New Roman" w:hAnsi="Times New Roman" w:cs="Times New Roman"/>
      <w:sz w:val="24"/>
      <w:szCs w:val="20"/>
      <w:lang w:val="en-GB" w:eastAsia="en-ZW"/>
    </w:rPr>
  </w:style>
  <w:style w:type="character" w:customStyle="1" w:styleId="Bodytext0">
    <w:name w:val="Body text_"/>
    <w:basedOn w:val="DefaultParagraphFont"/>
    <w:link w:val="BodyText1"/>
    <w:rsid w:val="00DC5393"/>
    <w:rPr>
      <w:rFonts w:ascii="Times New Roman" w:eastAsia="Times New Roman" w:hAnsi="Times New Roman" w:cs="Times New Roman"/>
      <w:sz w:val="23"/>
      <w:szCs w:val="23"/>
      <w:shd w:val="clear" w:color="auto" w:fill="FFFFFF"/>
    </w:rPr>
  </w:style>
  <w:style w:type="character" w:customStyle="1" w:styleId="BodytextItalic">
    <w:name w:val="Body text + Italic"/>
    <w:basedOn w:val="Bodytext0"/>
    <w:rsid w:val="00DC5393"/>
    <w:rPr>
      <w:rFonts w:ascii="Times New Roman" w:eastAsia="Times New Roman" w:hAnsi="Times New Roman" w:cs="Times New Roman"/>
      <w:i/>
      <w:iCs/>
      <w:color w:val="000000"/>
      <w:spacing w:val="0"/>
      <w:w w:val="100"/>
      <w:position w:val="0"/>
      <w:sz w:val="23"/>
      <w:szCs w:val="23"/>
      <w:shd w:val="clear" w:color="auto" w:fill="FFFFFF"/>
      <w:lang w:val="en-US"/>
    </w:rPr>
  </w:style>
  <w:style w:type="paragraph" w:customStyle="1" w:styleId="BodyText1">
    <w:name w:val="Body Text1"/>
    <w:basedOn w:val="Normal"/>
    <w:link w:val="Bodytext0"/>
    <w:rsid w:val="00DC5393"/>
    <w:pPr>
      <w:widowControl w:val="0"/>
      <w:shd w:val="clear" w:color="auto" w:fill="FFFFFF"/>
      <w:spacing w:before="780" w:after="0" w:line="552" w:lineRule="exact"/>
      <w:ind w:hanging="360"/>
      <w:jc w:val="right"/>
    </w:pPr>
    <w:rPr>
      <w:rFonts w:ascii="Times New Roman" w:eastAsia="Times New Roman" w:hAnsi="Times New Roman" w:cs="Times New Roman"/>
      <w:sz w:val="23"/>
      <w:szCs w:val="23"/>
    </w:rPr>
  </w:style>
  <w:style w:type="character" w:customStyle="1" w:styleId="hgkelc">
    <w:name w:val="hgkelc"/>
    <w:basedOn w:val="DefaultParagraphFont"/>
    <w:rsid w:val="00AB6822"/>
  </w:style>
  <w:style w:type="paragraph" w:customStyle="1" w:styleId="footnotedescription">
    <w:name w:val="footnote description"/>
    <w:next w:val="Normal"/>
    <w:link w:val="footnotedescriptionChar"/>
    <w:hidden/>
    <w:rsid w:val="00E935E4"/>
    <w:pPr>
      <w:spacing w:after="0" w:line="216" w:lineRule="auto"/>
      <w:ind w:left="481" w:hanging="397"/>
      <w:jc w:val="both"/>
    </w:pPr>
    <w:rPr>
      <w:rFonts w:ascii="Calibri" w:eastAsia="Times New Roman" w:hAnsi="Calibri" w:cs="Calibri"/>
      <w:color w:val="000000"/>
      <w:sz w:val="18"/>
    </w:rPr>
  </w:style>
  <w:style w:type="character" w:customStyle="1" w:styleId="footnotedescriptionChar">
    <w:name w:val="footnote description Char"/>
    <w:link w:val="footnotedescription"/>
    <w:locked/>
    <w:rsid w:val="00E935E4"/>
    <w:rPr>
      <w:rFonts w:ascii="Calibri" w:eastAsia="Times New Roman" w:hAnsi="Calibri" w:cs="Calibri"/>
      <w:color w:val="000000"/>
      <w:sz w:val="18"/>
    </w:rPr>
  </w:style>
  <w:style w:type="character" w:customStyle="1" w:styleId="footnotemark">
    <w:name w:val="footnote mark"/>
    <w:hidden/>
    <w:rsid w:val="00E935E4"/>
    <w:rPr>
      <w:rFonts w:ascii="Calibri" w:eastAsia="Times New Roman" w:hAnsi="Calibri"/>
      <w:color w:val="000000"/>
      <w:sz w:val="18"/>
      <w:vertAlign w:val="superscript"/>
    </w:rPr>
  </w:style>
  <w:style w:type="character" w:styleId="Emphasis">
    <w:name w:val="Emphasis"/>
    <w:basedOn w:val="DefaultParagraphFont"/>
    <w:uiPriority w:val="20"/>
    <w:qFormat/>
    <w:rsid w:val="003A7FAF"/>
    <w:rPr>
      <w:i/>
      <w:iCs/>
    </w:rPr>
  </w:style>
  <w:style w:type="paragraph" w:styleId="NormalWeb">
    <w:name w:val="Normal (Web)"/>
    <w:basedOn w:val="Normal"/>
    <w:uiPriority w:val="99"/>
    <w:semiHidden/>
    <w:unhideWhenUsed/>
    <w:rsid w:val="003A7FAF"/>
    <w:pPr>
      <w:spacing w:after="100" w:afterAutospacing="1" w:line="240" w:lineRule="auto"/>
    </w:pPr>
    <w:rPr>
      <w:rFonts w:ascii="Times New Roman" w:eastAsia="Times New Roman" w:hAnsi="Times New Roman" w:cs="Times New Roman"/>
      <w:sz w:val="24"/>
      <w:szCs w:val="24"/>
      <w:lang w:val="en-ZW" w:eastAsia="en-ZW"/>
    </w:rPr>
  </w:style>
  <w:style w:type="character" w:styleId="SubtleEmphasis">
    <w:name w:val="Subtle Emphasis"/>
    <w:basedOn w:val="DefaultParagraphFont"/>
    <w:uiPriority w:val="19"/>
    <w:qFormat/>
    <w:rsid w:val="005840CF"/>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071484">
      <w:bodyDiv w:val="1"/>
      <w:marLeft w:val="0"/>
      <w:marRight w:val="0"/>
      <w:marTop w:val="0"/>
      <w:marBottom w:val="0"/>
      <w:divBdr>
        <w:top w:val="none" w:sz="0" w:space="0" w:color="auto"/>
        <w:left w:val="none" w:sz="0" w:space="0" w:color="auto"/>
        <w:bottom w:val="none" w:sz="0" w:space="0" w:color="auto"/>
        <w:right w:val="none" w:sz="0" w:space="0" w:color="auto"/>
      </w:divBdr>
      <w:divsChild>
        <w:div w:id="1173109478">
          <w:marLeft w:val="0"/>
          <w:marRight w:val="0"/>
          <w:marTop w:val="0"/>
          <w:marBottom w:val="0"/>
          <w:divBdr>
            <w:top w:val="none" w:sz="0" w:space="0" w:color="auto"/>
            <w:left w:val="none" w:sz="0" w:space="0" w:color="auto"/>
            <w:bottom w:val="none" w:sz="0" w:space="0" w:color="auto"/>
            <w:right w:val="none" w:sz="0" w:space="0" w:color="auto"/>
          </w:divBdr>
          <w:divsChild>
            <w:div w:id="1577932437">
              <w:marLeft w:val="0"/>
              <w:marRight w:val="0"/>
              <w:marTop w:val="0"/>
              <w:marBottom w:val="0"/>
              <w:divBdr>
                <w:top w:val="none" w:sz="0" w:space="0" w:color="auto"/>
                <w:left w:val="none" w:sz="0" w:space="0" w:color="auto"/>
                <w:bottom w:val="none" w:sz="0" w:space="0" w:color="auto"/>
                <w:right w:val="none" w:sz="0" w:space="0" w:color="auto"/>
              </w:divBdr>
              <w:divsChild>
                <w:div w:id="1844854908">
                  <w:marLeft w:val="0"/>
                  <w:marRight w:val="0"/>
                  <w:marTop w:val="0"/>
                  <w:marBottom w:val="0"/>
                  <w:divBdr>
                    <w:top w:val="none" w:sz="0" w:space="0" w:color="auto"/>
                    <w:left w:val="none" w:sz="0" w:space="0" w:color="auto"/>
                    <w:bottom w:val="none" w:sz="0" w:space="0" w:color="auto"/>
                    <w:right w:val="none" w:sz="0" w:space="0" w:color="auto"/>
                  </w:divBdr>
                  <w:divsChild>
                    <w:div w:id="181172255">
                      <w:marLeft w:val="0"/>
                      <w:marRight w:val="0"/>
                      <w:marTop w:val="0"/>
                      <w:marBottom w:val="0"/>
                      <w:divBdr>
                        <w:top w:val="none" w:sz="0" w:space="0" w:color="auto"/>
                        <w:left w:val="none" w:sz="0" w:space="0" w:color="auto"/>
                        <w:bottom w:val="none" w:sz="0" w:space="0" w:color="auto"/>
                        <w:right w:val="none" w:sz="0" w:space="0" w:color="auto"/>
                      </w:divBdr>
                      <w:divsChild>
                        <w:div w:id="763847223">
                          <w:marLeft w:val="-150"/>
                          <w:marRight w:val="-150"/>
                          <w:marTop w:val="0"/>
                          <w:marBottom w:val="0"/>
                          <w:divBdr>
                            <w:top w:val="none" w:sz="0" w:space="0" w:color="auto"/>
                            <w:left w:val="none" w:sz="0" w:space="0" w:color="auto"/>
                            <w:bottom w:val="none" w:sz="0" w:space="0" w:color="auto"/>
                            <w:right w:val="none" w:sz="0" w:space="0" w:color="auto"/>
                          </w:divBdr>
                          <w:divsChild>
                            <w:div w:id="1096638001">
                              <w:marLeft w:val="0"/>
                              <w:marRight w:val="0"/>
                              <w:marTop w:val="0"/>
                              <w:marBottom w:val="0"/>
                              <w:divBdr>
                                <w:top w:val="none" w:sz="0" w:space="0" w:color="auto"/>
                                <w:left w:val="none" w:sz="0" w:space="0" w:color="auto"/>
                                <w:bottom w:val="none" w:sz="0" w:space="0" w:color="auto"/>
                                <w:right w:val="none" w:sz="0" w:space="0" w:color="auto"/>
                              </w:divBdr>
                              <w:divsChild>
                                <w:div w:id="2078086751">
                                  <w:marLeft w:val="0"/>
                                  <w:marRight w:val="0"/>
                                  <w:marTop w:val="0"/>
                                  <w:marBottom w:val="0"/>
                                  <w:divBdr>
                                    <w:top w:val="none" w:sz="0" w:space="0" w:color="auto"/>
                                    <w:left w:val="none" w:sz="0" w:space="0" w:color="auto"/>
                                    <w:bottom w:val="none" w:sz="0" w:space="0" w:color="auto"/>
                                    <w:right w:val="none" w:sz="0" w:space="0" w:color="auto"/>
                                  </w:divBdr>
                                  <w:divsChild>
                                    <w:div w:id="1717853400">
                                      <w:marLeft w:val="0"/>
                                      <w:marRight w:val="0"/>
                                      <w:marTop w:val="0"/>
                                      <w:marBottom w:val="0"/>
                                      <w:divBdr>
                                        <w:top w:val="none" w:sz="0" w:space="0" w:color="auto"/>
                                        <w:left w:val="none" w:sz="0" w:space="0" w:color="auto"/>
                                        <w:bottom w:val="none" w:sz="0" w:space="0" w:color="auto"/>
                                        <w:right w:val="none" w:sz="0" w:space="0" w:color="auto"/>
                                      </w:divBdr>
                                      <w:divsChild>
                                        <w:div w:id="1858960482">
                                          <w:marLeft w:val="0"/>
                                          <w:marRight w:val="0"/>
                                          <w:marTop w:val="0"/>
                                          <w:marBottom w:val="0"/>
                                          <w:divBdr>
                                            <w:top w:val="none" w:sz="0" w:space="0" w:color="auto"/>
                                            <w:left w:val="none" w:sz="0" w:space="0" w:color="auto"/>
                                            <w:bottom w:val="none" w:sz="0" w:space="0" w:color="auto"/>
                                            <w:right w:val="none" w:sz="0" w:space="0" w:color="auto"/>
                                          </w:divBdr>
                                          <w:divsChild>
                                            <w:div w:id="1253736139">
                                              <w:marLeft w:val="0"/>
                                              <w:marRight w:val="0"/>
                                              <w:marTop w:val="0"/>
                                              <w:marBottom w:val="0"/>
                                              <w:divBdr>
                                                <w:top w:val="none" w:sz="0" w:space="0" w:color="auto"/>
                                                <w:left w:val="none" w:sz="0" w:space="0" w:color="auto"/>
                                                <w:bottom w:val="none" w:sz="0" w:space="0" w:color="auto"/>
                                                <w:right w:val="none" w:sz="0" w:space="0" w:color="auto"/>
                                              </w:divBdr>
                                              <w:divsChild>
                                                <w:div w:id="463472602">
                                                  <w:marLeft w:val="0"/>
                                                  <w:marRight w:val="0"/>
                                                  <w:marTop w:val="0"/>
                                                  <w:marBottom w:val="0"/>
                                                  <w:divBdr>
                                                    <w:top w:val="none" w:sz="0" w:space="0" w:color="auto"/>
                                                    <w:left w:val="none" w:sz="0" w:space="0" w:color="auto"/>
                                                    <w:bottom w:val="none" w:sz="0" w:space="0" w:color="auto"/>
                                                    <w:right w:val="none" w:sz="0" w:space="0" w:color="auto"/>
                                                  </w:divBdr>
                                                  <w:divsChild>
                                                    <w:div w:id="1706520141">
                                                      <w:marLeft w:val="0"/>
                                                      <w:marRight w:val="0"/>
                                                      <w:marTop w:val="0"/>
                                                      <w:marBottom w:val="0"/>
                                                      <w:divBdr>
                                                        <w:top w:val="none" w:sz="0" w:space="0" w:color="auto"/>
                                                        <w:left w:val="none" w:sz="0" w:space="0" w:color="auto"/>
                                                        <w:bottom w:val="none" w:sz="0" w:space="0" w:color="auto"/>
                                                        <w:right w:val="none" w:sz="0" w:space="0" w:color="auto"/>
                                                      </w:divBdr>
                                                      <w:divsChild>
                                                        <w:div w:id="212284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3966767">
      <w:bodyDiv w:val="1"/>
      <w:marLeft w:val="0"/>
      <w:marRight w:val="0"/>
      <w:marTop w:val="0"/>
      <w:marBottom w:val="0"/>
      <w:divBdr>
        <w:top w:val="none" w:sz="0" w:space="0" w:color="auto"/>
        <w:left w:val="none" w:sz="0" w:space="0" w:color="auto"/>
        <w:bottom w:val="none" w:sz="0" w:space="0" w:color="auto"/>
        <w:right w:val="none" w:sz="0" w:space="0" w:color="auto"/>
      </w:divBdr>
      <w:divsChild>
        <w:div w:id="1793330496">
          <w:marLeft w:val="0"/>
          <w:marRight w:val="0"/>
          <w:marTop w:val="0"/>
          <w:marBottom w:val="0"/>
          <w:divBdr>
            <w:top w:val="none" w:sz="0" w:space="0" w:color="auto"/>
            <w:left w:val="none" w:sz="0" w:space="0" w:color="auto"/>
            <w:bottom w:val="none" w:sz="0" w:space="0" w:color="auto"/>
            <w:right w:val="none" w:sz="0" w:space="0" w:color="auto"/>
          </w:divBdr>
          <w:divsChild>
            <w:div w:id="2012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19777">
      <w:bodyDiv w:val="1"/>
      <w:marLeft w:val="0"/>
      <w:marRight w:val="0"/>
      <w:marTop w:val="0"/>
      <w:marBottom w:val="0"/>
      <w:divBdr>
        <w:top w:val="none" w:sz="0" w:space="0" w:color="auto"/>
        <w:left w:val="none" w:sz="0" w:space="0" w:color="auto"/>
        <w:bottom w:val="none" w:sz="0" w:space="0" w:color="auto"/>
        <w:right w:val="none" w:sz="0" w:space="0" w:color="auto"/>
      </w:divBdr>
    </w:div>
    <w:div w:id="18683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E1770-962E-416B-AADD-783291225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4155</Words>
  <Characters>23684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JSC</cp:lastModifiedBy>
  <cp:revision>2</cp:revision>
  <cp:lastPrinted>2023-02-27T09:18:00Z</cp:lastPrinted>
  <dcterms:created xsi:type="dcterms:W3CDTF">2023-03-03T08:15:00Z</dcterms:created>
  <dcterms:modified xsi:type="dcterms:W3CDTF">2023-03-03T08:15:00Z</dcterms:modified>
</cp:coreProperties>
</file>