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DB843" w14:textId="3BDC791B" w:rsidR="00F8654F" w:rsidRDefault="00D87A8F">
      <w:pPr>
        <w:tabs>
          <w:tab w:val="center" w:pos="5041"/>
          <w:tab w:val="center" w:pos="5761"/>
          <w:tab w:val="center" w:pos="7734"/>
        </w:tabs>
        <w:spacing w:after="313" w:line="259" w:lineRule="auto"/>
        <w:ind w:left="-15" w:firstLine="0"/>
        <w:jc w:val="left"/>
      </w:pPr>
      <w:r>
        <w:rPr>
          <w:b/>
          <w:color w:val="000000"/>
        </w:rPr>
        <w:t xml:space="preserve">IN THE LABOUR COURT OF ZIMBABWE </w:t>
      </w:r>
      <w:r>
        <w:rPr>
          <w:b/>
          <w:color w:val="000000"/>
        </w:rPr>
        <w:tab/>
        <w:t xml:space="preserve"> </w:t>
      </w:r>
      <w:r>
        <w:rPr>
          <w:b/>
          <w:color w:val="000000"/>
        </w:rPr>
        <w:tab/>
        <w:t xml:space="preserve"> </w:t>
      </w:r>
      <w:r>
        <w:rPr>
          <w:b/>
          <w:color w:val="000000"/>
        </w:rPr>
        <w:tab/>
        <w:t>JUDGMENT NO L/C/H</w:t>
      </w:r>
      <w:r w:rsidR="0008361A">
        <w:rPr>
          <w:b/>
          <w:color w:val="000000"/>
        </w:rPr>
        <w:t>/216/26</w:t>
      </w:r>
      <w:r>
        <w:rPr>
          <w:b/>
          <w:color w:val="000000"/>
        </w:rPr>
        <w:t xml:space="preserve">  </w:t>
      </w:r>
    </w:p>
    <w:p w14:paraId="65929F8E" w14:textId="77777777" w:rsidR="00F8654F" w:rsidRDefault="00D87A8F">
      <w:pPr>
        <w:tabs>
          <w:tab w:val="center" w:pos="4320"/>
          <w:tab w:val="center" w:pos="5041"/>
          <w:tab w:val="center" w:pos="5761"/>
          <w:tab w:val="center" w:pos="7730"/>
        </w:tabs>
        <w:spacing w:after="285" w:line="259" w:lineRule="auto"/>
        <w:ind w:left="-15" w:firstLine="0"/>
        <w:jc w:val="left"/>
      </w:pPr>
      <w:r>
        <w:rPr>
          <w:b/>
          <w:color w:val="000000"/>
        </w:rPr>
        <w:t xml:space="preserve">HELD AT HARARE, 04 JUNE2026 </w:t>
      </w:r>
      <w:r>
        <w:rPr>
          <w:b/>
          <w:color w:val="000000"/>
        </w:rPr>
        <w:tab/>
        <w:t xml:space="preserve"> </w:t>
      </w:r>
      <w:r>
        <w:rPr>
          <w:b/>
          <w:color w:val="000000"/>
        </w:rPr>
        <w:tab/>
        <w:t xml:space="preserve"> </w:t>
      </w:r>
      <w:r>
        <w:rPr>
          <w:b/>
          <w:color w:val="000000"/>
        </w:rPr>
        <w:tab/>
        <w:t xml:space="preserve"> </w:t>
      </w:r>
      <w:r>
        <w:rPr>
          <w:b/>
          <w:color w:val="000000"/>
        </w:rPr>
        <w:tab/>
        <w:t xml:space="preserve">CASE NO LC/H /379/26 </w:t>
      </w:r>
    </w:p>
    <w:p w14:paraId="44FFF3C9" w14:textId="77777777" w:rsidR="00F8654F" w:rsidRDefault="00D87A8F">
      <w:pPr>
        <w:spacing w:after="285" w:line="259" w:lineRule="auto"/>
        <w:ind w:left="-5"/>
        <w:jc w:val="left"/>
      </w:pPr>
      <w:r>
        <w:rPr>
          <w:b/>
          <w:color w:val="000000"/>
        </w:rPr>
        <w:t xml:space="preserve">&amp; 11 JUNE 2026 </w:t>
      </w:r>
    </w:p>
    <w:p w14:paraId="2A3840C2" w14:textId="77777777" w:rsidR="00F8654F" w:rsidRDefault="00D87A8F">
      <w:pPr>
        <w:spacing w:after="307" w:line="259" w:lineRule="auto"/>
        <w:ind w:left="0" w:firstLine="0"/>
        <w:jc w:val="left"/>
      </w:pPr>
      <w:r>
        <w:rPr>
          <w:b/>
          <w:color w:val="000000"/>
        </w:rPr>
        <w:t xml:space="preserve"> </w:t>
      </w:r>
    </w:p>
    <w:p w14:paraId="4B192B0B" w14:textId="77777777" w:rsidR="00F8654F" w:rsidRDefault="00D87A8F">
      <w:pPr>
        <w:tabs>
          <w:tab w:val="center" w:pos="2160"/>
          <w:tab w:val="center" w:pos="2880"/>
          <w:tab w:val="center" w:pos="3600"/>
          <w:tab w:val="center" w:pos="4320"/>
          <w:tab w:val="center" w:pos="5041"/>
          <w:tab w:val="center" w:pos="5761"/>
          <w:tab w:val="center" w:pos="7181"/>
        </w:tabs>
        <w:spacing w:after="285" w:line="259" w:lineRule="auto"/>
        <w:ind w:left="-15" w:firstLine="0"/>
        <w:jc w:val="left"/>
      </w:pPr>
      <w:r>
        <w:rPr>
          <w:b/>
          <w:color w:val="000000"/>
        </w:rPr>
        <w:t xml:space="preserve">SIMON GONDE </w:t>
      </w:r>
      <w:r>
        <w:rPr>
          <w:b/>
          <w:color w:val="000000"/>
        </w:rPr>
        <w:tab/>
        <w:t xml:space="preserve"> </w:t>
      </w:r>
      <w:r>
        <w:rPr>
          <w:b/>
          <w:color w:val="000000"/>
        </w:rPr>
        <w:tab/>
        <w:t xml:space="preserve"> </w:t>
      </w:r>
      <w:r>
        <w:rPr>
          <w:b/>
          <w:color w:val="000000"/>
        </w:rPr>
        <w:tab/>
        <w:t xml:space="preserve"> </w:t>
      </w:r>
      <w:r>
        <w:rPr>
          <w:b/>
          <w:color w:val="000000"/>
        </w:rPr>
        <w:tab/>
        <w:t xml:space="preserve"> </w:t>
      </w:r>
      <w:r>
        <w:rPr>
          <w:b/>
          <w:color w:val="000000"/>
        </w:rPr>
        <w:tab/>
        <w:t xml:space="preserve"> </w:t>
      </w:r>
      <w:r>
        <w:rPr>
          <w:b/>
          <w:color w:val="000000"/>
        </w:rPr>
        <w:tab/>
        <w:t xml:space="preserve"> </w:t>
      </w:r>
      <w:r>
        <w:rPr>
          <w:b/>
          <w:color w:val="000000"/>
        </w:rPr>
        <w:tab/>
        <w:t xml:space="preserve">APPLICANT </w:t>
      </w:r>
    </w:p>
    <w:p w14:paraId="1F95134C" w14:textId="77777777" w:rsidR="00F8654F" w:rsidRDefault="00D87A8F">
      <w:pPr>
        <w:spacing w:after="285" w:line="259" w:lineRule="auto"/>
        <w:ind w:left="-5"/>
        <w:jc w:val="left"/>
      </w:pPr>
      <w:r>
        <w:rPr>
          <w:b/>
          <w:color w:val="000000"/>
        </w:rPr>
        <w:t xml:space="preserve">AND </w:t>
      </w:r>
    </w:p>
    <w:p w14:paraId="35121D55" w14:textId="77777777" w:rsidR="00F8654F" w:rsidRDefault="00D87A8F">
      <w:pPr>
        <w:tabs>
          <w:tab w:val="center" w:pos="5041"/>
          <w:tab w:val="center" w:pos="5761"/>
          <w:tab w:val="center" w:pos="7488"/>
        </w:tabs>
        <w:spacing w:after="285" w:line="259" w:lineRule="auto"/>
        <w:ind w:left="-15" w:firstLine="0"/>
        <w:jc w:val="left"/>
      </w:pPr>
      <w:r>
        <w:rPr>
          <w:b/>
          <w:color w:val="000000"/>
        </w:rPr>
        <w:t xml:space="preserve">ST GILES REHABILITATION CENTRE </w:t>
      </w:r>
      <w:r>
        <w:rPr>
          <w:b/>
          <w:color w:val="000000"/>
        </w:rPr>
        <w:tab/>
        <w:t xml:space="preserve"> </w:t>
      </w:r>
      <w:r>
        <w:rPr>
          <w:b/>
          <w:color w:val="000000"/>
        </w:rPr>
        <w:tab/>
        <w:t xml:space="preserve"> </w:t>
      </w:r>
      <w:r>
        <w:rPr>
          <w:b/>
          <w:color w:val="000000"/>
        </w:rPr>
        <w:tab/>
        <w:t>1</w:t>
      </w:r>
      <w:r>
        <w:rPr>
          <w:b/>
          <w:color w:val="000000"/>
          <w:vertAlign w:val="superscript"/>
        </w:rPr>
        <w:t>ST</w:t>
      </w:r>
      <w:r>
        <w:rPr>
          <w:b/>
          <w:color w:val="000000"/>
        </w:rPr>
        <w:t xml:space="preserve"> RESPONDENT </w:t>
      </w:r>
    </w:p>
    <w:p w14:paraId="12FC0DBD" w14:textId="77777777" w:rsidR="00F8654F" w:rsidRDefault="00D87A8F">
      <w:pPr>
        <w:spacing w:after="285" w:line="259" w:lineRule="auto"/>
        <w:ind w:left="-5"/>
        <w:jc w:val="left"/>
      </w:pPr>
      <w:r>
        <w:rPr>
          <w:b/>
          <w:color w:val="000000"/>
        </w:rPr>
        <w:t xml:space="preserve">AND  </w:t>
      </w:r>
    </w:p>
    <w:p w14:paraId="6AA7C68D" w14:textId="77777777" w:rsidR="00F8654F" w:rsidRDefault="00D87A8F">
      <w:pPr>
        <w:tabs>
          <w:tab w:val="center" w:pos="3600"/>
          <w:tab w:val="center" w:pos="4320"/>
          <w:tab w:val="center" w:pos="5041"/>
          <w:tab w:val="center" w:pos="5761"/>
          <w:tab w:val="center" w:pos="7506"/>
        </w:tabs>
        <w:spacing w:after="285" w:line="259" w:lineRule="auto"/>
        <w:ind w:left="-15" w:firstLine="0"/>
        <w:jc w:val="left"/>
      </w:pPr>
      <w:r>
        <w:rPr>
          <w:b/>
          <w:color w:val="000000"/>
        </w:rPr>
        <w:t xml:space="preserve">FORWARD MUGABE </w:t>
      </w:r>
      <w:proofErr w:type="gramStart"/>
      <w:r>
        <w:rPr>
          <w:b/>
          <w:color w:val="000000"/>
        </w:rPr>
        <w:t xml:space="preserve">NO  </w:t>
      </w:r>
      <w:r>
        <w:rPr>
          <w:b/>
          <w:color w:val="000000"/>
        </w:rPr>
        <w:tab/>
      </w:r>
      <w:proofErr w:type="gramEnd"/>
      <w:r>
        <w:rPr>
          <w:b/>
          <w:color w:val="000000"/>
        </w:rPr>
        <w:t xml:space="preserve"> </w:t>
      </w:r>
      <w:r>
        <w:rPr>
          <w:b/>
          <w:color w:val="000000"/>
        </w:rPr>
        <w:tab/>
        <w:t xml:space="preserve"> </w:t>
      </w:r>
      <w:r>
        <w:rPr>
          <w:b/>
          <w:color w:val="000000"/>
        </w:rPr>
        <w:tab/>
        <w:t xml:space="preserve"> </w:t>
      </w:r>
      <w:r>
        <w:rPr>
          <w:b/>
          <w:color w:val="000000"/>
        </w:rPr>
        <w:tab/>
        <w:t xml:space="preserve"> </w:t>
      </w:r>
      <w:r>
        <w:rPr>
          <w:b/>
          <w:color w:val="000000"/>
        </w:rPr>
        <w:tab/>
        <w:t>2</w:t>
      </w:r>
      <w:r>
        <w:rPr>
          <w:b/>
          <w:color w:val="000000"/>
          <w:vertAlign w:val="superscript"/>
        </w:rPr>
        <w:t>ND</w:t>
      </w:r>
      <w:r>
        <w:rPr>
          <w:b/>
          <w:color w:val="000000"/>
        </w:rPr>
        <w:t xml:space="preserve"> RESPONDENT  </w:t>
      </w:r>
    </w:p>
    <w:p w14:paraId="41790695" w14:textId="77777777" w:rsidR="00F8654F" w:rsidRDefault="00D87A8F">
      <w:pPr>
        <w:spacing w:after="273" w:line="259" w:lineRule="auto"/>
        <w:ind w:left="0" w:firstLine="0"/>
        <w:jc w:val="left"/>
      </w:pPr>
      <w:r>
        <w:rPr>
          <w:color w:val="000000"/>
        </w:rPr>
        <w:t xml:space="preserve"> </w:t>
      </w:r>
    </w:p>
    <w:p w14:paraId="5AFE6987" w14:textId="77777777" w:rsidR="00F8654F" w:rsidRDefault="00D87A8F">
      <w:pPr>
        <w:spacing w:after="273" w:line="259" w:lineRule="auto"/>
        <w:ind w:left="0" w:firstLine="0"/>
        <w:jc w:val="left"/>
      </w:pPr>
      <w:r>
        <w:rPr>
          <w:color w:val="000000"/>
        </w:rPr>
        <w:t xml:space="preserve">Before the Honorable Justice Tsikwa </w:t>
      </w:r>
    </w:p>
    <w:p w14:paraId="6D23535B" w14:textId="77777777" w:rsidR="00F8654F" w:rsidRDefault="00D87A8F">
      <w:pPr>
        <w:spacing w:after="275" w:line="259" w:lineRule="auto"/>
        <w:ind w:left="0" w:firstLine="0"/>
        <w:jc w:val="left"/>
      </w:pPr>
      <w:r>
        <w:rPr>
          <w:color w:val="000000"/>
        </w:rPr>
        <w:t xml:space="preserve"> </w:t>
      </w:r>
    </w:p>
    <w:p w14:paraId="7F41B8CD" w14:textId="77777777" w:rsidR="00F8654F" w:rsidRDefault="00D87A8F">
      <w:pPr>
        <w:spacing w:after="285" w:line="259" w:lineRule="auto"/>
        <w:ind w:left="-5"/>
        <w:jc w:val="left"/>
      </w:pPr>
      <w:r>
        <w:rPr>
          <w:b/>
          <w:color w:val="000000"/>
        </w:rPr>
        <w:t xml:space="preserve">T. </w:t>
      </w:r>
      <w:proofErr w:type="spellStart"/>
      <w:r>
        <w:rPr>
          <w:b/>
          <w:color w:val="000000"/>
        </w:rPr>
        <w:t>Chagudumba</w:t>
      </w:r>
      <w:proofErr w:type="spellEnd"/>
      <w:r>
        <w:rPr>
          <w:b/>
          <w:color w:val="000000"/>
        </w:rPr>
        <w:t xml:space="preserve">, for the Applicant </w:t>
      </w:r>
    </w:p>
    <w:p w14:paraId="175B7C26" w14:textId="77777777" w:rsidR="00F8654F" w:rsidRDefault="00D87A8F">
      <w:pPr>
        <w:spacing w:after="285" w:line="259" w:lineRule="auto"/>
        <w:ind w:left="-5"/>
        <w:jc w:val="left"/>
      </w:pPr>
      <w:r>
        <w:rPr>
          <w:b/>
          <w:color w:val="000000"/>
        </w:rPr>
        <w:t>M. Mbuyisa, for the 1</w:t>
      </w:r>
      <w:r>
        <w:rPr>
          <w:b/>
          <w:color w:val="000000"/>
          <w:vertAlign w:val="superscript"/>
        </w:rPr>
        <w:t>st</w:t>
      </w:r>
      <w:r>
        <w:rPr>
          <w:b/>
          <w:color w:val="000000"/>
        </w:rPr>
        <w:t xml:space="preserve"> Respondent </w:t>
      </w:r>
    </w:p>
    <w:p w14:paraId="2BB67208" w14:textId="77777777" w:rsidR="00F8654F" w:rsidRDefault="00D87A8F">
      <w:pPr>
        <w:spacing w:after="168" w:line="259" w:lineRule="auto"/>
        <w:ind w:left="0" w:firstLine="0"/>
        <w:jc w:val="left"/>
      </w:pPr>
      <w:r>
        <w:rPr>
          <w:b/>
          <w:color w:val="000000"/>
        </w:rPr>
        <w:t xml:space="preserve"> </w:t>
      </w:r>
    </w:p>
    <w:p w14:paraId="1141678A" w14:textId="77777777" w:rsidR="00F8654F" w:rsidRDefault="00D87A8F">
      <w:pPr>
        <w:spacing w:after="158" w:line="358" w:lineRule="auto"/>
        <w:ind w:left="-5"/>
      </w:pPr>
      <w:r>
        <w:t xml:space="preserve"> </w:t>
      </w:r>
      <w:r>
        <w:rPr>
          <w:b/>
        </w:rPr>
        <w:t>TSIKWA J:</w:t>
      </w:r>
      <w:r>
        <w:rPr>
          <w:rFonts w:ascii="Arial" w:eastAsia="Arial" w:hAnsi="Arial" w:cs="Arial"/>
        </w:rPr>
        <w:t xml:space="preserve"> </w:t>
      </w:r>
      <w:r>
        <w:t xml:space="preserve">This an application for leave to appeal to the </w:t>
      </w:r>
      <w:r>
        <w:rPr>
          <w:b/>
        </w:rPr>
        <w:t>Supreme Court</w:t>
      </w:r>
      <w:r>
        <w:t xml:space="preserve"> in terms of </w:t>
      </w:r>
      <w:r>
        <w:rPr>
          <w:b/>
        </w:rPr>
        <w:t>Section 92F (2)</w:t>
      </w:r>
      <w:r>
        <w:t xml:space="preserve"> of the </w:t>
      </w:r>
      <w:r>
        <w:rPr>
          <w:b/>
        </w:rPr>
        <w:t>Labour Court Act [28:01],</w:t>
      </w:r>
      <w:r>
        <w:t xml:space="preserve"> the Act as read with </w:t>
      </w:r>
      <w:r>
        <w:rPr>
          <w:b/>
        </w:rPr>
        <w:t>Rule 43</w:t>
      </w:r>
      <w:r>
        <w:t xml:space="preserve"> of the </w:t>
      </w:r>
      <w:r>
        <w:rPr>
          <w:b/>
        </w:rPr>
        <w:t xml:space="preserve">Labour Court, Rules, 2017, the Rules. </w:t>
      </w:r>
    </w:p>
    <w:p w14:paraId="152DC951" w14:textId="77777777" w:rsidR="00F8654F" w:rsidRDefault="00D87A8F">
      <w:pPr>
        <w:spacing w:after="0" w:line="357" w:lineRule="auto"/>
        <w:ind w:left="0" w:right="9302" w:firstLine="0"/>
        <w:jc w:val="left"/>
      </w:pPr>
      <w:r>
        <w:rPr>
          <w:b/>
        </w:rPr>
        <w:t xml:space="preserve">   </w:t>
      </w:r>
    </w:p>
    <w:p w14:paraId="1890D409" w14:textId="77777777" w:rsidR="00F8654F" w:rsidRDefault="00D87A8F">
      <w:pPr>
        <w:pStyle w:val="Heading1"/>
        <w:spacing w:after="143"/>
        <w:ind w:left="-5" w:right="0"/>
      </w:pPr>
      <w:r>
        <w:t xml:space="preserve">BACKGROUND FACTS </w:t>
      </w:r>
    </w:p>
    <w:p w14:paraId="07232C2C" w14:textId="77777777" w:rsidR="00F8654F" w:rsidRDefault="00D87A8F">
      <w:pPr>
        <w:ind w:left="-5"/>
      </w:pPr>
      <w:r>
        <w:t xml:space="preserve"> The applicant was employed by 1</w:t>
      </w:r>
      <w:r>
        <w:rPr>
          <w:vertAlign w:val="superscript"/>
        </w:rPr>
        <w:t>st</w:t>
      </w:r>
      <w:r>
        <w:t xml:space="preserve"> respondent on a </w:t>
      </w:r>
      <w:proofErr w:type="gramStart"/>
      <w:r>
        <w:t>3 month</w:t>
      </w:r>
      <w:proofErr w:type="gramEnd"/>
      <w:r>
        <w:t xml:space="preserve"> fixed term contract from 19 June 2023 which expired on 30 September 2023. On 14 September the board came up with a resolution that he be offered a 4-year contract. The resolution was not implemented because the parties were engaged in discussions over a suitable package. when he was given notice of nonrenewal of the </w:t>
      </w:r>
      <w:r>
        <w:lastRenderedPageBreak/>
        <w:t xml:space="preserve">1year contract. On 9 November 2023 the board came up with another resolution for the applicant to be offered a 3-month contract. This again was not implemented. On 5 December 2023 the parties signed a 1-year contract. On 18 June 2024 the board came up with a resolution not to renew the applicant’s contract, and he was served with the notice on 21 June 2024. The notice period was to come to an end on 18 September 2021.  When the matter came on appeal, this court ruled in </w:t>
      </w:r>
      <w:proofErr w:type="spellStart"/>
      <w:r>
        <w:t>favour</w:t>
      </w:r>
      <w:proofErr w:type="spellEnd"/>
      <w:r>
        <w:t xml:space="preserve"> of the respondent. They gave rise to the present application. </w:t>
      </w:r>
    </w:p>
    <w:p w14:paraId="6B6251B9" w14:textId="77777777" w:rsidR="00F8654F" w:rsidRDefault="00D87A8F">
      <w:pPr>
        <w:spacing w:after="117" w:line="259" w:lineRule="auto"/>
        <w:ind w:left="0" w:firstLine="0"/>
        <w:jc w:val="left"/>
      </w:pPr>
      <w:r>
        <w:t xml:space="preserve"> </w:t>
      </w:r>
    </w:p>
    <w:p w14:paraId="35E619D3" w14:textId="77777777" w:rsidR="00F8654F" w:rsidRDefault="00D87A8F">
      <w:pPr>
        <w:pStyle w:val="Heading1"/>
        <w:ind w:left="-5" w:right="0"/>
      </w:pPr>
      <w:r>
        <w:t>THE BASIS FOR THE APPLICATION</w:t>
      </w:r>
      <w:r>
        <w:rPr>
          <w:b w:val="0"/>
        </w:rPr>
        <w:t xml:space="preserve"> </w:t>
      </w:r>
    </w:p>
    <w:p w14:paraId="5779719E" w14:textId="77777777" w:rsidR="00F8654F" w:rsidRDefault="00D87A8F">
      <w:pPr>
        <w:ind w:left="-5"/>
      </w:pPr>
      <w:r>
        <w:t xml:space="preserve"> The applicant submitted that he enjoys good prospects of success on appeal because this court erred on a point of law by holding that the 1year contract was impliedly ratified by the 1st Respondent's board. It was submitted that ratification was supposed through a resolution. Further it was submitted the issue of ratification was not argued by the parties. </w:t>
      </w:r>
    </w:p>
    <w:p w14:paraId="69089C8D" w14:textId="77777777" w:rsidR="00F8654F" w:rsidRDefault="00D87A8F">
      <w:pPr>
        <w:spacing w:after="114" w:line="259" w:lineRule="auto"/>
        <w:ind w:left="0" w:firstLine="0"/>
        <w:jc w:val="left"/>
      </w:pPr>
      <w:r>
        <w:t xml:space="preserve"> </w:t>
      </w:r>
    </w:p>
    <w:p w14:paraId="0A6ACB7B" w14:textId="77777777" w:rsidR="00F8654F" w:rsidRDefault="00D87A8F">
      <w:pPr>
        <w:ind w:left="-15" w:firstLine="720"/>
      </w:pPr>
      <w:r>
        <w:t xml:space="preserve">Applicant submitted that the 1year contract was unlawful and therefore could not be ratified because went against the spirit of the resolution of 14 September 2024. </w:t>
      </w:r>
    </w:p>
    <w:p w14:paraId="3E0CE3A2" w14:textId="77777777" w:rsidR="00F8654F" w:rsidRDefault="00D87A8F">
      <w:pPr>
        <w:spacing w:after="120" w:line="259" w:lineRule="auto"/>
        <w:ind w:left="0" w:firstLine="0"/>
        <w:jc w:val="left"/>
      </w:pPr>
      <w:r>
        <w:t xml:space="preserve"> </w:t>
      </w:r>
      <w:r>
        <w:tab/>
        <w:t xml:space="preserve"> </w:t>
      </w:r>
    </w:p>
    <w:p w14:paraId="0F858F4D" w14:textId="77777777" w:rsidR="00F8654F" w:rsidRDefault="00D87A8F">
      <w:pPr>
        <w:ind w:left="-15" w:firstLine="720"/>
      </w:pPr>
      <w:r>
        <w:t xml:space="preserve">Applicant also contended that the defective notice to terminate the 1year contract meant that the contract was renewed automatically. It was further submitted that no prejudice by the respondent if the application is granted, instead it is the applicant who would be prejudiced because he was unlawfully dismissed and lost source of income. </w:t>
      </w:r>
    </w:p>
    <w:p w14:paraId="11D74176" w14:textId="77777777" w:rsidR="00F8654F" w:rsidRDefault="00D87A8F">
      <w:pPr>
        <w:spacing w:after="114" w:line="259" w:lineRule="auto"/>
        <w:ind w:left="720" w:firstLine="0"/>
        <w:jc w:val="left"/>
      </w:pPr>
      <w:r>
        <w:t xml:space="preserve"> </w:t>
      </w:r>
    </w:p>
    <w:p w14:paraId="09F70019" w14:textId="77777777" w:rsidR="00F8654F" w:rsidRDefault="00D87A8F">
      <w:pPr>
        <w:ind w:left="-5"/>
      </w:pPr>
      <w:r>
        <w:t xml:space="preserve"> The first respondent argued that the grounds of appeal are not supported by law or evidence. It was submitted the 1year contract between the parties was a binding agreement and the court's duty was to interpret that agreement, let alone whether the agreement was performed by both parties. </w:t>
      </w:r>
    </w:p>
    <w:p w14:paraId="63CB6358" w14:textId="77777777" w:rsidR="00F8654F" w:rsidRDefault="00D87A8F">
      <w:pPr>
        <w:spacing w:after="130" w:line="259" w:lineRule="auto"/>
        <w:ind w:left="0" w:firstLine="0"/>
        <w:jc w:val="left"/>
      </w:pPr>
      <w:r>
        <w:t xml:space="preserve"> </w:t>
      </w:r>
    </w:p>
    <w:p w14:paraId="0CAF23E1" w14:textId="77777777" w:rsidR="00F8654F" w:rsidRDefault="00D87A8F">
      <w:pPr>
        <w:ind w:left="-15" w:firstLine="720"/>
      </w:pPr>
      <w:r>
        <w:t>The 1</w:t>
      </w:r>
      <w:r>
        <w:rPr>
          <w:vertAlign w:val="superscript"/>
        </w:rPr>
        <w:t>st</w:t>
      </w:r>
      <w:r>
        <w:t xml:space="preserve"> respondent further submitted that the applicant did not state in the ground of appeal why ratification must not apply to the case at hand. Further it was submitted that the board resolution of 14 September 2023 did not constitute a contract of employment because the parties were still negotiating and this culminated in a written contract being signed. </w:t>
      </w:r>
    </w:p>
    <w:p w14:paraId="36001A59" w14:textId="77777777" w:rsidR="00F8654F" w:rsidRDefault="00D87A8F">
      <w:pPr>
        <w:ind w:left="-5"/>
      </w:pPr>
      <w:r>
        <w:lastRenderedPageBreak/>
        <w:t xml:space="preserve"> An argument was also advanced that the applicant has failed to provide any law which states less notice given to an employee invalidates the notice that was given. </w:t>
      </w:r>
    </w:p>
    <w:p w14:paraId="3CFF973B" w14:textId="77777777" w:rsidR="00F8654F" w:rsidRDefault="00D87A8F">
      <w:pPr>
        <w:spacing w:after="125" w:line="259" w:lineRule="auto"/>
        <w:ind w:left="0" w:firstLine="0"/>
        <w:jc w:val="left"/>
      </w:pPr>
      <w:r>
        <w:t xml:space="preserve"> </w:t>
      </w:r>
    </w:p>
    <w:p w14:paraId="3459968A" w14:textId="77777777" w:rsidR="00F8654F" w:rsidRDefault="00D87A8F">
      <w:pPr>
        <w:ind w:left="-15" w:firstLine="720"/>
      </w:pPr>
      <w:r>
        <w:t>1</w:t>
      </w:r>
      <w:r>
        <w:rPr>
          <w:vertAlign w:val="superscript"/>
        </w:rPr>
        <w:t>st</w:t>
      </w:r>
      <w:r>
        <w:t xml:space="preserve"> respondent submitted that it will be prejudiced by the granting of the application because it has not had a CEO for a long time and there must be finality to litigation. </w:t>
      </w:r>
    </w:p>
    <w:p w14:paraId="6BF0F962" w14:textId="77777777" w:rsidR="00F8654F" w:rsidRDefault="00D87A8F">
      <w:pPr>
        <w:spacing w:after="114" w:line="259" w:lineRule="auto"/>
        <w:ind w:left="0" w:firstLine="0"/>
        <w:jc w:val="left"/>
      </w:pPr>
      <w:r>
        <w:t xml:space="preserve"> </w:t>
      </w:r>
    </w:p>
    <w:p w14:paraId="169C08DC" w14:textId="77777777" w:rsidR="00F8654F" w:rsidRDefault="00D87A8F">
      <w:pPr>
        <w:pStyle w:val="Heading1"/>
        <w:ind w:left="-5" w:right="0"/>
      </w:pPr>
      <w:r>
        <w:t xml:space="preserve">THE LAW APPLICABLE </w:t>
      </w:r>
    </w:p>
    <w:p w14:paraId="7B0C94BE" w14:textId="77777777" w:rsidR="00F8654F" w:rsidRDefault="00D87A8F">
      <w:pPr>
        <w:ind w:left="-5"/>
      </w:pPr>
      <w:r>
        <w:t xml:space="preserve"> The present application was filed in terms of </w:t>
      </w:r>
      <w:r>
        <w:rPr>
          <w:b/>
        </w:rPr>
        <w:t xml:space="preserve">Section 92F (2) </w:t>
      </w:r>
      <w:r>
        <w:t>of the</w:t>
      </w:r>
      <w:r>
        <w:rPr>
          <w:b/>
        </w:rPr>
        <w:t xml:space="preserve"> Act</w:t>
      </w:r>
      <w:r>
        <w:t xml:space="preserve">. This shows that the right to appeal is not and an absolute right but one that is limited subject to leave being granted. This is a gate keeping provision or screening mechanism to make sure only appeals raising serious points of law reach the Supreme Court. This mechanism prevents frivolous, vexatious or </w:t>
      </w:r>
      <w:proofErr w:type="spellStart"/>
      <w:r>
        <w:t>nonmeritorious</w:t>
      </w:r>
      <w:proofErr w:type="spellEnd"/>
      <w:r>
        <w:t xml:space="preserve"> cases from clogging the Supreme Court. </w:t>
      </w:r>
    </w:p>
    <w:p w14:paraId="2CB33F66" w14:textId="77777777" w:rsidR="00F8654F" w:rsidRDefault="00D87A8F">
      <w:pPr>
        <w:spacing w:after="117" w:line="259" w:lineRule="auto"/>
        <w:ind w:left="0" w:firstLine="0"/>
        <w:jc w:val="left"/>
      </w:pPr>
      <w:r>
        <w:t xml:space="preserve"> </w:t>
      </w:r>
    </w:p>
    <w:p w14:paraId="739407FD" w14:textId="77777777" w:rsidR="00F8654F" w:rsidRDefault="00D87A8F">
      <w:pPr>
        <w:spacing w:after="2" w:line="357" w:lineRule="auto"/>
        <w:ind w:left="-15" w:firstLine="720"/>
      </w:pPr>
      <w:r>
        <w:t xml:space="preserve">In the case </w:t>
      </w:r>
      <w:r>
        <w:rPr>
          <w:b/>
        </w:rPr>
        <w:t xml:space="preserve">of </w:t>
      </w:r>
      <w:proofErr w:type="spellStart"/>
      <w:r>
        <w:rPr>
          <w:b/>
        </w:rPr>
        <w:t>Gershem</w:t>
      </w:r>
      <w:proofErr w:type="spellEnd"/>
      <w:r>
        <w:rPr>
          <w:b/>
        </w:rPr>
        <w:t xml:space="preserve"> </w:t>
      </w:r>
      <w:proofErr w:type="spellStart"/>
      <w:r>
        <w:rPr>
          <w:b/>
        </w:rPr>
        <w:t>Mubingi</w:t>
      </w:r>
      <w:proofErr w:type="spellEnd"/>
      <w:r>
        <w:rPr>
          <w:b/>
        </w:rPr>
        <w:t xml:space="preserve"> v The Zimbabwe Bata Shoe Company SC 115/23</w:t>
      </w:r>
      <w:r>
        <w:t xml:space="preserve">, it was stated as follows: </w:t>
      </w:r>
    </w:p>
    <w:p w14:paraId="1103703F" w14:textId="77777777" w:rsidR="00F8654F" w:rsidRDefault="00D87A8F">
      <w:pPr>
        <w:spacing w:after="0" w:line="357" w:lineRule="auto"/>
        <w:ind w:left="-5"/>
      </w:pPr>
      <w:r>
        <w:rPr>
          <w:i/>
        </w:rPr>
        <w:t xml:space="preserve"> "In terms of </w:t>
      </w:r>
      <w:r>
        <w:rPr>
          <w:b/>
          <w:i/>
        </w:rPr>
        <w:t>Section 92F (1</w:t>
      </w:r>
      <w:r>
        <w:rPr>
          <w:i/>
        </w:rPr>
        <w:t xml:space="preserve">) of the </w:t>
      </w:r>
      <w:r>
        <w:rPr>
          <w:b/>
          <w:i/>
        </w:rPr>
        <w:t>Labour Act [Chapter 28:01]</w:t>
      </w:r>
      <w:r>
        <w:rPr>
          <w:i/>
        </w:rPr>
        <w:t xml:space="preserve"> an appeal from the Labour Court can only be on a question of law. It is therefore necessary to determine whether the intended grounds of appeal raise questions of law." </w:t>
      </w:r>
    </w:p>
    <w:p w14:paraId="4BF5D39D" w14:textId="77777777" w:rsidR="00F8654F" w:rsidRDefault="00D87A8F">
      <w:pPr>
        <w:spacing w:after="117" w:line="259" w:lineRule="auto"/>
        <w:ind w:left="0" w:firstLine="0"/>
        <w:jc w:val="left"/>
      </w:pPr>
      <w:r>
        <w:t xml:space="preserve"> </w:t>
      </w:r>
    </w:p>
    <w:p w14:paraId="30C406C0" w14:textId="77777777" w:rsidR="00F8654F" w:rsidRDefault="00D87A8F">
      <w:pPr>
        <w:spacing w:after="0" w:line="357" w:lineRule="auto"/>
        <w:ind w:left="-15" w:firstLine="720"/>
      </w:pPr>
      <w:r>
        <w:t xml:space="preserve">In </w:t>
      </w:r>
      <w:r>
        <w:rPr>
          <w:b/>
        </w:rPr>
        <w:t xml:space="preserve">AG v </w:t>
      </w:r>
      <w:proofErr w:type="spellStart"/>
      <w:r>
        <w:rPr>
          <w:b/>
        </w:rPr>
        <w:t>Muchadehama</w:t>
      </w:r>
      <w:proofErr w:type="spellEnd"/>
      <w:r>
        <w:rPr>
          <w:b/>
        </w:rPr>
        <w:t xml:space="preserve"> and Anor SC/4/14</w:t>
      </w:r>
      <w:r>
        <w:t xml:space="preserve"> the then </w:t>
      </w:r>
      <w:r>
        <w:rPr>
          <w:b/>
        </w:rPr>
        <w:t>Deputy Chief Justice Malaba</w:t>
      </w:r>
      <w:r>
        <w:t xml:space="preserve"> stated as follows: </w:t>
      </w:r>
    </w:p>
    <w:p w14:paraId="6B43CFFC" w14:textId="77777777" w:rsidR="00F8654F" w:rsidRDefault="00D87A8F">
      <w:pPr>
        <w:spacing w:after="0" w:line="357" w:lineRule="auto"/>
        <w:ind w:left="-5"/>
      </w:pPr>
      <w:r>
        <w:rPr>
          <w:i/>
        </w:rPr>
        <w:t xml:space="preserve"> "The object of giving tribunal power to grant or refuse leave to appeal is to enable it to control what it should hear and ipso facto prevent frivolous and unnecessary appeals that would taint the process of the intermediate appellate court." </w:t>
      </w:r>
    </w:p>
    <w:p w14:paraId="238EE764" w14:textId="77777777" w:rsidR="00F8654F" w:rsidRDefault="00D87A8F">
      <w:pPr>
        <w:spacing w:after="114" w:line="259" w:lineRule="auto"/>
        <w:ind w:left="0" w:firstLine="0"/>
        <w:jc w:val="left"/>
      </w:pPr>
      <w:r>
        <w:rPr>
          <w:b/>
        </w:rPr>
        <w:t xml:space="preserve"> </w:t>
      </w:r>
    </w:p>
    <w:p w14:paraId="3C4FAFEF" w14:textId="77777777" w:rsidR="00F8654F" w:rsidRDefault="00D87A8F">
      <w:pPr>
        <w:pStyle w:val="Heading1"/>
        <w:ind w:left="-5" w:right="0"/>
      </w:pPr>
      <w:r>
        <w:t xml:space="preserve">ANALYSIS OF GROUNDS OF APPEAL Ground 1 </w:t>
      </w:r>
    </w:p>
    <w:p w14:paraId="581D3E09" w14:textId="77777777" w:rsidR="00F8654F" w:rsidRDefault="00D87A8F">
      <w:pPr>
        <w:ind w:left="-5"/>
      </w:pPr>
      <w:r>
        <w:t xml:space="preserve"> The applicant submitted that the court erred in holding that the 1year contract was impliedly ratified by 1</w:t>
      </w:r>
      <w:r>
        <w:rPr>
          <w:vertAlign w:val="superscript"/>
        </w:rPr>
        <w:t>st</w:t>
      </w:r>
      <w:r>
        <w:t xml:space="preserve"> respondent's board of directors which issue was not raised or argued by the parties. This is a fanciful argument. There was no need for parties to raise it or argue about it. The court came to this conclusion having observed that from the evidence on record, there is none showing </w:t>
      </w:r>
      <w:r>
        <w:lastRenderedPageBreak/>
        <w:t>that the 1</w:t>
      </w:r>
      <w:r>
        <w:rPr>
          <w:vertAlign w:val="superscript"/>
        </w:rPr>
        <w:t>st</w:t>
      </w:r>
      <w:r>
        <w:t xml:space="preserve"> respondent's board disowned the contract. On the contrary, the board showed that it was fully aware of the 1-year contract and it comes as no wonder that it came up with a resolution of 18 June 2024 not to renew the same contract. After the resolution of 14 September 2023, the board came up with another resolution of 9 November 2023 that the applicant be offered 3-month contract. The facts on record show that the board was aware that the applicant had not been offered a four-year contract.  This evidence would not require the issue to be raised by any party because the record speaks for itself. </w:t>
      </w:r>
    </w:p>
    <w:p w14:paraId="74E1D3C8" w14:textId="77777777" w:rsidR="00F8654F" w:rsidRDefault="00D87A8F">
      <w:pPr>
        <w:spacing w:after="114" w:line="259" w:lineRule="auto"/>
        <w:ind w:left="0" w:firstLine="0"/>
        <w:jc w:val="left"/>
      </w:pPr>
      <w:r>
        <w:t xml:space="preserve"> </w:t>
      </w:r>
    </w:p>
    <w:p w14:paraId="16868ACE" w14:textId="77777777" w:rsidR="00F8654F" w:rsidRDefault="00D87A8F">
      <w:pPr>
        <w:ind w:left="-15" w:firstLine="720"/>
      </w:pPr>
      <w:r>
        <w:t xml:space="preserve">In any event the validity of the 1year contract was decided not only on ratification but on other legal principles that have not been challenged. Among other reasons the court in its judgment found it misplaced for the arbitrator to try and indirectly a resolution of 9 November 2023 and interpret it mean the contract of 5 December 2023 was a nullity. This was contrary to the doctrine of sanctity of contracts. In the judgment the court made it clear that courts do not write contracts for parties. The applicant never made an attempt to challenge that contract until he was given notice of non-renewal of the contract. </w:t>
      </w:r>
    </w:p>
    <w:p w14:paraId="4287D0EF" w14:textId="77777777" w:rsidR="00F8654F" w:rsidRDefault="00D87A8F">
      <w:pPr>
        <w:spacing w:after="114" w:line="259" w:lineRule="auto"/>
        <w:ind w:left="0" w:firstLine="0"/>
        <w:jc w:val="left"/>
      </w:pPr>
      <w:r>
        <w:t xml:space="preserve"> </w:t>
      </w:r>
    </w:p>
    <w:p w14:paraId="6F674154" w14:textId="77777777" w:rsidR="00F8654F" w:rsidRDefault="00D87A8F">
      <w:pPr>
        <w:ind w:left="-15" w:firstLine="720"/>
      </w:pPr>
      <w:r>
        <w:t>There is nothing illegal about this contract because it means all the essentials of a contract of employment. The court in the judgment found it scandalous for the arbitrator to conclude that the 1</w:t>
      </w:r>
      <w:r>
        <w:rPr>
          <w:vertAlign w:val="superscript"/>
        </w:rPr>
        <w:t>st</w:t>
      </w:r>
      <w:r>
        <w:t xml:space="preserve"> respondent must pay applicant the remaining 3 years of the contract without first making a finding whether the resolution of 14 September 2024 was contract of employment. The parties entered a binding contract of employment. It was a serious misdirection on a point of law to come the conclusion that the resolution of 14 September 2023 created or constituted a contract of employment such that the applicant was owed salaries for remaining 3 years. </w:t>
      </w:r>
    </w:p>
    <w:p w14:paraId="674231EB" w14:textId="77777777" w:rsidR="00F8654F" w:rsidRDefault="00D87A8F">
      <w:pPr>
        <w:ind w:left="-5"/>
      </w:pPr>
      <w:r>
        <w:t xml:space="preserve">It is apparent that there is no legal issue or a question of law worth of referral to the Supreme Court. There are no prospects of success on this ground. </w:t>
      </w:r>
    </w:p>
    <w:p w14:paraId="7181EEB1" w14:textId="77777777" w:rsidR="00F8654F" w:rsidRDefault="00D87A8F">
      <w:pPr>
        <w:spacing w:after="117" w:line="259" w:lineRule="auto"/>
        <w:ind w:left="0" w:firstLine="0"/>
        <w:jc w:val="left"/>
      </w:pPr>
      <w:r>
        <w:t xml:space="preserve"> </w:t>
      </w:r>
    </w:p>
    <w:p w14:paraId="20AEF2D7" w14:textId="77777777" w:rsidR="00F8654F" w:rsidRDefault="00D87A8F">
      <w:pPr>
        <w:pStyle w:val="Heading1"/>
        <w:ind w:left="-5" w:right="0"/>
      </w:pPr>
      <w:r>
        <w:t>Ground 2</w:t>
      </w:r>
      <w:r>
        <w:rPr>
          <w:b w:val="0"/>
        </w:rPr>
        <w:t xml:space="preserve"> </w:t>
      </w:r>
    </w:p>
    <w:p w14:paraId="72A6E337" w14:textId="77777777" w:rsidR="00F8654F" w:rsidRDefault="00D87A8F">
      <w:pPr>
        <w:spacing w:after="162"/>
        <w:ind w:left="-5"/>
      </w:pPr>
      <w:r>
        <w:t xml:space="preserve"> This ground raises a similar issue dealt with above. As explained in the judgment, this 1year contract was valid and both parties performed in accordance with its terms. The 1</w:t>
      </w:r>
      <w:r>
        <w:rPr>
          <w:vertAlign w:val="superscript"/>
        </w:rPr>
        <w:t>st</w:t>
      </w:r>
      <w:r>
        <w:t xml:space="preserve"> respondent's board did not disassociate itself from it. It showed that it had knowledge of the contract by coming </w:t>
      </w:r>
      <w:r>
        <w:lastRenderedPageBreak/>
        <w:t>up with a resolution not to renew it after it was discovered that applicant was a poor performer. The contract was a result of two parties with their full consent, which cannot be set aside on the basis that there was no resolution backing it especially in circumstances where the board of the 1</w:t>
      </w:r>
      <w:r>
        <w:rPr>
          <w:vertAlign w:val="superscript"/>
        </w:rPr>
        <w:t>st</w:t>
      </w:r>
      <w:r>
        <w:t xml:space="preserve"> respondent has got no issues with it. The contract has not been set aside. It is extant.  </w:t>
      </w:r>
    </w:p>
    <w:p w14:paraId="0767AF44" w14:textId="77777777" w:rsidR="00F8654F" w:rsidRDefault="00D87A8F">
      <w:pPr>
        <w:spacing w:after="274" w:line="259" w:lineRule="auto"/>
        <w:ind w:left="0" w:firstLine="0"/>
        <w:jc w:val="left"/>
      </w:pPr>
      <w:r>
        <w:t xml:space="preserve"> </w:t>
      </w:r>
    </w:p>
    <w:p w14:paraId="2FBB87F7" w14:textId="77777777" w:rsidR="00F8654F" w:rsidRDefault="00D87A8F">
      <w:pPr>
        <w:spacing w:after="151"/>
        <w:ind w:left="-5"/>
      </w:pPr>
      <w:r>
        <w:t xml:space="preserve">There is no merit in this ground. In respect of both ground 1 and 2, applicant never made an attempt to explain the effect of him entering into the 1year contract vis a viz the principles governing contracts. </w:t>
      </w:r>
    </w:p>
    <w:p w14:paraId="485BD46A" w14:textId="77777777" w:rsidR="00F8654F" w:rsidRDefault="00D87A8F">
      <w:pPr>
        <w:spacing w:after="114" w:line="259" w:lineRule="auto"/>
        <w:ind w:left="0" w:firstLine="0"/>
        <w:jc w:val="left"/>
      </w:pPr>
      <w:r>
        <w:t xml:space="preserve"> </w:t>
      </w:r>
    </w:p>
    <w:p w14:paraId="05F0BD81" w14:textId="77777777" w:rsidR="00F8654F" w:rsidRDefault="00D87A8F">
      <w:pPr>
        <w:pStyle w:val="Heading1"/>
        <w:ind w:left="-5" w:right="0"/>
      </w:pPr>
      <w:r>
        <w:t xml:space="preserve">Ground 3 </w:t>
      </w:r>
    </w:p>
    <w:p w14:paraId="7FA2ACEA" w14:textId="77777777" w:rsidR="00F8654F" w:rsidRDefault="00D87A8F">
      <w:pPr>
        <w:ind w:left="-5"/>
      </w:pPr>
      <w:r>
        <w:t xml:space="preserve"> The applicant's main argument is to the effect that the defective notice given by the 1</w:t>
      </w:r>
      <w:r>
        <w:rPr>
          <w:vertAlign w:val="superscript"/>
        </w:rPr>
        <w:t>st</w:t>
      </w:r>
      <w:r>
        <w:t xml:space="preserve"> respondent meant that the 1-year contract was automatically renewed. The case of </w:t>
      </w:r>
      <w:r>
        <w:rPr>
          <w:b/>
        </w:rPr>
        <w:t>Hwange Colliery Coy Ltd v Alliance Media HH 247/19</w:t>
      </w:r>
      <w:r>
        <w:t xml:space="preserve"> was cited in a bid to buttress this point. </w:t>
      </w:r>
    </w:p>
    <w:p w14:paraId="1ED08FE9" w14:textId="77777777" w:rsidR="00F8654F" w:rsidRDefault="00D87A8F">
      <w:pPr>
        <w:spacing w:after="125" w:line="259" w:lineRule="auto"/>
        <w:ind w:left="0" w:firstLine="0"/>
        <w:jc w:val="left"/>
      </w:pPr>
      <w:r>
        <w:t xml:space="preserve"> </w:t>
      </w:r>
    </w:p>
    <w:p w14:paraId="422D9DB5" w14:textId="77777777" w:rsidR="00F8654F" w:rsidRDefault="00D87A8F">
      <w:pPr>
        <w:ind w:left="-15" w:firstLine="720"/>
      </w:pPr>
      <w:r>
        <w:t>The 1</w:t>
      </w:r>
      <w:r>
        <w:rPr>
          <w:vertAlign w:val="superscript"/>
        </w:rPr>
        <w:t>st</w:t>
      </w:r>
      <w:r>
        <w:t xml:space="preserve"> respondent's argument was to the effect that the contract of employment in </w:t>
      </w:r>
      <w:proofErr w:type="spellStart"/>
      <w:r>
        <w:t>casu</w:t>
      </w:r>
      <w:proofErr w:type="spellEnd"/>
      <w:r>
        <w:t xml:space="preserve"> was not terminated but came to an end through effluxion of time. It was argued that there was no basis to come to a conclusion that there was tacit relocation of contract. </w:t>
      </w:r>
    </w:p>
    <w:p w14:paraId="6B080E34" w14:textId="77777777" w:rsidR="00F8654F" w:rsidRDefault="00D87A8F">
      <w:pPr>
        <w:spacing w:after="114" w:line="259" w:lineRule="auto"/>
        <w:ind w:left="0" w:firstLine="0"/>
        <w:jc w:val="left"/>
      </w:pPr>
      <w:r>
        <w:t xml:space="preserve"> </w:t>
      </w:r>
    </w:p>
    <w:p w14:paraId="2F15DED9" w14:textId="77777777" w:rsidR="00F8654F" w:rsidRDefault="00D87A8F">
      <w:pPr>
        <w:ind w:left="-15" w:firstLine="720"/>
      </w:pPr>
      <w:r>
        <w:t xml:space="preserve">First and foremost, the challenge with this ground is that it runs contrary to other grounds without it being stated in the alternative. The grounds 1 and 2 cannot co-exist with this ground which seeks to allege the contract of 5 December was enforceable and therefore was tacitly renewed. The first two grounds seek to have the 1-year contract declared a nullity for being </w:t>
      </w:r>
      <w:proofErr w:type="spellStart"/>
      <w:r>
        <w:t>ultravires</w:t>
      </w:r>
      <w:proofErr w:type="spellEnd"/>
      <w:r>
        <w:t xml:space="preserve"> the board resolution. </w:t>
      </w:r>
    </w:p>
    <w:p w14:paraId="7512EB58" w14:textId="77777777" w:rsidR="00F8654F" w:rsidRDefault="00D87A8F">
      <w:pPr>
        <w:spacing w:after="114" w:line="259" w:lineRule="auto"/>
        <w:ind w:left="0" w:firstLine="0"/>
        <w:jc w:val="left"/>
      </w:pPr>
      <w:r>
        <w:t xml:space="preserve"> </w:t>
      </w:r>
    </w:p>
    <w:p w14:paraId="71DB77DE" w14:textId="77777777" w:rsidR="00F8654F" w:rsidRDefault="00D87A8F">
      <w:pPr>
        <w:ind w:left="-15" w:firstLine="720"/>
      </w:pPr>
      <w:r>
        <w:t xml:space="preserve">However, the court is saying this in passing since it was not argued by the parties. It is important, however, to take note of the fact that the case cited by the applicant, </w:t>
      </w:r>
      <w:r>
        <w:rPr>
          <w:b/>
        </w:rPr>
        <w:t xml:space="preserve">Hwange Colliery Coy Ltd v Alliance Media </w:t>
      </w:r>
      <w:r>
        <w:t xml:space="preserve">(supra) does not support its cause. The case is distinguishable from the one at hand in that, the Hwange Colliery case, both parties did not give the other notice of termination of lease. The contract came to an end by effluxion of time. It was therefore concluded </w:t>
      </w:r>
      <w:r>
        <w:lastRenderedPageBreak/>
        <w:t xml:space="preserve">that there was tacit renewal after effluxion of time. In </w:t>
      </w:r>
      <w:proofErr w:type="spellStart"/>
      <w:r>
        <w:t>casu</w:t>
      </w:r>
      <w:proofErr w:type="spellEnd"/>
      <w:r>
        <w:t xml:space="preserve">, notice of non-renewal was given before the expiry of the contract. The only defect being that the 3 months’ notice was short by 3 days. </w:t>
      </w:r>
    </w:p>
    <w:p w14:paraId="0B9264E1" w14:textId="77777777" w:rsidR="00F8654F" w:rsidRDefault="00D87A8F">
      <w:pPr>
        <w:ind w:left="-5"/>
      </w:pPr>
      <w:r>
        <w:t>This cannot invalidate the contract notice already given and the court has not been referred to any authority.</w:t>
      </w:r>
      <w:r>
        <w:rPr>
          <w:rFonts w:ascii="Arial" w:eastAsia="Arial" w:hAnsi="Arial" w:cs="Arial"/>
        </w:rPr>
        <w:t xml:space="preserve"> </w:t>
      </w:r>
    </w:p>
    <w:p w14:paraId="0A34CE81" w14:textId="77777777" w:rsidR="00F8654F" w:rsidRDefault="00D87A8F">
      <w:pPr>
        <w:spacing w:after="114" w:line="259" w:lineRule="auto"/>
        <w:ind w:left="0" w:firstLine="0"/>
        <w:jc w:val="left"/>
      </w:pPr>
      <w:r>
        <w:t xml:space="preserve"> </w:t>
      </w:r>
    </w:p>
    <w:p w14:paraId="26E2D846" w14:textId="77777777" w:rsidR="00F8654F" w:rsidRDefault="00D87A8F">
      <w:pPr>
        <w:ind w:left="-15" w:firstLine="720"/>
      </w:pPr>
      <w:r>
        <w:t xml:space="preserve">In any event the issue the arbitrator dealt with which the respondent took on appeal, was that the arbitrator had come to a wrong conclusion that the applicant was dismissed unfairly and concluding that notice period required was in terms of </w:t>
      </w:r>
      <w:r>
        <w:rPr>
          <w:b/>
        </w:rPr>
        <w:t>Section 12(4)</w:t>
      </w:r>
      <w:r>
        <w:t xml:space="preserve"> of the </w:t>
      </w:r>
      <w:r>
        <w:rPr>
          <w:b/>
        </w:rPr>
        <w:t>Act.</w:t>
      </w:r>
      <w:r>
        <w:t xml:space="preserve"> The court concluded that he erred because what was before him was a fixed term contract which came to an end by effluxion of time. This was a common cause fact. That decision could not stand.  </w:t>
      </w:r>
    </w:p>
    <w:p w14:paraId="678FABC0" w14:textId="77777777" w:rsidR="00F8654F" w:rsidRDefault="00D87A8F">
      <w:pPr>
        <w:ind w:left="-15" w:firstLine="720"/>
      </w:pPr>
      <w:r>
        <w:t xml:space="preserve">In view of the foregoing, it is apparent that the notice of appeal raises no serious points of law which can add value to our jurisprudence.  The application for leave to appeal is bound to fail. </w:t>
      </w:r>
    </w:p>
    <w:p w14:paraId="0DBCD90B" w14:textId="77777777" w:rsidR="00F8654F" w:rsidRDefault="00D87A8F">
      <w:pPr>
        <w:spacing w:after="114" w:line="259" w:lineRule="auto"/>
        <w:ind w:left="0" w:firstLine="0"/>
        <w:jc w:val="left"/>
      </w:pPr>
      <w:r>
        <w:t xml:space="preserve"> </w:t>
      </w:r>
    </w:p>
    <w:p w14:paraId="20DF2AE1" w14:textId="77777777" w:rsidR="00F8654F" w:rsidRDefault="00D87A8F">
      <w:pPr>
        <w:pStyle w:val="Heading1"/>
        <w:spacing w:after="143"/>
        <w:ind w:left="-5" w:right="0"/>
      </w:pPr>
      <w:r>
        <w:t xml:space="preserve">DISPOSITION </w:t>
      </w:r>
    </w:p>
    <w:p w14:paraId="2C7CAFD7" w14:textId="77777777" w:rsidR="00F8654F" w:rsidRDefault="00D87A8F">
      <w:pPr>
        <w:tabs>
          <w:tab w:val="center" w:pos="2080"/>
        </w:tabs>
        <w:spacing w:after="128" w:line="259" w:lineRule="auto"/>
        <w:ind w:left="-15" w:firstLine="0"/>
        <w:jc w:val="left"/>
      </w:pPr>
      <w:r>
        <w:t xml:space="preserve"> </w:t>
      </w:r>
      <w:r>
        <w:tab/>
        <w:t xml:space="preserve">Wherefore it is ordered that: </w:t>
      </w:r>
    </w:p>
    <w:p w14:paraId="46728420" w14:textId="77777777" w:rsidR="00F8654F" w:rsidRDefault="00D87A8F">
      <w:pPr>
        <w:spacing w:after="114" w:line="259" w:lineRule="auto"/>
        <w:ind w:left="360" w:firstLine="0"/>
        <w:jc w:val="left"/>
      </w:pPr>
      <w:r>
        <w:t>1.</w:t>
      </w:r>
      <w:r>
        <w:rPr>
          <w:rFonts w:ascii="Arial" w:eastAsia="Arial" w:hAnsi="Arial" w:cs="Arial"/>
        </w:rPr>
        <w:t xml:space="preserve"> </w:t>
      </w:r>
      <w:r>
        <w:t xml:space="preserve">The application for leave to appeal be and is hereby dismissed with costs. </w:t>
      </w:r>
    </w:p>
    <w:p w14:paraId="3243A23B" w14:textId="77777777" w:rsidR="00F8654F" w:rsidRDefault="00D87A8F">
      <w:pPr>
        <w:spacing w:after="143" w:line="259" w:lineRule="auto"/>
        <w:ind w:left="0" w:firstLine="0"/>
        <w:jc w:val="left"/>
      </w:pPr>
      <w:r>
        <w:t xml:space="preserve"> </w:t>
      </w:r>
    </w:p>
    <w:p w14:paraId="67B38CC5" w14:textId="77777777" w:rsidR="00F8654F" w:rsidRDefault="00D87A8F">
      <w:pPr>
        <w:tabs>
          <w:tab w:val="center" w:pos="2880"/>
          <w:tab w:val="center" w:pos="3600"/>
          <w:tab w:val="center" w:pos="4320"/>
          <w:tab w:val="center" w:pos="6546"/>
        </w:tabs>
        <w:spacing w:after="150" w:line="259" w:lineRule="auto"/>
        <w:ind w:left="-15" w:firstLine="0"/>
        <w:jc w:val="left"/>
      </w:pPr>
      <w:proofErr w:type="spellStart"/>
      <w:r>
        <w:rPr>
          <w:i/>
        </w:rPr>
        <w:t>Atherstone</w:t>
      </w:r>
      <w:proofErr w:type="spellEnd"/>
      <w:r>
        <w:rPr>
          <w:i/>
        </w:rPr>
        <w:t xml:space="preserve"> and </w:t>
      </w:r>
      <w:proofErr w:type="gramStart"/>
      <w:r>
        <w:rPr>
          <w:i/>
        </w:rPr>
        <w:t xml:space="preserve">Cook,  </w:t>
      </w:r>
      <w:r>
        <w:rPr>
          <w:i/>
        </w:rPr>
        <w:tab/>
      </w:r>
      <w:proofErr w:type="gramEnd"/>
      <w:r>
        <w:rPr>
          <w:i/>
        </w:rPr>
        <w:t xml:space="preserve"> </w:t>
      </w:r>
      <w:r>
        <w:rPr>
          <w:i/>
        </w:rPr>
        <w:tab/>
        <w:t xml:space="preserve"> </w:t>
      </w:r>
      <w:r>
        <w:rPr>
          <w:i/>
        </w:rPr>
        <w:tab/>
        <w:t xml:space="preserve"> </w:t>
      </w:r>
      <w:r>
        <w:rPr>
          <w:i/>
        </w:rPr>
        <w:tab/>
        <w:t xml:space="preserve">Appellant's Legal Practitioners </w:t>
      </w:r>
    </w:p>
    <w:p w14:paraId="6E2C4B83" w14:textId="77777777" w:rsidR="00F8654F" w:rsidRDefault="00D87A8F">
      <w:pPr>
        <w:tabs>
          <w:tab w:val="center" w:pos="2880"/>
          <w:tab w:val="center" w:pos="3600"/>
          <w:tab w:val="center" w:pos="4320"/>
          <w:tab w:val="center" w:pos="6809"/>
        </w:tabs>
        <w:spacing w:after="120" w:line="259" w:lineRule="auto"/>
        <w:ind w:left="-15" w:firstLine="0"/>
        <w:jc w:val="left"/>
      </w:pPr>
      <w:r>
        <w:rPr>
          <w:i/>
        </w:rPr>
        <w:t xml:space="preserve">Mtetwa &amp; </w:t>
      </w:r>
      <w:proofErr w:type="spellStart"/>
      <w:proofErr w:type="gramStart"/>
      <w:r>
        <w:rPr>
          <w:i/>
        </w:rPr>
        <w:t>Nyambirai</w:t>
      </w:r>
      <w:proofErr w:type="spellEnd"/>
      <w:r>
        <w:rPr>
          <w:i/>
        </w:rPr>
        <w:t xml:space="preserve">,  </w:t>
      </w:r>
      <w:r>
        <w:rPr>
          <w:i/>
        </w:rPr>
        <w:tab/>
      </w:r>
      <w:proofErr w:type="gramEnd"/>
      <w:r>
        <w:rPr>
          <w:i/>
        </w:rPr>
        <w:t xml:space="preserve"> </w:t>
      </w:r>
      <w:r>
        <w:rPr>
          <w:i/>
        </w:rPr>
        <w:tab/>
        <w:t xml:space="preserve"> </w:t>
      </w:r>
      <w:r>
        <w:rPr>
          <w:i/>
        </w:rPr>
        <w:tab/>
        <w:t xml:space="preserve"> </w:t>
      </w:r>
      <w:r>
        <w:rPr>
          <w:i/>
        </w:rPr>
        <w:tab/>
        <w:t xml:space="preserve">1st Respondent's Legal Practitioners </w:t>
      </w:r>
    </w:p>
    <w:p w14:paraId="3459DAA6" w14:textId="77777777" w:rsidR="00F8654F" w:rsidRDefault="00D87A8F">
      <w:pPr>
        <w:spacing w:after="112" w:line="259" w:lineRule="auto"/>
        <w:ind w:left="59" w:firstLine="0"/>
        <w:jc w:val="center"/>
      </w:pPr>
      <w:r>
        <w:t xml:space="preserve"> </w:t>
      </w:r>
    </w:p>
    <w:p w14:paraId="7625E818" w14:textId="77777777" w:rsidR="00F8654F" w:rsidRDefault="00D87A8F">
      <w:pPr>
        <w:spacing w:after="0" w:line="357" w:lineRule="auto"/>
        <w:ind w:left="3600" w:right="5702" w:firstLine="0"/>
        <w:jc w:val="left"/>
      </w:pPr>
      <w:r>
        <w:rPr>
          <w:b/>
        </w:rPr>
        <w:t xml:space="preserve">   </w:t>
      </w:r>
    </w:p>
    <w:p w14:paraId="2745E019" w14:textId="77777777" w:rsidR="00F8654F" w:rsidRDefault="00D87A8F">
      <w:pPr>
        <w:spacing w:after="114" w:line="259" w:lineRule="auto"/>
        <w:ind w:left="0" w:right="995" w:firstLine="0"/>
        <w:jc w:val="center"/>
      </w:pPr>
      <w:r>
        <w:rPr>
          <w:b/>
        </w:rPr>
        <w:t xml:space="preserve">TSIKWA J </w:t>
      </w:r>
    </w:p>
    <w:p w14:paraId="3EB2F0D4" w14:textId="77777777" w:rsidR="00F8654F" w:rsidRDefault="00D87A8F">
      <w:pPr>
        <w:spacing w:after="0" w:line="259" w:lineRule="auto"/>
        <w:ind w:left="0" w:firstLine="0"/>
        <w:jc w:val="left"/>
      </w:pPr>
      <w:r>
        <w:rPr>
          <w:color w:val="000000"/>
        </w:rPr>
        <w:t xml:space="preserve">     </w:t>
      </w:r>
    </w:p>
    <w:sectPr w:rsidR="00F8654F">
      <w:headerReference w:type="even" r:id="rId6"/>
      <w:headerReference w:type="default" r:id="rId7"/>
      <w:headerReference w:type="first" r:id="rId8"/>
      <w:pgSz w:w="12240" w:h="15840"/>
      <w:pgMar w:top="1498" w:right="1438" w:bottom="1638" w:left="1440" w:header="765"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8F7CA" w14:textId="77777777" w:rsidR="00BE7CD1" w:rsidRDefault="00BE7CD1">
      <w:pPr>
        <w:spacing w:after="0" w:line="240" w:lineRule="auto"/>
      </w:pPr>
      <w:r>
        <w:separator/>
      </w:r>
    </w:p>
  </w:endnote>
  <w:endnote w:type="continuationSeparator" w:id="0">
    <w:p w14:paraId="5D8B42AE" w14:textId="77777777" w:rsidR="00BE7CD1" w:rsidRDefault="00BE7C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29709" w14:textId="77777777" w:rsidR="00BE7CD1" w:rsidRDefault="00BE7CD1">
      <w:pPr>
        <w:spacing w:after="0" w:line="240" w:lineRule="auto"/>
      </w:pPr>
      <w:r>
        <w:separator/>
      </w:r>
    </w:p>
  </w:footnote>
  <w:footnote w:type="continuationSeparator" w:id="0">
    <w:p w14:paraId="6EB934BE" w14:textId="77777777" w:rsidR="00BE7CD1" w:rsidRDefault="00BE7C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78493" w14:textId="77777777" w:rsidR="00F8654F" w:rsidRDefault="00D87A8F">
    <w:pPr>
      <w:spacing w:after="10" w:line="259" w:lineRule="auto"/>
      <w:ind w:left="0" w:right="1" w:firstLine="0"/>
      <w:jc w:val="right"/>
    </w:pPr>
    <w:r>
      <w:fldChar w:fldCharType="begin"/>
    </w:r>
    <w:r>
      <w:instrText xml:space="preserve"> PAGE   \* MERGEFORMAT </w:instrText>
    </w:r>
    <w:r>
      <w:fldChar w:fldCharType="separate"/>
    </w:r>
    <w:r>
      <w:rPr>
        <w:rFonts w:ascii="Calibri" w:eastAsia="Calibri" w:hAnsi="Calibri" w:cs="Calibri"/>
        <w:color w:val="000000"/>
        <w:sz w:val="22"/>
      </w:rPr>
      <w:t>1</w:t>
    </w:r>
    <w:r>
      <w:rPr>
        <w:rFonts w:ascii="Calibri" w:eastAsia="Calibri" w:hAnsi="Calibri" w:cs="Calibri"/>
        <w:color w:val="000000"/>
        <w:sz w:val="22"/>
      </w:rPr>
      <w:fldChar w:fldCharType="end"/>
    </w:r>
    <w:r>
      <w:rPr>
        <w:rFonts w:ascii="Calibri" w:eastAsia="Calibri" w:hAnsi="Calibri" w:cs="Calibri"/>
        <w:color w:val="000000"/>
        <w:sz w:val="22"/>
      </w:rPr>
      <w:t xml:space="preserve"> </w:t>
    </w:r>
  </w:p>
  <w:p w14:paraId="3EA600A0" w14:textId="77777777" w:rsidR="00F8654F" w:rsidRDefault="00D87A8F">
    <w:pPr>
      <w:tabs>
        <w:tab w:val="center" w:pos="4680"/>
        <w:tab w:val="right" w:pos="9362"/>
      </w:tabs>
      <w:spacing w:after="0" w:line="259" w:lineRule="auto"/>
      <w:ind w:left="0" w:firstLine="0"/>
      <w:jc w:val="left"/>
    </w:pPr>
    <w:r>
      <w:rPr>
        <w:rFonts w:ascii="Calibri" w:eastAsia="Calibri" w:hAnsi="Calibri" w:cs="Calibri"/>
        <w:color w:val="000000"/>
        <w:sz w:val="22"/>
      </w:rPr>
      <w:t xml:space="preserve"> </w:t>
    </w:r>
    <w:r>
      <w:rPr>
        <w:rFonts w:ascii="Calibri" w:eastAsia="Calibri" w:hAnsi="Calibri" w:cs="Calibri"/>
        <w:color w:val="000000"/>
        <w:sz w:val="22"/>
      </w:rPr>
      <w:tab/>
      <w:t xml:space="preserve"> </w:t>
    </w:r>
    <w:r>
      <w:rPr>
        <w:rFonts w:ascii="Calibri" w:eastAsia="Calibri" w:hAnsi="Calibri" w:cs="Calibri"/>
        <w:color w:val="000000"/>
        <w:sz w:val="22"/>
      </w:rPr>
      <w:tab/>
    </w:r>
    <w:r>
      <w:rPr>
        <w:b/>
        <w:color w:val="000000"/>
      </w:rPr>
      <w:t>LC/H /379/26</w:t>
    </w:r>
    <w:r>
      <w:rPr>
        <w:rFonts w:ascii="Calibri" w:eastAsia="Calibri" w:hAnsi="Calibri" w:cs="Calibri"/>
        <w:color w:val="000000"/>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B3F40" w14:textId="77777777" w:rsidR="00F8654F" w:rsidRDefault="00D87A8F">
    <w:pPr>
      <w:spacing w:after="10" w:line="259" w:lineRule="auto"/>
      <w:ind w:left="0" w:right="1" w:firstLine="0"/>
      <w:jc w:val="right"/>
    </w:pPr>
    <w:r>
      <w:fldChar w:fldCharType="begin"/>
    </w:r>
    <w:r>
      <w:instrText xml:space="preserve"> PAGE   \* MERGEFORMAT </w:instrText>
    </w:r>
    <w:r>
      <w:fldChar w:fldCharType="separate"/>
    </w:r>
    <w:r>
      <w:rPr>
        <w:rFonts w:ascii="Calibri" w:eastAsia="Calibri" w:hAnsi="Calibri" w:cs="Calibri"/>
        <w:color w:val="000000"/>
        <w:sz w:val="22"/>
      </w:rPr>
      <w:t>1</w:t>
    </w:r>
    <w:r>
      <w:rPr>
        <w:rFonts w:ascii="Calibri" w:eastAsia="Calibri" w:hAnsi="Calibri" w:cs="Calibri"/>
        <w:color w:val="000000"/>
        <w:sz w:val="22"/>
      </w:rPr>
      <w:fldChar w:fldCharType="end"/>
    </w:r>
    <w:r>
      <w:rPr>
        <w:rFonts w:ascii="Calibri" w:eastAsia="Calibri" w:hAnsi="Calibri" w:cs="Calibri"/>
        <w:color w:val="000000"/>
        <w:sz w:val="22"/>
      </w:rPr>
      <w:t xml:space="preserve"> </w:t>
    </w:r>
  </w:p>
  <w:p w14:paraId="3DB63B37" w14:textId="77777777" w:rsidR="00F8654F" w:rsidRDefault="00D87A8F">
    <w:pPr>
      <w:tabs>
        <w:tab w:val="center" w:pos="4680"/>
        <w:tab w:val="right" w:pos="9362"/>
      </w:tabs>
      <w:spacing w:after="0" w:line="259" w:lineRule="auto"/>
      <w:ind w:left="0" w:firstLine="0"/>
      <w:jc w:val="left"/>
    </w:pPr>
    <w:r>
      <w:rPr>
        <w:rFonts w:ascii="Calibri" w:eastAsia="Calibri" w:hAnsi="Calibri" w:cs="Calibri"/>
        <w:color w:val="000000"/>
        <w:sz w:val="22"/>
      </w:rPr>
      <w:t xml:space="preserve"> </w:t>
    </w:r>
    <w:r>
      <w:rPr>
        <w:rFonts w:ascii="Calibri" w:eastAsia="Calibri" w:hAnsi="Calibri" w:cs="Calibri"/>
        <w:color w:val="000000"/>
        <w:sz w:val="22"/>
      </w:rPr>
      <w:tab/>
      <w:t xml:space="preserve"> </w:t>
    </w:r>
    <w:r>
      <w:rPr>
        <w:rFonts w:ascii="Calibri" w:eastAsia="Calibri" w:hAnsi="Calibri" w:cs="Calibri"/>
        <w:color w:val="000000"/>
        <w:sz w:val="22"/>
      </w:rPr>
      <w:tab/>
    </w:r>
    <w:r>
      <w:rPr>
        <w:b/>
        <w:color w:val="000000"/>
      </w:rPr>
      <w:t>LC/H /379/26</w:t>
    </w:r>
    <w:r>
      <w:rPr>
        <w:rFonts w:ascii="Calibri" w:eastAsia="Calibri" w:hAnsi="Calibri" w:cs="Calibri"/>
        <w:color w:val="000000"/>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2766C" w14:textId="77777777" w:rsidR="00F8654F" w:rsidRDefault="00D87A8F">
    <w:pPr>
      <w:spacing w:after="10" w:line="259" w:lineRule="auto"/>
      <w:ind w:left="0" w:right="1" w:firstLine="0"/>
      <w:jc w:val="right"/>
    </w:pPr>
    <w:r>
      <w:fldChar w:fldCharType="begin"/>
    </w:r>
    <w:r>
      <w:instrText xml:space="preserve"> PAGE   \* MERGEFORMAT </w:instrText>
    </w:r>
    <w:r>
      <w:fldChar w:fldCharType="separate"/>
    </w:r>
    <w:r>
      <w:rPr>
        <w:rFonts w:ascii="Calibri" w:eastAsia="Calibri" w:hAnsi="Calibri" w:cs="Calibri"/>
        <w:color w:val="000000"/>
        <w:sz w:val="22"/>
      </w:rPr>
      <w:t>1</w:t>
    </w:r>
    <w:r>
      <w:rPr>
        <w:rFonts w:ascii="Calibri" w:eastAsia="Calibri" w:hAnsi="Calibri" w:cs="Calibri"/>
        <w:color w:val="000000"/>
        <w:sz w:val="22"/>
      </w:rPr>
      <w:fldChar w:fldCharType="end"/>
    </w:r>
    <w:r>
      <w:rPr>
        <w:rFonts w:ascii="Calibri" w:eastAsia="Calibri" w:hAnsi="Calibri" w:cs="Calibri"/>
        <w:color w:val="000000"/>
        <w:sz w:val="22"/>
      </w:rPr>
      <w:t xml:space="preserve"> </w:t>
    </w:r>
  </w:p>
  <w:p w14:paraId="37A5C2E2" w14:textId="77777777" w:rsidR="00F8654F" w:rsidRDefault="00D87A8F">
    <w:pPr>
      <w:tabs>
        <w:tab w:val="center" w:pos="4680"/>
        <w:tab w:val="right" w:pos="9362"/>
      </w:tabs>
      <w:spacing w:after="0" w:line="259" w:lineRule="auto"/>
      <w:ind w:left="0" w:firstLine="0"/>
      <w:jc w:val="left"/>
    </w:pPr>
    <w:r>
      <w:rPr>
        <w:rFonts w:ascii="Calibri" w:eastAsia="Calibri" w:hAnsi="Calibri" w:cs="Calibri"/>
        <w:color w:val="000000"/>
        <w:sz w:val="22"/>
      </w:rPr>
      <w:t xml:space="preserve"> </w:t>
    </w:r>
    <w:r>
      <w:rPr>
        <w:rFonts w:ascii="Calibri" w:eastAsia="Calibri" w:hAnsi="Calibri" w:cs="Calibri"/>
        <w:color w:val="000000"/>
        <w:sz w:val="22"/>
      </w:rPr>
      <w:tab/>
      <w:t xml:space="preserve"> </w:t>
    </w:r>
    <w:r>
      <w:rPr>
        <w:rFonts w:ascii="Calibri" w:eastAsia="Calibri" w:hAnsi="Calibri" w:cs="Calibri"/>
        <w:color w:val="000000"/>
        <w:sz w:val="22"/>
      </w:rPr>
      <w:tab/>
    </w:r>
    <w:r>
      <w:rPr>
        <w:b/>
        <w:color w:val="000000"/>
      </w:rPr>
      <w:t>LC/H /379/26</w:t>
    </w:r>
    <w:r>
      <w:rPr>
        <w:rFonts w:ascii="Calibri" w:eastAsia="Calibri" w:hAnsi="Calibri" w:cs="Calibri"/>
        <w:color w:val="000000"/>
        <w:sz w:val="22"/>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54F"/>
    <w:rsid w:val="0008361A"/>
    <w:rsid w:val="00187556"/>
    <w:rsid w:val="00953A2E"/>
    <w:rsid w:val="00BE7CD1"/>
    <w:rsid w:val="00D87A8F"/>
    <w:rsid w:val="00F8654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842FD"/>
  <w15:docId w15:val="{32A9B231-1BEF-0148-8D76-65F4784D4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W"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367" w:lineRule="auto"/>
      <w:ind w:left="10" w:hanging="10"/>
      <w:jc w:val="both"/>
    </w:pPr>
    <w:rPr>
      <w:rFonts w:ascii="Times New Roman" w:eastAsia="Times New Roman" w:hAnsi="Times New Roman" w:cs="Times New Roman"/>
      <w:color w:val="222222"/>
      <w:lang w:val="en" w:eastAsia="en"/>
    </w:rPr>
  </w:style>
  <w:style w:type="paragraph" w:styleId="Heading1">
    <w:name w:val="heading 1"/>
    <w:next w:val="Normal"/>
    <w:link w:val="Heading1Char"/>
    <w:uiPriority w:val="9"/>
    <w:qFormat/>
    <w:pPr>
      <w:keepNext/>
      <w:keepLines/>
      <w:spacing w:after="114" w:line="259" w:lineRule="auto"/>
      <w:ind w:left="10" w:right="2" w:hanging="10"/>
      <w:jc w:val="both"/>
      <w:outlineLvl w:val="0"/>
    </w:pPr>
    <w:rPr>
      <w:rFonts w:ascii="Times New Roman" w:eastAsia="Times New Roman" w:hAnsi="Times New Roman" w:cs="Times New Roman"/>
      <w:b/>
      <w:color w:val="2222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22222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1592</Words>
  <Characters>9079</Characters>
  <Application>Microsoft Office Word</Application>
  <DocSecurity>0</DocSecurity>
  <Lines>75</Lines>
  <Paragraphs>21</Paragraphs>
  <ScaleCrop>false</ScaleCrop>
  <Company/>
  <LinksUpToDate>false</LinksUpToDate>
  <CharactersWithSpaces>10650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 LABOUR COURT</dc:creator>
  <cp:keywords/>
  <cp:lastModifiedBy>RESEARCHER</cp:lastModifiedBy>
  <cp:revision>2</cp:revision>
  <dcterms:created xsi:type="dcterms:W3CDTF">2026-06-12T11:11:00Z</dcterms:created>
  <dcterms:modified xsi:type="dcterms:W3CDTF">2026-06-12T11:11:00Z</dcterms:modified>
</cp:coreProperties>
</file>