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FEA" w:rsidRDefault="001D3F07">
      <w:pPr>
        <w:pStyle w:val="Heading1"/>
      </w:pPr>
      <w:bookmarkStart w:id="0" w:name="_GoBack"/>
      <w:bookmarkEnd w:id="0"/>
      <w:r>
        <w:t xml:space="preserve">DANIEL CHAMISA  </w:t>
      </w:r>
    </w:p>
    <w:p w:rsidR="006D6FEA" w:rsidRDefault="001D3F07">
      <w:pPr>
        <w:spacing w:after="50" w:line="240" w:lineRule="auto"/>
        <w:ind w:left="0" w:firstLine="0"/>
        <w:jc w:val="left"/>
      </w:pPr>
      <w:r>
        <w:rPr>
          <w:b/>
        </w:rPr>
        <w:t xml:space="preserve"> </w:t>
      </w:r>
    </w:p>
    <w:p w:rsidR="006D6FEA" w:rsidRDefault="001D3F07">
      <w:pPr>
        <w:pStyle w:val="Heading1"/>
      </w:pPr>
      <w:r>
        <w:t xml:space="preserve">Versus </w:t>
      </w:r>
    </w:p>
    <w:p w:rsidR="006D6FEA" w:rsidRDefault="001D3F07">
      <w:pPr>
        <w:spacing w:after="50" w:line="240" w:lineRule="auto"/>
        <w:ind w:left="0" w:firstLine="0"/>
        <w:jc w:val="left"/>
      </w:pPr>
      <w:r>
        <w:rPr>
          <w:b/>
        </w:rPr>
        <w:t xml:space="preserve"> </w:t>
      </w:r>
    </w:p>
    <w:p w:rsidR="006D6FEA" w:rsidRDefault="001D3F07">
      <w:pPr>
        <w:pStyle w:val="Heading1"/>
      </w:pPr>
      <w:r>
        <w:t xml:space="preserve">THE STATE </w:t>
      </w:r>
    </w:p>
    <w:p w:rsidR="006D6FEA" w:rsidRDefault="001D3F07">
      <w:pPr>
        <w:spacing w:after="46" w:line="240" w:lineRule="auto"/>
        <w:ind w:left="0" w:firstLine="0"/>
        <w:jc w:val="left"/>
      </w:pPr>
      <w:r>
        <w:rPr>
          <w:b/>
        </w:rPr>
        <w:t xml:space="preserve"> </w:t>
      </w:r>
    </w:p>
    <w:p w:rsidR="006D6FEA" w:rsidRDefault="001D3F07">
      <w:pPr>
        <w:pStyle w:val="Heading2"/>
      </w:pPr>
      <w:r>
        <w:t xml:space="preserve">IN THE HIGH COURT OF ZIMBABWE </w:t>
      </w:r>
    </w:p>
    <w:p w:rsidR="006D6FEA" w:rsidRDefault="001D3F07">
      <w:pPr>
        <w:pStyle w:val="Heading2"/>
      </w:pPr>
      <w:r>
        <w:t xml:space="preserve">DUBE-BANDA J </w:t>
      </w:r>
    </w:p>
    <w:p w:rsidR="006D6FEA" w:rsidRDefault="001D3F07">
      <w:pPr>
        <w:pStyle w:val="Heading2"/>
      </w:pPr>
      <w:r>
        <w:t xml:space="preserve">MASVINGO 21 January 2026 &amp; 26 January 2026 </w:t>
      </w:r>
    </w:p>
    <w:p w:rsidR="006D6FEA" w:rsidRDefault="001D3F07">
      <w:pPr>
        <w:spacing w:after="50" w:line="240" w:lineRule="auto"/>
        <w:ind w:left="0" w:firstLine="0"/>
        <w:jc w:val="left"/>
      </w:pPr>
      <w:r>
        <w:t xml:space="preserve"> </w:t>
      </w:r>
    </w:p>
    <w:p w:rsidR="006D6FEA" w:rsidRDefault="001D3F07">
      <w:pPr>
        <w:pStyle w:val="Heading1"/>
      </w:pPr>
      <w:r>
        <w:t xml:space="preserve">Application for bail pending trial  </w:t>
      </w:r>
    </w:p>
    <w:p w:rsidR="006D6FEA" w:rsidRDefault="001D3F07">
      <w:pPr>
        <w:spacing w:after="46" w:line="240" w:lineRule="auto"/>
        <w:ind w:left="0" w:firstLine="0"/>
        <w:jc w:val="left"/>
      </w:pPr>
      <w:r>
        <w:t xml:space="preserve"> </w:t>
      </w:r>
    </w:p>
    <w:p w:rsidR="006D6FEA" w:rsidRDefault="001D3F07">
      <w:pPr>
        <w:pStyle w:val="Heading2"/>
      </w:pPr>
      <w:r>
        <w:rPr>
          <w:i/>
        </w:rPr>
        <w:t>O. Mafa</w:t>
      </w:r>
      <w:r>
        <w:t xml:space="preserve"> for the applicant </w:t>
      </w:r>
    </w:p>
    <w:p w:rsidR="006D6FEA" w:rsidRDefault="001D3F07">
      <w:pPr>
        <w:pStyle w:val="Heading2"/>
        <w:spacing w:after="330"/>
      </w:pPr>
      <w:r>
        <w:rPr>
          <w:i/>
        </w:rPr>
        <w:t xml:space="preserve">M. Tembo </w:t>
      </w:r>
      <w:r>
        <w:t xml:space="preserve">for the respondent </w:t>
      </w:r>
    </w:p>
    <w:p w:rsidR="006D6FEA" w:rsidRDefault="001D3F07">
      <w:pPr>
        <w:spacing w:after="185" w:line="240" w:lineRule="auto"/>
        <w:ind w:left="0" w:firstLine="0"/>
        <w:jc w:val="left"/>
      </w:pPr>
      <w:r>
        <w:rPr>
          <w:rFonts w:ascii="Calibri" w:eastAsia="Calibri" w:hAnsi="Calibri" w:cs="Calibri"/>
          <w:sz w:val="22"/>
        </w:rPr>
        <w:t xml:space="preserve"> </w:t>
      </w:r>
      <w:r>
        <w:rPr>
          <w:rFonts w:ascii="Calibri" w:eastAsia="Calibri" w:hAnsi="Calibri" w:cs="Calibri"/>
          <w:sz w:val="22"/>
        </w:rPr>
        <w:tab/>
      </w:r>
      <w:r>
        <w:rPr>
          <w:b/>
        </w:rPr>
        <w:t xml:space="preserve">DUBE-BANDA J: </w:t>
      </w:r>
      <w:r>
        <w:rPr>
          <w:b/>
        </w:rPr>
        <w:tab/>
      </w:r>
      <w:r>
        <w:t xml:space="preserve"> </w:t>
      </w:r>
    </w:p>
    <w:p w:rsidR="006D6FEA" w:rsidRDefault="001D3F07">
      <w:pPr>
        <w:numPr>
          <w:ilvl w:val="0"/>
          <w:numId w:val="1"/>
        </w:numPr>
      </w:pPr>
      <w:r>
        <w:t>This is a bail application pending trial. The applicant is charged with the crime of murder as defined in s 47 of the Criminal Law (Codification and Reform) Act [</w:t>
      </w:r>
      <w:r>
        <w:rPr>
          <w:i/>
        </w:rPr>
        <w:t>Chapter 9:23</w:t>
      </w:r>
      <w:r>
        <w:t>]. In the Form 242, Request for Remand, it is alleged that:</w:t>
      </w:r>
      <w:r>
        <w:t xml:space="preserve"> </w:t>
      </w:r>
    </w:p>
    <w:p w:rsidR="006D6FEA" w:rsidRDefault="001D3F07">
      <w:pPr>
        <w:spacing w:after="76" w:line="268" w:lineRule="auto"/>
        <w:ind w:left="715"/>
      </w:pPr>
      <w:r>
        <w:rPr>
          <w:sz w:val="22"/>
        </w:rPr>
        <w:t>“On 2 December 2025 a</w:t>
      </w:r>
      <w:r>
        <w:rPr>
          <w:sz w:val="22"/>
        </w:rPr>
        <w:t>round 1446 hours accused called the deceased inviting him to his shrine on the pretext to conducting a prayer on deceased (</w:t>
      </w:r>
      <w:r>
        <w:rPr>
          <w:i/>
          <w:sz w:val="22"/>
        </w:rPr>
        <w:t>sic</w:t>
      </w:r>
      <w:r>
        <w:rPr>
          <w:sz w:val="22"/>
        </w:rPr>
        <w:t xml:space="preserve">). Deceased who was at Beitbridge Spur Complex hired a taxi which was driven by Tibias David. The taxi driver dropped deceased at </w:t>
      </w:r>
      <w:r>
        <w:rPr>
          <w:sz w:val="22"/>
        </w:rPr>
        <w:t>Waterworks river behind Eastlea Suburbs and left him with the accused. While accused and deceased were only two at the Shrine, deceased kneeled down so that accused pray for him. It was during that time accused hit deceased with a big stone. Accused search</w:t>
      </w:r>
      <w:r>
        <w:rPr>
          <w:sz w:val="22"/>
        </w:rPr>
        <w:t xml:space="preserve">ed deceased and took USD$2,500.0; ZAR 18,000.00 and two cellphones, Samsung A05 and Oppo Reno 12. After killing the deceased, accused went to his house as if nothing happened.  </w:t>
      </w:r>
      <w:r>
        <w:rPr>
          <w:sz w:val="22"/>
        </w:rPr>
        <w:t xml:space="preserve"> </w:t>
      </w:r>
    </w:p>
    <w:p w:rsidR="006D6FEA" w:rsidRDefault="001D3F07">
      <w:pPr>
        <w:spacing w:after="76" w:line="268" w:lineRule="auto"/>
        <w:ind w:left="715"/>
      </w:pPr>
      <w:r>
        <w:rPr>
          <w:sz w:val="22"/>
        </w:rPr>
        <w:t>When the deceased failed to turn up home, a missing person report was filed a</w:t>
      </w:r>
      <w:r>
        <w:rPr>
          <w:sz w:val="22"/>
        </w:rPr>
        <w:t>t ZRP Beitbridge Urban. Deceased relatives got information that deceased was left with accused at the shrine. They approached accused who totally denied knowing the deceased. When deceased relatives left accused’s home, he went to his shrine where he stole</w:t>
      </w:r>
      <w:r>
        <w:rPr>
          <w:sz w:val="22"/>
        </w:rPr>
        <w:t xml:space="preserve"> a motor vehicle to use as gateway car from Beitbridge area. The vehicle developed a mechanical fault at Matshioni along BeitbridgeMasvingo road were accused dupped it and disappear (</w:t>
      </w:r>
      <w:r>
        <w:rPr>
          <w:i/>
          <w:sz w:val="22"/>
        </w:rPr>
        <w:t>sic</w:t>
      </w:r>
      <w:r>
        <w:rPr>
          <w:sz w:val="22"/>
        </w:rPr>
        <w:t>) to unknown destination. Deceased was later found dead in a kneeing p</w:t>
      </w:r>
      <w:r>
        <w:rPr>
          <w:sz w:val="22"/>
        </w:rPr>
        <w:t>osition near accused’s shrine. His body was in an advanced state of decomposition.”</w:t>
      </w:r>
      <w:r>
        <w:rPr>
          <w:sz w:val="22"/>
        </w:rPr>
        <w:t xml:space="preserve"> </w:t>
      </w:r>
    </w:p>
    <w:p w:rsidR="006D6FEA" w:rsidRDefault="001D3F07">
      <w:pPr>
        <w:spacing w:after="45" w:line="240" w:lineRule="auto"/>
        <w:ind w:left="720" w:firstLine="0"/>
        <w:jc w:val="left"/>
      </w:pPr>
      <w:r>
        <w:rPr>
          <w:sz w:val="22"/>
        </w:rPr>
        <w:t xml:space="preserve"> </w:t>
      </w:r>
    </w:p>
    <w:p w:rsidR="006D6FEA" w:rsidRDefault="001D3F07">
      <w:pPr>
        <w:numPr>
          <w:ilvl w:val="0"/>
          <w:numId w:val="1"/>
        </w:numPr>
      </w:pPr>
      <w:r>
        <w:t>In motivating his application, the applicant placed his personal circumstances and his defence before the court. He contends that he is thirty-seven-year-old; married with two wives; he has five children; he is of fixed abode; and he is self-employed. In h</w:t>
      </w:r>
      <w:r>
        <w:t xml:space="preserve">is defence, the applicant contends that on 2 December 2025, and at around 1440 hours, the deceased called him and </w:t>
      </w:r>
      <w:r>
        <w:lastRenderedPageBreak/>
        <w:t xml:space="preserve">indicated that he wanted some prayer portions at the applicant’s shrine located at Waterworks, behind Eastlea Suburbs. After the prayer, they </w:t>
      </w:r>
      <w:r>
        <w:t>both left the shrine, and that was the last time he saw the deceased. In addition, the applicant contends that the relatives and friends of the deceased were threatening him, as a result, he temporarily relocated to Harare.  He surrendered himself to the p</w:t>
      </w:r>
      <w:r>
        <w:t>olice and cooperated with investigations. He has no travel documents, nor outside connections, and has never been outside Zimbabwe.  The applicant argued that he is a proper candidate to be released on bail pending trial, in that there are no compelling re</w:t>
      </w:r>
      <w:r>
        <w:t xml:space="preserve">asons to justify pretrial incarceration. </w:t>
      </w:r>
      <w:r>
        <w:t xml:space="preserve"> </w:t>
      </w:r>
    </w:p>
    <w:p w:rsidR="006D6FEA" w:rsidRDefault="001D3F07">
      <w:pPr>
        <w:numPr>
          <w:ilvl w:val="0"/>
          <w:numId w:val="1"/>
        </w:numPr>
      </w:pPr>
      <w:r>
        <w:t xml:space="preserve">The respondent’s written response to the application was filed by State counsel Mr. </w:t>
      </w:r>
      <w:r>
        <w:rPr>
          <w:i/>
        </w:rPr>
        <w:t>E. Mbavarira</w:t>
      </w:r>
      <w:r>
        <w:t>. Counsel stated that the application was opposed on the grounds that the applicant was not a good candidate to be ad</w:t>
      </w:r>
      <w:r>
        <w:t>mitted to bail. Counsel emphasised the seriousness of the allegations; the gravity of the matter; the likely conviction and penalty. In addition, counsel stated that there was a fear that if released on bail, the applicant was likely to interfere with witn</w:t>
      </w:r>
      <w:r>
        <w:t>esses who are residents of Beitbridge. It was stated that investigations were not complete, and if released, he could interfere with police investigations. It was further stated that the investigating officer would give evidence linking the applicant to th</w:t>
      </w:r>
      <w:r>
        <w:t>e commission of the offence, and his conduct after the offence was committed. Indeed, the investigating officer testified and provided evidence that he said linked the applicant to the commission of this offence, and his efforts to evade arrest. The invest</w:t>
      </w:r>
      <w:r>
        <w:t xml:space="preserve">igating officer said in his view the interests of justice would be prejudiced if the applicant was admitted to bail. At the hearing of this matter, Mr </w:t>
      </w:r>
      <w:r>
        <w:rPr>
          <w:i/>
        </w:rPr>
        <w:t>Tembo</w:t>
      </w:r>
      <w:r>
        <w:t xml:space="preserve"> appeared for the respondent. Counsel informed the court that the applicant's admission  to bail was</w:t>
      </w:r>
      <w:r>
        <w:t xml:space="preserve"> no longer opposed, and the following reasons were given for this position; that the only evidence linking the applicant to the death of the deceased was that he was the last person to be seen with him; and the time of death is unknown; and that the applic</w:t>
      </w:r>
      <w:r>
        <w:t xml:space="preserve">ant surrendered himself to the police. </w:t>
      </w:r>
      <w:r>
        <w:t xml:space="preserve"> </w:t>
      </w:r>
    </w:p>
    <w:p w:rsidR="006D6FEA" w:rsidRDefault="001D3F07">
      <w:pPr>
        <w:numPr>
          <w:ilvl w:val="0"/>
          <w:numId w:val="1"/>
        </w:numPr>
      </w:pPr>
      <w:r>
        <w:t xml:space="preserve">It is trite that an accused person cannot be kept in custody pending his trial as a form of anticipatory punishment. The presumption of the law is that he is innocent until his guilt has been established. The court </w:t>
      </w:r>
      <w:r>
        <w:t xml:space="preserve">will therefore ordinarily grant bail to an accused person unless this is likely to prejudice the ends of justice. See </w:t>
      </w:r>
      <w:r>
        <w:rPr>
          <w:i/>
        </w:rPr>
        <w:t xml:space="preserve">S </w:t>
      </w:r>
      <w:r>
        <w:t>v</w:t>
      </w:r>
      <w:r>
        <w:rPr>
          <w:i/>
        </w:rPr>
        <w:t xml:space="preserve"> Acheson </w:t>
      </w:r>
      <w:r>
        <w:t xml:space="preserve">1991 (2) SA 805 (Nm); </w:t>
      </w:r>
      <w:r>
        <w:rPr>
          <w:i/>
        </w:rPr>
        <w:t xml:space="preserve">S </w:t>
      </w:r>
      <w:r>
        <w:t>v</w:t>
      </w:r>
      <w:r>
        <w:rPr>
          <w:i/>
        </w:rPr>
        <w:t xml:space="preserve"> Mloyi</w:t>
      </w:r>
      <w:r>
        <w:t xml:space="preserve"> 2020 (1) ZLR 1239 (H). The courts should always grant bail where possible and should lean in f</w:t>
      </w:r>
      <w:r>
        <w:t xml:space="preserve">avour of the liberty of the accused, provided that the interests of justice will not be prejudiced. See </w:t>
      </w:r>
      <w:r>
        <w:rPr>
          <w:i/>
        </w:rPr>
        <w:t xml:space="preserve">S </w:t>
      </w:r>
      <w:r>
        <w:t>v</w:t>
      </w:r>
      <w:r>
        <w:rPr>
          <w:i/>
        </w:rPr>
        <w:t xml:space="preserve"> Smith</w:t>
      </w:r>
      <w:r>
        <w:t xml:space="preserve"> 1969 (4) SA 175 (N) 177E-F. In addition, the State is not entitled to hold an </w:t>
      </w:r>
      <w:r>
        <w:lastRenderedPageBreak/>
        <w:t xml:space="preserve">accused in custody for the purpose of investigation. See </w:t>
      </w:r>
      <w:r>
        <w:rPr>
          <w:i/>
        </w:rPr>
        <w:t xml:space="preserve">Novick </w:t>
      </w:r>
      <w:r>
        <w:t>v</w:t>
      </w:r>
      <w:r>
        <w:rPr>
          <w:i/>
        </w:rPr>
        <w:t xml:space="preserve"> Minister of Law and Order &amp; another</w:t>
      </w:r>
      <w:r>
        <w:t xml:space="preserve"> 1993 (1) SACR 194 (W). Refusal to grant bail to protect society is only justified in extreme circumstances. The presumption of innocence remains a cornerstone of bail, and this explains why a court should, in principle</w:t>
      </w:r>
      <w:r>
        <w:t xml:space="preserve">, lean in favour of the liberty of the accused in a bail application. </w:t>
      </w:r>
      <w:r>
        <w:t xml:space="preserve"> </w:t>
      </w:r>
    </w:p>
    <w:p w:rsidR="006D6FEA" w:rsidRDefault="001D3F07">
      <w:pPr>
        <w:numPr>
          <w:ilvl w:val="0"/>
          <w:numId w:val="1"/>
        </w:numPr>
      </w:pPr>
      <w:r>
        <w:t>It is a fundamental principle of the administration of justice that an accused person should stand trial, and if there is any cognizable indication that he will not stand trial if rele</w:t>
      </w:r>
      <w:r>
        <w:t xml:space="preserve">ased on bail, the court will serve the needs of justice by refusing to grant bail, even at the expense of his liberty and despite the presumption of innocence. </w:t>
      </w:r>
      <w:r>
        <w:t xml:space="preserve"> </w:t>
      </w:r>
    </w:p>
    <w:p w:rsidR="006D6FEA" w:rsidRDefault="001D3F07">
      <w:pPr>
        <w:numPr>
          <w:ilvl w:val="0"/>
          <w:numId w:val="1"/>
        </w:numPr>
      </w:pPr>
      <w:r>
        <w:t xml:space="preserve">The granting of bail is a judicial function. This common law principle is somehow codified in </w:t>
      </w:r>
      <w:r>
        <w:t>s 117(5) of the Criminal Procedure and Evidence Act [</w:t>
      </w:r>
      <w:r>
        <w:rPr>
          <w:i/>
        </w:rPr>
        <w:t>Chapter 9:07</w:t>
      </w:r>
      <w:r>
        <w:t xml:space="preserve">], which says: </w:t>
      </w:r>
      <w:r>
        <w:t xml:space="preserve"> </w:t>
      </w:r>
    </w:p>
    <w:p w:rsidR="006D6FEA" w:rsidRDefault="001D3F07">
      <w:pPr>
        <w:spacing w:after="76" w:line="268" w:lineRule="auto"/>
        <w:ind w:left="715"/>
      </w:pPr>
      <w:r>
        <w:rPr>
          <w:sz w:val="22"/>
        </w:rPr>
        <w:t>“Notwithstanding the fact that the prosecution does not oppose the granting of bail, the court has a duty to weigh up the personal interests of the accused against the intere</w:t>
      </w:r>
      <w:r>
        <w:rPr>
          <w:sz w:val="22"/>
        </w:rPr>
        <w:t>sts of justice as contemplated in subsection (4).”</w:t>
      </w:r>
      <w:r>
        <w:rPr>
          <w:sz w:val="22"/>
        </w:rPr>
        <w:t xml:space="preserve"> </w:t>
      </w:r>
    </w:p>
    <w:p w:rsidR="006D6FEA" w:rsidRDefault="001D3F07">
      <w:pPr>
        <w:spacing w:after="81" w:line="240" w:lineRule="auto"/>
        <w:ind w:left="0" w:firstLine="0"/>
        <w:jc w:val="left"/>
      </w:pPr>
      <w:r>
        <w:rPr>
          <w:sz w:val="22"/>
        </w:rPr>
        <w:t xml:space="preserve"> </w:t>
      </w:r>
    </w:p>
    <w:p w:rsidR="006D6FEA" w:rsidRDefault="001D3F07">
      <w:pPr>
        <w:numPr>
          <w:ilvl w:val="0"/>
          <w:numId w:val="1"/>
        </w:numPr>
      </w:pPr>
      <w:r>
        <w:t xml:space="preserve">It must be noted that subsection (4) lists factors that a court is enjoined to consider in in determining the issue of bail. In fact, subsection (4)(f) says the court may consider “any other fact which </w:t>
      </w:r>
      <w:r>
        <w:t>in the opinion of the court should be taken into account.” Therefore, a court would be abdicating its judicial function if it were to grant bail merely because the prosecution is not opposing the application. It is in this context that the concession by Mr</w:t>
      </w:r>
      <w:r>
        <w:t xml:space="preserve"> </w:t>
      </w:r>
      <w:r>
        <w:rPr>
          <w:i/>
        </w:rPr>
        <w:t xml:space="preserve">Tembo </w:t>
      </w:r>
      <w:r>
        <w:t xml:space="preserve">must be viewed and analysed. </w:t>
      </w:r>
      <w:r>
        <w:t xml:space="preserve"> </w:t>
      </w:r>
    </w:p>
    <w:p w:rsidR="006D6FEA" w:rsidRDefault="001D3F07">
      <w:pPr>
        <w:numPr>
          <w:ilvl w:val="0"/>
          <w:numId w:val="1"/>
        </w:numPr>
      </w:pPr>
      <w:r>
        <w:t>This is not a trial. An important point to note about the bail proceedings is so self-evident that it is often overlooked. It is that there is a fundamental difference between the objective of bail proceedings and that</w:t>
      </w:r>
      <w:r>
        <w:t xml:space="preserve"> of the trial. In a bail application, the enquiry is not really concerned with the question of guilt. That is the task of the trial court. The court hearing the bail application is concerned with the question of possible guilt only to the extent that it ma</w:t>
      </w:r>
      <w:r>
        <w:t>y bear on where the interests of justice lie in regard to bail. The focus at the bail stage is to decide whether the interests of justice permit the release of the accused pending trial, and that entails, in the main, protecting the investigation and prose</w:t>
      </w:r>
      <w:r>
        <w:t xml:space="preserve">cution of the case against hindrance. See </w:t>
      </w:r>
      <w:r>
        <w:rPr>
          <w:i/>
        </w:rPr>
        <w:t>S v Schietekat</w:t>
      </w:r>
      <w:hyperlink r:id="rId7">
        <w:r>
          <w:t xml:space="preserve"> </w:t>
        </w:r>
      </w:hyperlink>
      <w:hyperlink r:id="rId8">
        <w:r>
          <w:t>[1999] ZACC 8;</w:t>
        </w:r>
      </w:hyperlink>
      <w:hyperlink r:id="rId9">
        <w:r>
          <w:t xml:space="preserve"> </w:t>
        </w:r>
      </w:hyperlink>
      <w:hyperlink r:id="rId10">
        <w:r>
          <w:t>1999 (2) SACR 51</w:t>
        </w:r>
      </w:hyperlink>
      <w:hyperlink r:id="rId11">
        <w:r>
          <w:t xml:space="preserve"> </w:t>
        </w:r>
      </w:hyperlink>
      <w:r>
        <w:t>(CC) at para</w:t>
      </w:r>
      <w:hyperlink r:id="rId12" w:anchor="para11">
        <w:r>
          <w:t xml:space="preserve"> </w:t>
        </w:r>
      </w:hyperlink>
      <w:hyperlink r:id="rId13" w:anchor="para11">
        <w:r>
          <w:t>[11],</w:t>
        </w:r>
      </w:hyperlink>
      <w:r>
        <w:t xml:space="preserve"> pp 63 to 64. It is important, in a bail application, that counsel take note of this distinction. </w:t>
      </w:r>
      <w:r>
        <w:t xml:space="preserve"> </w:t>
      </w:r>
    </w:p>
    <w:p w:rsidR="006D6FEA" w:rsidRDefault="001D3F07">
      <w:pPr>
        <w:numPr>
          <w:ilvl w:val="0"/>
          <w:numId w:val="1"/>
        </w:numPr>
      </w:pPr>
      <w:r>
        <w:lastRenderedPageBreak/>
        <w:t xml:space="preserve">I </w:t>
      </w:r>
      <w:r>
        <w:t>now turn to the facts. The investigating officer testified that the deceased was a popular money changer, and he used to move around with huge sums of money in cash. On the day he met his death, he had in his possession USD$2,500,00 and ZAR 18,000.00. On 2</w:t>
      </w:r>
      <w:r>
        <w:t xml:space="preserve"> December 2025, at approximately 1445 hours, he hired a taxi to meet the applicant at his shrine for prayers. The two met, and the applicant prayed, or pretended to be praying for him. Thereafter, the deceased was not seen again, and days later he was foun</w:t>
      </w:r>
      <w:r>
        <w:t>d dead, his body in a kneeling position with a deep cut on the back of the head. His sandals were close to the body. It was near the applicant’s shrine. The body of the deceased was found on 8 December 2025. The applicant is the last known person to have b</w:t>
      </w:r>
      <w:r>
        <w:t xml:space="preserve">een with the deceased during his lifetime. For the purposes of this bail application, I accept the evidence of the investigating officer. </w:t>
      </w:r>
      <w:r>
        <w:t xml:space="preserve"> </w:t>
      </w:r>
    </w:p>
    <w:p w:rsidR="006D6FEA" w:rsidRDefault="001D3F07">
      <w:pPr>
        <w:numPr>
          <w:ilvl w:val="0"/>
          <w:numId w:val="1"/>
        </w:numPr>
      </w:pPr>
      <w:r>
        <w:t>In addition, I accept the evidence of the investigating officer that after the disappearance of the deceased, the ap</w:t>
      </w:r>
      <w:r>
        <w:t>plicant stole a vehicle intending to escape from Beitbridge. The theft of the vehicle was reported to the police, and in his affidavit, the investigating officer provided police reference numbers for the report. The vehicle developed a mechanical fault, an</w:t>
      </w:r>
      <w:r>
        <w:t xml:space="preserve">d he abandoned it along the Beitbridge-Masvingo highway. The applicant disappeared from Beitbridge on 4 December 2025 and appeared on 11 December 2025 when he surrendered himself to the police. When approached by the relatives and friends of the deceased, </w:t>
      </w:r>
      <w:r>
        <w:t xml:space="preserve">enquiring about the whereabouts of the deceased, as he was the last person to be seen with him, he stated that he neither knew nor had seen the deceased. </w:t>
      </w:r>
      <w:r>
        <w:t xml:space="preserve"> </w:t>
      </w:r>
    </w:p>
    <w:p w:rsidR="006D6FEA" w:rsidRDefault="001D3F07">
      <w:pPr>
        <w:numPr>
          <w:ilvl w:val="0"/>
          <w:numId w:val="1"/>
        </w:numPr>
      </w:pPr>
      <w:r>
        <w:t>The evidence of the prosecution was criticised on the basis that it was circumstantial. Indeed, at t</w:t>
      </w:r>
      <w:r>
        <w:t>his point, the prosecution has not said it has direct evidence against the applicant. For completeness, circumstantial evidence, as opposed to direct evidence, is evidence of surrounding facts from which a court may, within certain parameters, infer the gu</w:t>
      </w:r>
      <w:r>
        <w:t>ilt of the accused. There are instances, and history has recorded many, where circumstantial evidence becomes so compelling that it leaves the court in no doubt about the guilt of the accused. Therefore, the criticism that the prosecution relies only on ci</w:t>
      </w:r>
      <w:r>
        <w:t>rcumstantial evidence, standing alone, is of no moment. It is of no consequence.</w:t>
      </w:r>
      <w:r>
        <w:t xml:space="preserve"> </w:t>
      </w:r>
    </w:p>
    <w:p w:rsidR="006D6FEA" w:rsidRDefault="001D3F07">
      <w:pPr>
        <w:numPr>
          <w:ilvl w:val="0"/>
          <w:numId w:val="1"/>
        </w:numPr>
      </w:pPr>
      <w:r>
        <w:t>The first touchstone in the chain of circumstantial evidence arose when the police investigation led to the applicant being marked as a person of interest or wanted person an</w:t>
      </w:r>
      <w:r>
        <w:t>d a national signal for his arrest was issued. On 11 December 2025 he surrendered himself to the police. My view is that he surrendered himself because the police net was closing on him. A national signal for his arrest was afoot and social media practitio</w:t>
      </w:r>
      <w:r>
        <w:t xml:space="preserve">ners were posting that he was </w:t>
      </w:r>
      <w:r>
        <w:lastRenderedPageBreak/>
        <w:t xml:space="preserve">wanted for murder and was on the run.  Therefore, to argue that he a good candidate for bail because he surrendered himself to the police is to ignore the background that made him surrender himself. </w:t>
      </w:r>
      <w:r>
        <w:t xml:space="preserve"> </w:t>
      </w:r>
    </w:p>
    <w:p w:rsidR="006D6FEA" w:rsidRDefault="001D3F07">
      <w:pPr>
        <w:numPr>
          <w:ilvl w:val="0"/>
          <w:numId w:val="1"/>
        </w:numPr>
      </w:pPr>
      <w:r>
        <w:t xml:space="preserve">The applicant is alleged </w:t>
      </w:r>
      <w:r>
        <w:t>to have informed the investigating officer that he walked with the deceased from the place of prayer to the main road, and that is where they parted ways. This is the evidence that the trial court might have to closely interrogate; however, for the purpose</w:t>
      </w:r>
      <w:r>
        <w:t>s of this application, I have reservations about it. I say so because it does not seem probable that the deceased walked to the main road, and somehow returned to the bank of the river, and got struck with a stone on the back of his head, leading to his de</w:t>
      </w:r>
      <w:r>
        <w:t>ath. In addition, at the time the deceased was struck with a stone, he was most probably in a kneeling position and had removed his sandals, which were later found by the police close to his body. My view, at this stage of the proceedings, is that the dece</w:t>
      </w:r>
      <w:r>
        <w:t>ased was most probably struck when he was praying and had removed his sandals in preparation to observe the occasion of prayer. This is not speculation, but in sync with the probabilities of the case, which is relevant for consideration at this bail stage.</w:t>
      </w:r>
      <w:r>
        <w:t xml:space="preserve">   </w:t>
      </w:r>
      <w:r>
        <w:t xml:space="preserve"> </w:t>
      </w:r>
    </w:p>
    <w:p w:rsidR="006D6FEA" w:rsidRDefault="001D3F07">
      <w:pPr>
        <w:numPr>
          <w:ilvl w:val="0"/>
          <w:numId w:val="1"/>
        </w:numPr>
      </w:pPr>
      <w:r>
        <w:t xml:space="preserve">It is common cause that on 2 December 2025, when the applicant and the deceased were having prayers in the bush. As stated above, the deceased was never seen again, and the applicant disappeared from Beitbridge. The location where the body was found, </w:t>
      </w:r>
      <w:r>
        <w:t>the position in which the body was found, the position of his sandals</w:t>
      </w:r>
      <w:r>
        <w:rPr>
          <w:i/>
        </w:rPr>
        <w:t xml:space="preserve"> vis-à-vis </w:t>
      </w:r>
      <w:r>
        <w:t xml:space="preserve">the body, suggests, as stated above, that the deceased met his death while praying. The applicant is the last known person who was praying for him in that bush.  The applicant </w:t>
      </w:r>
      <w:r>
        <w:t>is the last known person to have seen him in his lifetime. In addition, the applicant when asked by the relatives and friends of the deceased he said did not know him and never saw him. This was despite the fact that he was with him at the shrine. That the</w:t>
      </w:r>
      <w:r>
        <w:t xml:space="preserve"> prosecution has a strong </w:t>
      </w:r>
      <w:r>
        <w:rPr>
          <w:i/>
        </w:rPr>
        <w:t>prima facie</w:t>
      </w:r>
      <w:r>
        <w:t xml:space="preserve"> case against the applicant cannot be gainsaid. </w:t>
      </w:r>
      <w:r>
        <w:t xml:space="preserve"> </w:t>
      </w:r>
    </w:p>
    <w:p w:rsidR="006D6FEA" w:rsidRDefault="001D3F07">
      <w:pPr>
        <w:numPr>
          <w:ilvl w:val="0"/>
          <w:numId w:val="1"/>
        </w:numPr>
      </w:pPr>
      <w:r>
        <w:t>The argument that the only evidence linking the applicant to the death of the deceased is that he was the last person to be seen with him; that the time of death is unkn</w:t>
      </w:r>
      <w:r>
        <w:t>own, and that the applicant surrendered himself to the police is rather superficial. A closer examination of the facts and the evidence thus far shows that there is far more against the applicant than merely that he was the last known person to be seen wit</w:t>
      </w:r>
      <w:r>
        <w:t xml:space="preserve">h the deceased before his death. The fact that the time of death is unknown is something that the trial court may have to interrogate at the appropriate moment. However, for the purposes of this bail application, it does not detract from </w:t>
      </w:r>
      <w:r>
        <w:lastRenderedPageBreak/>
        <w:t xml:space="preserve">the fact that the </w:t>
      </w:r>
      <w:r>
        <w:t xml:space="preserve">prosecution has a strong </w:t>
      </w:r>
      <w:r>
        <w:rPr>
          <w:i/>
        </w:rPr>
        <w:t>prima facie</w:t>
      </w:r>
      <w:r>
        <w:t xml:space="preserve"> case against the applicant. In addition, the fact that he surrendered himself to the police, must not be viewed in isolation, as stated above, it must be viewed in the context of the background. It is for these reasons </w:t>
      </w:r>
      <w:r>
        <w:t xml:space="preserve">that the concession by Mr. </w:t>
      </w:r>
      <w:r>
        <w:rPr>
          <w:i/>
        </w:rPr>
        <w:t>Tembo</w:t>
      </w:r>
      <w:r>
        <w:t xml:space="preserve"> that the applicant is a good candidate for bail does not find favour with this court. </w:t>
      </w:r>
      <w:r>
        <w:t xml:space="preserve"> </w:t>
      </w:r>
      <w:r>
        <w:t xml:space="preserve">[16] It is trite that the seriousness of the allegations standing alone is no bar against granting an accused bail. However, the seriousness of the allegations, coupled with a strong </w:t>
      </w:r>
      <w:r>
        <w:rPr>
          <w:i/>
        </w:rPr>
        <w:t>prima facie</w:t>
      </w:r>
      <w:r>
        <w:t xml:space="preserve"> case, carrying a high probability of a conviction and a heavy</w:t>
      </w:r>
      <w:r>
        <w:t xml:space="preserve"> sentence, may, in an appropriate case, tilt the scales against granting bail. See </w:t>
      </w:r>
      <w:r>
        <w:rPr>
          <w:i/>
        </w:rPr>
        <w:t xml:space="preserve">S </w:t>
      </w:r>
      <w:r>
        <w:t>v</w:t>
      </w:r>
      <w:r>
        <w:rPr>
          <w:i/>
        </w:rPr>
        <w:t xml:space="preserve"> Jongwe </w:t>
      </w:r>
      <w:r>
        <w:t>SC-62-02. My view is that if admitted to bail, the applicant will abscond. He has already tried to escape the reach of the police. The argument that at the time h</w:t>
      </w:r>
      <w:r>
        <w:t xml:space="preserve">e left Beitbridge he was not yet on the police wanted list is of no moment. He knew at that time that the person he was with in the bush for prayers had not been seen again after such prayers. He knew that he was the last person to have seen him before he </w:t>
      </w:r>
      <w:r>
        <w:t>disappeared. He knew that the family and friends of the deceased were suspecting him of foul play. He must have known that this matter was now a police case and that he was going to be a person of interest to the police. The urge to escape was so irresisti</w:t>
      </w:r>
      <w:r>
        <w:t xml:space="preserve">ble that he had to steal a vehicle just to leave Beitbridge. His version to the investigating officer that he was escaping from the relatives and friends of the deceased, will have to be closely interrogated by the trial court, however for the purposes of </w:t>
      </w:r>
      <w:r>
        <w:t>this application, I take the view that it lacks cogency. I say so because instead of taking the trouble of stealing a motor vehicle and escaping from Beitbridge, he could have simply made a report and sought protection from the police in Beitbridge. Now, f</w:t>
      </w:r>
      <w:r>
        <w:t>acing a real likelihood of a conviction and a long term of direct imprisonment, the applicant might, if admitted to bail, not return to court, and thus not stand trial. This finding does not tilt the pendulum in favour of releasing the applicant on bail.</w:t>
      </w:r>
      <w:r>
        <w:t xml:space="preserve"> </w:t>
      </w:r>
    </w:p>
    <w:p w:rsidR="006D6FEA" w:rsidRDefault="001D3F07">
      <w:pPr>
        <w:numPr>
          <w:ilvl w:val="0"/>
          <w:numId w:val="2"/>
        </w:numPr>
      </w:pPr>
      <w:r>
        <w:t>On these facts, the release of the applicant on bail will undermine the objective and proper functioning of the criminal justice system and the bail institution. It is important that the administration of justice is not subverted. In fact, releasing on bai</w:t>
      </w:r>
      <w:r>
        <w:t>l undeserving litigants is subverting the administration of justice. I accept that the applicant still enjoys the benefit of the presumption of innocence, however this court cannot, at this bail stage, ignore the facts of this case.   It is in such cases t</w:t>
      </w:r>
      <w:r>
        <w:t>hat the right to liberty and the presumption of innocence must recede to the background and give way to the proper administration of justice, which in this case requires that bail be refused.</w:t>
      </w:r>
      <w:r>
        <w:t xml:space="preserve"> </w:t>
      </w:r>
    </w:p>
    <w:p w:rsidR="006D6FEA" w:rsidRDefault="001D3F07">
      <w:pPr>
        <w:numPr>
          <w:ilvl w:val="0"/>
          <w:numId w:val="2"/>
        </w:numPr>
      </w:pPr>
      <w:r>
        <w:lastRenderedPageBreak/>
        <w:t>As stated above, there is a cognizable indication that, if rele</w:t>
      </w:r>
      <w:r>
        <w:t>ased on bail, the applicant will not stand trial. The cumulative effect of the facts of this case constitutes a weighty indication that bail should not be granted. In other words, the interests of justice do not permit the release of the applicant on bail.</w:t>
      </w:r>
      <w:r>
        <w:t xml:space="preserve"> It is for these reasons that this application must fail. </w:t>
      </w:r>
      <w:r>
        <w:t xml:space="preserve"> </w:t>
      </w:r>
    </w:p>
    <w:p w:rsidR="006D6FEA" w:rsidRDefault="001D3F07">
      <w:pPr>
        <w:spacing w:after="182" w:line="240" w:lineRule="auto"/>
        <w:ind w:left="0" w:firstLine="0"/>
        <w:jc w:val="left"/>
      </w:pPr>
      <w:r>
        <w:t xml:space="preserve"> </w:t>
      </w:r>
    </w:p>
    <w:p w:rsidR="006D6FEA" w:rsidRDefault="001D3F07">
      <w:pPr>
        <w:spacing w:after="67" w:line="240" w:lineRule="auto"/>
      </w:pPr>
      <w:r>
        <w:t>In the result, it is ordered as follows:</w:t>
      </w:r>
      <w:r>
        <w:t xml:space="preserve"> </w:t>
      </w:r>
    </w:p>
    <w:p w:rsidR="006D6FEA" w:rsidRDefault="001D3F07">
      <w:pPr>
        <w:spacing w:after="67" w:line="240" w:lineRule="auto"/>
        <w:ind w:left="0" w:firstLine="0"/>
        <w:jc w:val="left"/>
      </w:pPr>
      <w:r>
        <w:t xml:space="preserve"> </w:t>
      </w:r>
    </w:p>
    <w:p w:rsidR="006D6FEA" w:rsidRDefault="001D3F07">
      <w:pPr>
        <w:spacing w:after="67" w:line="240" w:lineRule="auto"/>
      </w:pPr>
      <w:r>
        <w:t xml:space="preserve">The application for bail pending trial is dismissed. </w:t>
      </w:r>
      <w:r>
        <w:t xml:space="preserve"> </w:t>
      </w:r>
    </w:p>
    <w:p w:rsidR="006D6FEA" w:rsidRDefault="001D3F07">
      <w:pPr>
        <w:spacing w:after="185" w:line="240" w:lineRule="auto"/>
        <w:ind w:left="0" w:firstLine="0"/>
        <w:jc w:val="left"/>
      </w:pPr>
      <w:r>
        <w:t xml:space="preserve"> </w:t>
      </w:r>
    </w:p>
    <w:p w:rsidR="006D6FEA" w:rsidRDefault="001D3F07">
      <w:pPr>
        <w:spacing w:after="182" w:line="240" w:lineRule="auto"/>
        <w:ind w:left="0" w:firstLine="0"/>
        <w:jc w:val="left"/>
      </w:pPr>
      <w:r>
        <w:t xml:space="preserve"> </w:t>
      </w:r>
    </w:p>
    <w:p w:rsidR="006D6FEA" w:rsidRDefault="001D3F07">
      <w:pPr>
        <w:spacing w:after="0" w:line="240" w:lineRule="auto"/>
      </w:pPr>
      <w:r>
        <w:rPr>
          <w:i/>
        </w:rPr>
        <w:t>Mutendi</w:t>
      </w:r>
      <w:r>
        <w:t xml:space="preserve">, </w:t>
      </w:r>
      <w:r>
        <w:rPr>
          <w:i/>
        </w:rPr>
        <w:t xml:space="preserve">Mudisi and Shumba, </w:t>
      </w:r>
      <w:r>
        <w:t xml:space="preserve">applicant’s legal practitioners </w:t>
      </w:r>
      <w:r>
        <w:t xml:space="preserve"> </w:t>
      </w:r>
    </w:p>
    <w:p w:rsidR="006D6FEA" w:rsidRDefault="006D6FEA">
      <w:pPr>
        <w:sectPr w:rsidR="006D6FEA">
          <w:headerReference w:type="even" r:id="rId14"/>
          <w:headerReference w:type="default" r:id="rId15"/>
          <w:headerReference w:type="first" r:id="rId16"/>
          <w:pgSz w:w="11906" w:h="16838"/>
          <w:pgMar w:top="1840" w:right="1426" w:bottom="1468" w:left="1440" w:header="751" w:footer="720" w:gutter="0"/>
          <w:cols w:space="720"/>
        </w:sectPr>
      </w:pPr>
    </w:p>
    <w:p w:rsidR="006D6FEA" w:rsidRDefault="001D3F07">
      <w:pPr>
        <w:spacing w:after="32" w:line="240" w:lineRule="auto"/>
        <w:ind w:left="10"/>
        <w:jc w:val="right"/>
      </w:pPr>
      <w:r>
        <w:rPr>
          <w:rFonts w:ascii="Calibri" w:eastAsia="Calibri" w:hAnsi="Calibri" w:cs="Calibri"/>
          <w:sz w:val="22"/>
        </w:rPr>
        <w:lastRenderedPageBreak/>
        <w:t xml:space="preserve">HMA04-26 </w:t>
      </w:r>
    </w:p>
    <w:p w:rsidR="006D6FEA" w:rsidRDefault="001D3F07">
      <w:pPr>
        <w:spacing w:after="32" w:line="240" w:lineRule="auto"/>
        <w:ind w:left="10"/>
        <w:jc w:val="right"/>
      </w:pPr>
      <w:r>
        <w:rPr>
          <w:rFonts w:ascii="Calibri" w:eastAsia="Calibri" w:hAnsi="Calibri" w:cs="Calibri"/>
          <w:sz w:val="22"/>
        </w:rPr>
        <w:t xml:space="preserve">HCMSCR72-26 </w:t>
      </w:r>
    </w:p>
    <w:p w:rsidR="006D6FEA" w:rsidRDefault="001D3F07">
      <w:pPr>
        <w:spacing w:after="45" w:line="240" w:lineRule="auto"/>
        <w:ind w:left="0" w:firstLine="0"/>
        <w:jc w:val="left"/>
      </w:pPr>
      <w:r>
        <w:rPr>
          <w:rFonts w:ascii="Calibri" w:eastAsia="Calibri" w:hAnsi="Calibri" w:cs="Calibri"/>
          <w:sz w:val="22"/>
        </w:rPr>
        <w:t xml:space="preserve"> </w:t>
      </w:r>
    </w:p>
    <w:p w:rsidR="006D6FEA" w:rsidRDefault="001D3F07">
      <w:pPr>
        <w:spacing w:after="324"/>
      </w:pPr>
      <w:r>
        <w:rPr>
          <w:i/>
        </w:rPr>
        <w:t>National Prosecuting Authority</w:t>
      </w:r>
      <w:r>
        <w:t>, respondent’s legal practitioners</w:t>
      </w:r>
      <w:r>
        <w:t xml:space="preserve"> </w:t>
      </w:r>
    </w:p>
    <w:p w:rsidR="006D6FEA" w:rsidRDefault="001D3F07">
      <w:pPr>
        <w:spacing w:after="0" w:line="240" w:lineRule="auto"/>
        <w:ind w:left="0" w:firstLine="0"/>
        <w:jc w:val="left"/>
      </w:pPr>
      <w:r>
        <w:t xml:space="preserve"> </w:t>
      </w:r>
    </w:p>
    <w:sectPr w:rsidR="006D6FEA">
      <w:headerReference w:type="even" r:id="rId17"/>
      <w:headerReference w:type="default" r:id="rId18"/>
      <w:headerReference w:type="first" r:id="rId19"/>
      <w:pgSz w:w="11906" w:h="16838"/>
      <w:pgMar w:top="1440" w:right="1440" w:bottom="1440" w:left="1440" w:header="75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F07" w:rsidRDefault="001D3F07">
      <w:pPr>
        <w:spacing w:after="0" w:line="240" w:lineRule="auto"/>
      </w:pPr>
      <w:r>
        <w:separator/>
      </w:r>
    </w:p>
  </w:endnote>
  <w:endnote w:type="continuationSeparator" w:id="0">
    <w:p w:rsidR="001D3F07" w:rsidRDefault="001D3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F07" w:rsidRDefault="001D3F07">
      <w:pPr>
        <w:spacing w:after="0" w:line="240" w:lineRule="auto"/>
      </w:pPr>
      <w:r>
        <w:separator/>
      </w:r>
    </w:p>
  </w:footnote>
  <w:footnote w:type="continuationSeparator" w:id="0">
    <w:p w:rsidR="001D3F07" w:rsidRDefault="001D3F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FEA" w:rsidRDefault="001D3F07">
    <w:pPr>
      <w:spacing w:after="32" w:line="240"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6D6FEA" w:rsidRDefault="001D3F07">
    <w:pPr>
      <w:spacing w:after="32" w:line="240" w:lineRule="auto"/>
      <w:ind w:left="0" w:firstLine="0"/>
      <w:jc w:val="right"/>
    </w:pPr>
    <w:r>
      <w:rPr>
        <w:rFonts w:ascii="Calibri" w:eastAsia="Calibri" w:hAnsi="Calibri" w:cs="Calibri"/>
        <w:sz w:val="22"/>
      </w:rPr>
      <w:t xml:space="preserve">HMA04-26 </w:t>
    </w:r>
  </w:p>
  <w:p w:rsidR="006D6FEA" w:rsidRDefault="001D3F07">
    <w:pPr>
      <w:spacing w:after="32" w:line="240" w:lineRule="auto"/>
      <w:ind w:left="0" w:firstLine="0"/>
      <w:jc w:val="right"/>
    </w:pPr>
    <w:r>
      <w:rPr>
        <w:rFonts w:ascii="Calibri" w:eastAsia="Calibri" w:hAnsi="Calibri" w:cs="Calibri"/>
        <w:sz w:val="22"/>
      </w:rPr>
      <w:t xml:space="preserve">HCMSCR72-26 </w:t>
    </w:r>
  </w:p>
  <w:p w:rsidR="006D6FEA" w:rsidRDefault="001D3F07">
    <w:pPr>
      <w:spacing w:after="0" w:line="240" w:lineRule="auto"/>
      <w:ind w:lef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FEA" w:rsidRDefault="001D3F07">
    <w:pPr>
      <w:spacing w:after="32" w:line="240" w:lineRule="auto"/>
      <w:ind w:left="0" w:firstLine="0"/>
      <w:jc w:val="right"/>
    </w:pPr>
    <w:r>
      <w:fldChar w:fldCharType="begin"/>
    </w:r>
    <w:r>
      <w:instrText xml:space="preserve"> PAGE   \* MERGEFORMAT </w:instrText>
    </w:r>
    <w:r>
      <w:fldChar w:fldCharType="separate"/>
    </w:r>
    <w:r w:rsidR="00993EBA" w:rsidRPr="00993EBA">
      <w:rPr>
        <w:rFonts w:ascii="Calibri" w:eastAsia="Calibri" w:hAnsi="Calibri" w:cs="Calibri"/>
        <w:noProof/>
        <w:sz w:val="22"/>
      </w:rPr>
      <w:t>1</w:t>
    </w:r>
    <w:r>
      <w:rPr>
        <w:rFonts w:ascii="Calibri" w:eastAsia="Calibri" w:hAnsi="Calibri" w:cs="Calibri"/>
        <w:sz w:val="22"/>
      </w:rPr>
      <w:fldChar w:fldCharType="end"/>
    </w:r>
    <w:r>
      <w:rPr>
        <w:rFonts w:ascii="Calibri" w:eastAsia="Calibri" w:hAnsi="Calibri" w:cs="Calibri"/>
        <w:sz w:val="22"/>
      </w:rPr>
      <w:t xml:space="preserve"> </w:t>
    </w:r>
  </w:p>
  <w:p w:rsidR="006D6FEA" w:rsidRDefault="001D3F07">
    <w:pPr>
      <w:spacing w:after="32" w:line="240" w:lineRule="auto"/>
      <w:ind w:left="0" w:firstLine="0"/>
      <w:jc w:val="right"/>
    </w:pPr>
    <w:r>
      <w:rPr>
        <w:rFonts w:ascii="Calibri" w:eastAsia="Calibri" w:hAnsi="Calibri" w:cs="Calibri"/>
        <w:sz w:val="22"/>
      </w:rPr>
      <w:t xml:space="preserve">HMA04-26 </w:t>
    </w:r>
  </w:p>
  <w:p w:rsidR="006D6FEA" w:rsidRDefault="001D3F07">
    <w:pPr>
      <w:spacing w:after="32" w:line="240" w:lineRule="auto"/>
      <w:ind w:left="0" w:firstLine="0"/>
      <w:jc w:val="right"/>
    </w:pPr>
    <w:r>
      <w:rPr>
        <w:rFonts w:ascii="Calibri" w:eastAsia="Calibri" w:hAnsi="Calibri" w:cs="Calibri"/>
        <w:sz w:val="22"/>
      </w:rPr>
      <w:t xml:space="preserve">HCMSCR72-26 </w:t>
    </w:r>
  </w:p>
  <w:p w:rsidR="006D6FEA" w:rsidRDefault="001D3F07">
    <w:pPr>
      <w:spacing w:after="0" w:line="240" w:lineRule="auto"/>
      <w:ind w:lef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FEA" w:rsidRDefault="001D3F07">
    <w:pPr>
      <w:spacing w:after="32" w:line="240"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6D6FEA" w:rsidRDefault="001D3F07">
    <w:pPr>
      <w:spacing w:after="32" w:line="240" w:lineRule="auto"/>
      <w:ind w:left="0" w:firstLine="0"/>
      <w:jc w:val="right"/>
    </w:pPr>
    <w:r>
      <w:rPr>
        <w:rFonts w:ascii="Calibri" w:eastAsia="Calibri" w:hAnsi="Calibri" w:cs="Calibri"/>
        <w:sz w:val="22"/>
      </w:rPr>
      <w:t xml:space="preserve">HMA04-26 </w:t>
    </w:r>
  </w:p>
  <w:p w:rsidR="006D6FEA" w:rsidRDefault="001D3F07">
    <w:pPr>
      <w:spacing w:after="32" w:line="240" w:lineRule="auto"/>
      <w:ind w:left="0" w:firstLine="0"/>
      <w:jc w:val="right"/>
    </w:pPr>
    <w:r>
      <w:rPr>
        <w:rFonts w:ascii="Calibri" w:eastAsia="Calibri" w:hAnsi="Calibri" w:cs="Calibri"/>
        <w:sz w:val="22"/>
      </w:rPr>
      <w:t xml:space="preserve">HCMSCR72-26 </w:t>
    </w:r>
  </w:p>
  <w:p w:rsidR="006D6FEA" w:rsidRDefault="001D3F07">
    <w:pPr>
      <w:spacing w:after="0" w:line="240" w:lineRule="auto"/>
      <w:ind w:left="0" w:firstLine="0"/>
      <w:jc w:val="left"/>
    </w:pPr>
    <w:r>
      <w:rPr>
        <w:rFonts w:ascii="Calibri" w:eastAsia="Calibri" w:hAnsi="Calibri" w:cs="Calibri"/>
        <w:sz w:val="22"/>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FEA" w:rsidRDefault="001D3F07">
    <w:pPr>
      <w:spacing w:after="0" w:line="240"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7</w:t>
    </w:r>
    <w:r>
      <w:rPr>
        <w:rFonts w:ascii="Calibri" w:eastAsia="Calibri" w:hAnsi="Calibri" w:cs="Calibri"/>
        <w:sz w:val="22"/>
      </w:rPr>
      <w:fldChar w:fldCharType="end"/>
    </w:r>
    <w:r>
      <w:rPr>
        <w:rFonts w:ascii="Calibri" w:eastAsia="Calibri" w:hAnsi="Calibri" w:cs="Calibri"/>
        <w:sz w:val="22"/>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FEA" w:rsidRDefault="001D3F07">
    <w:pPr>
      <w:spacing w:after="0" w:line="240" w:lineRule="auto"/>
      <w:ind w:left="0" w:firstLine="0"/>
      <w:jc w:val="right"/>
    </w:pPr>
    <w:r>
      <w:fldChar w:fldCharType="begin"/>
    </w:r>
    <w:r>
      <w:instrText xml:space="preserve"> PAGE   \* MERGEFORMAT </w:instrText>
    </w:r>
    <w:r>
      <w:fldChar w:fldCharType="separate"/>
    </w:r>
    <w:r w:rsidR="00993EBA" w:rsidRPr="00993EBA">
      <w:rPr>
        <w:rFonts w:ascii="Calibri" w:eastAsia="Calibri" w:hAnsi="Calibri" w:cs="Calibri"/>
        <w:noProof/>
        <w:sz w:val="22"/>
      </w:rPr>
      <w:t>8</w:t>
    </w:r>
    <w:r>
      <w:rPr>
        <w:rFonts w:ascii="Calibri" w:eastAsia="Calibri" w:hAnsi="Calibri" w:cs="Calibri"/>
        <w:sz w:val="22"/>
      </w:rPr>
      <w:fldChar w:fldCharType="end"/>
    </w:r>
    <w:r>
      <w:rPr>
        <w:rFonts w:ascii="Calibri" w:eastAsia="Calibri" w:hAnsi="Calibri" w:cs="Calibri"/>
        <w:sz w:val="22"/>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FEA" w:rsidRDefault="001D3F07">
    <w:pPr>
      <w:spacing w:after="0" w:line="240"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7</w:t>
    </w:r>
    <w:r>
      <w:rPr>
        <w:rFonts w:ascii="Calibri" w:eastAsia="Calibri" w:hAnsi="Calibri" w:cs="Calibri"/>
        <w:sz w:val="22"/>
      </w:rPr>
      <w:fldChar w:fldCharType="end"/>
    </w:r>
    <w:r>
      <w:rPr>
        <w:rFonts w:ascii="Calibri" w:eastAsia="Calibri" w:hAnsi="Calibri" w:cs="Calibri"/>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CA0C49"/>
    <w:multiLevelType w:val="hybridMultilevel"/>
    <w:tmpl w:val="F31E5138"/>
    <w:lvl w:ilvl="0" w:tplc="499AF2F2">
      <w:start w:val="1"/>
      <w:numFmt w:val="decimal"/>
      <w:lvlText w:val="[%1]"/>
      <w:lvlJc w:val="left"/>
      <w:pPr>
        <w:ind w:left="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6A0BC0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FA0BD3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952CBB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0E809A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FAC1E2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982337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E7A4A3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120593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4A67256A"/>
    <w:multiLevelType w:val="hybridMultilevel"/>
    <w:tmpl w:val="2D8CCC9A"/>
    <w:lvl w:ilvl="0" w:tplc="EBACBAD8">
      <w:start w:val="17"/>
      <w:numFmt w:val="decimal"/>
      <w:lvlText w:val="[%1]"/>
      <w:lvlJc w:val="left"/>
      <w:pPr>
        <w:ind w:left="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D2C248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49AC2C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24CCA5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6D0547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FE0FBF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3CA548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4E250C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5A0469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FEA"/>
    <w:rsid w:val="001D3F07"/>
    <w:rsid w:val="006D6FEA"/>
    <w:rsid w:val="00993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D8B907-8EFB-402F-B5CC-F792B3BAE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76" w:line="350" w:lineRule="auto"/>
      <w:ind w:left="-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48" w:line="240" w:lineRule="auto"/>
      <w:ind w:left="-5" w:right="-15"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44" w:line="246" w:lineRule="auto"/>
      <w:ind w:left="-5" w:right="-15" w:hanging="10"/>
      <w:outlineLvl w:val="1"/>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saflii.org/za/cases/ZACC/1999/8.html" TargetMode="External"/><Relationship Id="rId13" Type="http://schemas.openxmlformats.org/officeDocument/2006/relationships/hyperlink" Target="http://www.saflii.org/za/cases/ZACC/1999/8.html" TargetMode="Externa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saflii.org/za/cases/ZACC/1999/8.html" TargetMode="External"/><Relationship Id="rId12" Type="http://schemas.openxmlformats.org/officeDocument/2006/relationships/hyperlink" Target="http://www.saflii.org/za/cases/ZACC/1999/8.html"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flii.org/cgi-bin/LawCite?cit=1999%20%282%29%20SACR%2051"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saflii.org/cgi-bin/LawCite?cit=1999%20%282%29%20SACR%2051" TargetMode="Externa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yperlink" Target="https://www.saflii.org/cgi-bin/LawCite?cit=1999%20%282%29%20SACR%2051"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2599</Words>
  <Characters>14816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cp:lastModifiedBy>JSCIT</cp:lastModifiedBy>
  <cp:revision>2</cp:revision>
  <dcterms:created xsi:type="dcterms:W3CDTF">2026-03-27T14:05:00Z</dcterms:created>
  <dcterms:modified xsi:type="dcterms:W3CDTF">2026-03-27T14:05:00Z</dcterms:modified>
</cp:coreProperties>
</file>