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CDC" w:rsidRDefault="008D5798">
      <w:pPr>
        <w:spacing w:after="48" w:line="240" w:lineRule="auto"/>
        <w:ind w:right="-15"/>
        <w:jc w:val="left"/>
      </w:pPr>
      <w:bookmarkStart w:id="0" w:name="_GoBack"/>
      <w:bookmarkEnd w:id="0"/>
      <w:r>
        <w:rPr>
          <w:b/>
        </w:rPr>
        <w:t xml:space="preserve">KUDAKWASHE RUDOLF MAUNGANIDZE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Versus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REGISTRAR GENERAL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And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MINISTER OF HOME AFFAIRS AND CULTURAL HERITAGE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And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SECRETARY FOR FINANCE AND ECONOMIC DEVELOPMENT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And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SECRETARY FOR PUBLIC SERVICE COMMISSION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And  </w:t>
      </w:r>
    </w:p>
    <w:p w:rsidR="00FA1CDC" w:rsidRDefault="008D5798">
      <w:pPr>
        <w:spacing w:after="50" w:line="240" w:lineRule="auto"/>
        <w:ind w:left="0" w:firstLine="0"/>
        <w:jc w:val="left"/>
      </w:pPr>
      <w:r>
        <w:rPr>
          <w:b/>
        </w:rPr>
        <w:t xml:space="preserve"> </w:t>
      </w:r>
    </w:p>
    <w:p w:rsidR="00FA1CDC" w:rsidRDefault="008D5798">
      <w:pPr>
        <w:spacing w:after="48" w:line="240" w:lineRule="auto"/>
        <w:ind w:right="-15"/>
        <w:jc w:val="left"/>
      </w:pPr>
      <w:r>
        <w:rPr>
          <w:b/>
        </w:rPr>
        <w:t xml:space="preserve">PUBLIC SERVICE COMMISSION  </w:t>
      </w:r>
    </w:p>
    <w:p w:rsidR="00FA1CDC" w:rsidRDefault="008D5798">
      <w:pPr>
        <w:spacing w:after="46" w:line="240" w:lineRule="auto"/>
        <w:ind w:left="0" w:firstLine="0"/>
        <w:jc w:val="left"/>
      </w:pPr>
      <w:r>
        <w:rPr>
          <w:b/>
        </w:rPr>
        <w:t xml:space="preserve"> </w:t>
      </w:r>
    </w:p>
    <w:p w:rsidR="00FA1CDC" w:rsidRDefault="008D5798">
      <w:pPr>
        <w:pStyle w:val="Heading1"/>
      </w:pPr>
      <w:r>
        <w:t xml:space="preserve">IN THE HIGH COURT OF ZIMBABWE </w:t>
      </w:r>
    </w:p>
    <w:p w:rsidR="00FA1CDC" w:rsidRDefault="008D5798">
      <w:pPr>
        <w:pStyle w:val="Heading1"/>
      </w:pPr>
      <w:r>
        <w:t xml:space="preserve">DUBE-BANDA J </w:t>
      </w:r>
    </w:p>
    <w:p w:rsidR="00FA1CDC" w:rsidRDefault="008D5798">
      <w:pPr>
        <w:pStyle w:val="Heading1"/>
      </w:pPr>
      <w:r>
        <w:t xml:space="preserve">MASVINGO 16 January 2026 </w:t>
      </w:r>
    </w:p>
    <w:p w:rsidR="00FA1CDC" w:rsidRDefault="008D5798">
      <w:pPr>
        <w:spacing w:after="50" w:line="240" w:lineRule="auto"/>
        <w:ind w:left="0" w:firstLine="0"/>
        <w:jc w:val="left"/>
      </w:pPr>
      <w:r>
        <w:t xml:space="preserve"> </w:t>
      </w:r>
    </w:p>
    <w:p w:rsidR="00FA1CDC" w:rsidRDefault="008D5798">
      <w:pPr>
        <w:spacing w:after="48" w:line="240" w:lineRule="auto"/>
        <w:ind w:right="-15"/>
        <w:jc w:val="left"/>
      </w:pPr>
      <w:r>
        <w:rPr>
          <w:b/>
        </w:rPr>
        <w:t xml:space="preserve">Application for contempt of court </w:t>
      </w:r>
    </w:p>
    <w:p w:rsidR="00FA1CDC" w:rsidRDefault="008D5798">
      <w:pPr>
        <w:spacing w:after="46" w:line="240" w:lineRule="auto"/>
        <w:ind w:left="0" w:firstLine="0"/>
        <w:jc w:val="left"/>
      </w:pPr>
      <w:r>
        <w:t xml:space="preserve"> </w:t>
      </w:r>
    </w:p>
    <w:p w:rsidR="00FA1CDC" w:rsidRDefault="008D5798">
      <w:pPr>
        <w:spacing w:after="46" w:line="240" w:lineRule="auto"/>
        <w:ind w:left="0" w:firstLine="0"/>
        <w:jc w:val="left"/>
      </w:pPr>
      <w:r>
        <w:rPr>
          <w:i/>
        </w:rPr>
        <w:t>Ms. Y. C. Chandata</w:t>
      </w:r>
      <w:r>
        <w:t xml:space="preserve"> for the applicant </w:t>
      </w:r>
    </w:p>
    <w:p w:rsidR="00FA1CDC" w:rsidRDefault="008D5798">
      <w:pPr>
        <w:pStyle w:val="Heading1"/>
        <w:spacing w:after="330"/>
      </w:pPr>
      <w:r>
        <w:rPr>
          <w:i/>
        </w:rPr>
        <w:t xml:space="preserve">T. Undenge </w:t>
      </w:r>
      <w:r>
        <w:t xml:space="preserve">for the respondent </w:t>
      </w:r>
    </w:p>
    <w:p w:rsidR="00FA1CDC" w:rsidRDefault="008D5798">
      <w:pPr>
        <w:spacing w:after="182" w:line="240" w:lineRule="auto"/>
        <w:ind w:left="0" w:firstLine="0"/>
        <w:jc w:val="left"/>
      </w:pPr>
      <w:r>
        <w:rPr>
          <w:rFonts w:ascii="Calibri" w:eastAsia="Calibri" w:hAnsi="Calibri" w:cs="Calibri"/>
          <w:sz w:val="22"/>
        </w:rPr>
        <w:t xml:space="preserve"> </w:t>
      </w:r>
      <w:r>
        <w:rPr>
          <w:rFonts w:ascii="Calibri" w:eastAsia="Calibri" w:hAnsi="Calibri" w:cs="Calibri"/>
          <w:sz w:val="22"/>
        </w:rPr>
        <w:tab/>
      </w:r>
      <w:r>
        <w:rPr>
          <w:b/>
        </w:rPr>
        <w:t>DUBE-BANDA J:</w:t>
      </w:r>
      <w:r>
        <w:t xml:space="preserve"> </w:t>
      </w:r>
    </w:p>
    <w:p w:rsidR="00FA1CDC" w:rsidRDefault="008D5798">
      <w:pPr>
        <w:spacing w:after="185" w:line="240" w:lineRule="auto"/>
        <w:ind w:left="0" w:firstLine="0"/>
        <w:jc w:val="left"/>
      </w:pPr>
      <w:r>
        <w:t xml:space="preserve"> </w:t>
      </w:r>
    </w:p>
    <w:p w:rsidR="00FA1CDC" w:rsidRDefault="008D5798">
      <w:pPr>
        <w:numPr>
          <w:ilvl w:val="0"/>
          <w:numId w:val="1"/>
        </w:numPr>
        <w:ind w:hanging="334"/>
      </w:pPr>
      <w:r>
        <w:t xml:space="preserve">This matter was argued before me on 16 January 2026, and after hearing submissions from the parties, and in an </w:t>
      </w:r>
      <w:r>
        <w:rPr>
          <w:i/>
        </w:rPr>
        <w:t>ex-tempore</w:t>
      </w:r>
      <w:r>
        <w:t xml:space="preserve"> judgment, I dismissed it with costs. I have not been requested for detailed written reasons, but I have decided to provide them, nonet</w:t>
      </w:r>
      <w:r>
        <w:t xml:space="preserve">heless. These are the reasons. </w:t>
      </w:r>
      <w:r>
        <w:t xml:space="preserve"> </w:t>
      </w:r>
    </w:p>
    <w:p w:rsidR="00FA1CDC" w:rsidRDefault="008D5798">
      <w:pPr>
        <w:numPr>
          <w:ilvl w:val="0"/>
          <w:numId w:val="1"/>
        </w:numPr>
        <w:ind w:hanging="334"/>
      </w:pPr>
      <w:r>
        <w:lastRenderedPageBreak/>
        <w:t>This is a chamber application for contempt of court in terms of r 79 of the High Court Rules, 2021. The applicant seeks an order that the respondents be found to be in contempt of court, and that they be ordered to comply w</w:t>
      </w:r>
      <w:r>
        <w:t xml:space="preserve">ith the Labour Court order in case number LCMD106/24, and that, in the event of failure to comply, they be committed to prison until they purge their contempt. </w:t>
      </w:r>
      <w:r>
        <w:t xml:space="preserve"> </w:t>
      </w:r>
    </w:p>
    <w:p w:rsidR="00FA1CDC" w:rsidRDefault="008D5798">
      <w:pPr>
        <w:numPr>
          <w:ilvl w:val="0"/>
          <w:numId w:val="1"/>
        </w:numPr>
        <w:spacing w:after="0" w:line="240" w:lineRule="auto"/>
        <w:ind w:hanging="334"/>
      </w:pPr>
      <w:r>
        <w:t xml:space="preserve">The application is opposed by all the respondents. </w:t>
      </w:r>
      <w:r>
        <w:t xml:space="preserve"> </w:t>
      </w:r>
    </w:p>
    <w:p w:rsidR="00FA1CDC" w:rsidRDefault="008D5798">
      <w:pPr>
        <w:numPr>
          <w:ilvl w:val="0"/>
          <w:numId w:val="1"/>
        </w:numPr>
        <w:ind w:hanging="334"/>
      </w:pPr>
      <w:r>
        <w:t xml:space="preserve">This application will be understood from </w:t>
      </w:r>
      <w:r>
        <w:t>the following background. The applicant, a government employee, was engaged by the Registrar General in the mobile registration exercise for the period 1 September 2022 to 30 September 2022, making a period of thirty days. The applicant contends that he wa</w:t>
      </w:r>
      <w:r>
        <w:t>s entitled to payment of USD$120-00 per day, making a total of USD3,600.00. He contends further that on 22 June 2023; he was paid ZW$1,782,000.00. It is contended that at the time of payment the official interbank rate was ZW$6840-00</w:t>
      </w:r>
      <w:r>
        <w:rPr>
          <w:i/>
        </w:rPr>
        <w:t xml:space="preserve"> per</w:t>
      </w:r>
      <w:r>
        <w:t xml:space="preserve"> one United States </w:t>
      </w:r>
      <w:r>
        <w:t>dollar, and therefore the amount paid was USD$260.00. It is further contended that the amount paid left a balance of USD3,340.00. Aggrieved by the nonpayment of the balance, the applicant approached the Labour Court seeking an order that the respondents pa</w:t>
      </w:r>
      <w:r>
        <w:t>y the outstanding amount. On 6 March 2026, the Labour Court made an order couched as follows:</w:t>
      </w:r>
      <w:r>
        <w:t xml:space="preserve">  </w:t>
      </w:r>
      <w:r>
        <w:t>It is ordered that:</w:t>
      </w:r>
      <w:r>
        <w:t xml:space="preserve"> </w:t>
      </w:r>
    </w:p>
    <w:p w:rsidR="00FA1CDC" w:rsidRDefault="008D5798">
      <w:pPr>
        <w:numPr>
          <w:ilvl w:val="1"/>
          <w:numId w:val="1"/>
        </w:numPr>
        <w:ind w:hanging="554"/>
      </w:pPr>
      <w:r>
        <w:t xml:space="preserve">Respondents shall pay the applicant the outstanding allowances at the prevailing bank rate on the date of payment. </w:t>
      </w:r>
      <w:r>
        <w:t xml:space="preserve"> </w:t>
      </w:r>
    </w:p>
    <w:p w:rsidR="00FA1CDC" w:rsidRDefault="008D5798">
      <w:pPr>
        <w:numPr>
          <w:ilvl w:val="1"/>
          <w:numId w:val="1"/>
        </w:numPr>
        <w:spacing w:line="240" w:lineRule="auto"/>
        <w:ind w:hanging="554"/>
      </w:pPr>
      <w:r>
        <w:t xml:space="preserve">Respondents shall pay the costs. </w:t>
      </w:r>
      <w:r>
        <w:t xml:space="preserve"> </w:t>
      </w:r>
    </w:p>
    <w:p w:rsidR="00FA1CDC" w:rsidRDefault="008D5798">
      <w:pPr>
        <w:spacing w:after="185" w:line="240" w:lineRule="auto"/>
        <w:ind w:left="0" w:firstLine="0"/>
        <w:jc w:val="left"/>
      </w:pPr>
      <w:r>
        <w:t xml:space="preserve"> </w:t>
      </w:r>
    </w:p>
    <w:p w:rsidR="00FA1CDC" w:rsidRDefault="008D5798">
      <w:pPr>
        <w:numPr>
          <w:ilvl w:val="0"/>
          <w:numId w:val="1"/>
        </w:numPr>
        <w:ind w:hanging="334"/>
      </w:pPr>
      <w:r>
        <w:t>The applicant contends that pursuant to the above order, he engaged the respondents seeking compliance with the order to no avail. It is against this background that the applicant filed this application seeking the reli</w:t>
      </w:r>
      <w:r>
        <w:t xml:space="preserve">ef stated above. </w:t>
      </w:r>
      <w:r>
        <w:t xml:space="preserve"> </w:t>
      </w:r>
    </w:p>
    <w:p w:rsidR="00FA1CDC" w:rsidRDefault="008D5798">
      <w:pPr>
        <w:numPr>
          <w:ilvl w:val="0"/>
          <w:numId w:val="1"/>
        </w:numPr>
        <w:ind w:hanging="334"/>
      </w:pPr>
      <w:r>
        <w:t xml:space="preserve">Contempt proceedings serve three important purposes: namely, protecting the rights of everyone to a fair trial, maintaining public confidence in the judicial system, and upholding the integrity of court orders. In </w:t>
      </w:r>
      <w:r>
        <w:rPr>
          <w:i/>
        </w:rPr>
        <w:t xml:space="preserve">H J Voster (Pvt) Ltd </w:t>
      </w:r>
      <w:r>
        <w:t>v</w:t>
      </w:r>
      <w:r>
        <w:rPr>
          <w:i/>
        </w:rPr>
        <w:t xml:space="preserve"> </w:t>
      </w:r>
      <w:r>
        <w:rPr>
          <w:i/>
        </w:rPr>
        <w:t xml:space="preserve">Parks and Wildlife Management Authority </w:t>
      </w:r>
      <w:r>
        <w:t xml:space="preserve">2020 (2) ZLR 1075 (H), the court said: </w:t>
      </w:r>
      <w:r>
        <w:t xml:space="preserve"> </w:t>
      </w:r>
    </w:p>
    <w:p w:rsidR="00FA1CDC" w:rsidRDefault="008D5798">
      <w:pPr>
        <w:spacing w:after="81" w:line="267" w:lineRule="auto"/>
        <w:ind w:left="715"/>
      </w:pPr>
      <w:r>
        <w:rPr>
          <w:sz w:val="22"/>
        </w:rPr>
        <w:t>“The crime of contempt of court is committed internationally and in relation to the administration of justice in the courts. The object of proceedings for contempt is to punis</w:t>
      </w:r>
      <w:r>
        <w:rPr>
          <w:sz w:val="22"/>
        </w:rPr>
        <w:t xml:space="preserve">h disobedience so as to enforce an order of court and, in particular, an order </w:t>
      </w:r>
      <w:r>
        <w:rPr>
          <w:i/>
          <w:sz w:val="22"/>
        </w:rPr>
        <w:t>ad factum praestandum,</w:t>
      </w:r>
      <w:r>
        <w:rPr>
          <w:sz w:val="22"/>
        </w:rPr>
        <w:t xml:space="preserve"> that is to say, orders to do or abstain from doing a particular act. Failure to comply </w:t>
      </w:r>
      <w:r>
        <w:rPr>
          <w:sz w:val="22"/>
        </w:rPr>
        <w:lastRenderedPageBreak/>
        <w:t>with such orders may render the other party without a suitable or a</w:t>
      </w:r>
      <w:r>
        <w:rPr>
          <w:sz w:val="22"/>
        </w:rPr>
        <w:t xml:space="preserve">ny remedy, and at the same time constitute disrespect for the court which granted the order. See </w:t>
      </w:r>
      <w:r>
        <w:rPr>
          <w:i/>
          <w:sz w:val="22"/>
        </w:rPr>
        <w:t>Myo v Macheka</w:t>
      </w:r>
      <w:r>
        <w:rPr>
          <w:sz w:val="22"/>
        </w:rPr>
        <w:t xml:space="preserve"> S-55-05 at p 7; </w:t>
      </w:r>
      <w:r>
        <w:rPr>
          <w:i/>
          <w:sz w:val="22"/>
        </w:rPr>
        <w:t xml:space="preserve">Whata v Whata </w:t>
      </w:r>
      <w:r>
        <w:rPr>
          <w:sz w:val="22"/>
        </w:rPr>
        <w:t xml:space="preserve">1994 (2) ZLR 277(S); </w:t>
      </w:r>
      <w:r>
        <w:rPr>
          <w:i/>
          <w:sz w:val="22"/>
        </w:rPr>
        <w:t>Scheelite King Mining Company Ltd v Mahachi</w:t>
      </w:r>
      <w:r>
        <w:rPr>
          <w:sz w:val="22"/>
        </w:rPr>
        <w:t xml:space="preserve"> 1998 (1) ZLR 173 (H); </w:t>
      </w:r>
      <w:r>
        <w:rPr>
          <w:i/>
          <w:sz w:val="22"/>
        </w:rPr>
        <w:t>Mukambirwa &amp; Ors v Gospel of</w:t>
      </w:r>
      <w:r>
        <w:rPr>
          <w:i/>
          <w:sz w:val="22"/>
        </w:rPr>
        <w:t xml:space="preserve"> God Church International 1932</w:t>
      </w:r>
      <w:r>
        <w:rPr>
          <w:sz w:val="22"/>
        </w:rPr>
        <w:t xml:space="preserve"> 2014 (1) ZLR 207 (S).” </w:t>
      </w:r>
      <w:r>
        <w:rPr>
          <w:sz w:val="22"/>
        </w:rPr>
        <w:t xml:space="preserve"> </w:t>
      </w:r>
    </w:p>
    <w:p w:rsidR="00FA1CDC" w:rsidRDefault="008D5798">
      <w:pPr>
        <w:spacing w:after="185" w:line="240" w:lineRule="auto"/>
        <w:ind w:left="0" w:firstLine="0"/>
        <w:jc w:val="left"/>
      </w:pPr>
      <w:r>
        <w:t xml:space="preserve"> </w:t>
      </w:r>
    </w:p>
    <w:p w:rsidR="00FA1CDC" w:rsidRDefault="008D5798">
      <w:pPr>
        <w:numPr>
          <w:ilvl w:val="0"/>
          <w:numId w:val="1"/>
        </w:numPr>
        <w:ind w:hanging="334"/>
      </w:pPr>
      <w:r>
        <w:t>Contempt of court is committed where one wilfully and</w:t>
      </w:r>
      <w:r>
        <w:t xml:space="preserve"> </w:t>
      </w:r>
      <w:r>
        <w:rPr>
          <w:i/>
        </w:rPr>
        <w:t>mala fide</w:t>
      </w:r>
      <w:r>
        <w:t xml:space="preserve"> </w:t>
      </w:r>
      <w:r>
        <w:t xml:space="preserve">refuses to comply with an order of court. The essentials of contempt of court are the following: that there is a court order which is </w:t>
      </w:r>
      <w:r>
        <w:t>extant; that the order has been either served on the individuals concerned, or has come to their personal notice; that the individual(s) in question know what it requires them to do or not to do, and; knowing what that order dictates, the individuals conce</w:t>
      </w:r>
      <w:r>
        <w:t xml:space="preserve">rned deliberately and consciously disobeyed the order. See </w:t>
      </w:r>
      <w:r>
        <w:rPr>
          <w:i/>
        </w:rPr>
        <w:t xml:space="preserve">Borges </w:t>
      </w:r>
      <w:r>
        <w:t>v</w:t>
      </w:r>
      <w:r>
        <w:rPr>
          <w:i/>
        </w:rPr>
        <w:t xml:space="preserve"> Shumba</w:t>
      </w:r>
      <w:r>
        <w:t xml:space="preserve"> </w:t>
      </w:r>
      <w:r>
        <w:t>HH 403/21;</w:t>
      </w:r>
      <w:r>
        <w:t xml:space="preserve"> </w:t>
      </w:r>
      <w:r>
        <w:rPr>
          <w:i/>
        </w:rPr>
        <w:t xml:space="preserve">Simba Mukambirwa &amp; 7 Ors </w:t>
      </w:r>
      <w:r>
        <w:t>v</w:t>
      </w:r>
      <w:r>
        <w:t xml:space="preserve"> </w:t>
      </w:r>
      <w:r>
        <w:rPr>
          <w:i/>
        </w:rPr>
        <w:t xml:space="preserve">The Gospel of God Church International </w:t>
      </w:r>
      <w:r>
        <w:t>SC 8/2014</w:t>
      </w:r>
      <w:r>
        <w:t xml:space="preserve"> </w:t>
      </w:r>
      <w:r>
        <w:rPr>
          <w:i/>
        </w:rPr>
        <w:t xml:space="preserve">Batezat </w:t>
      </w:r>
      <w:r>
        <w:t>v</w:t>
      </w:r>
      <w:r>
        <w:rPr>
          <w:i/>
        </w:rPr>
        <w:t xml:space="preserve"> Permassan</w:t>
      </w:r>
      <w:r>
        <w:t xml:space="preserve"> </w:t>
      </w:r>
      <w:r>
        <w:t>(Pvt) Ltd SC 49/09.</w:t>
      </w:r>
      <w:r>
        <w:t xml:space="preserve"> </w:t>
      </w:r>
    </w:p>
    <w:p w:rsidR="00FA1CDC" w:rsidRDefault="008D5798">
      <w:pPr>
        <w:numPr>
          <w:ilvl w:val="0"/>
          <w:numId w:val="1"/>
        </w:numPr>
        <w:ind w:hanging="334"/>
      </w:pPr>
      <w:r>
        <w:t>It is trite that orders requiring compliance are, gen</w:t>
      </w:r>
      <w:r>
        <w:t xml:space="preserve">erally speaking, divided into two categories: orders </w:t>
      </w:r>
      <w:r>
        <w:rPr>
          <w:i/>
        </w:rPr>
        <w:t xml:space="preserve">ad pecuniam solvendam </w:t>
      </w:r>
      <w:r>
        <w:t xml:space="preserve">(i.e., orders to pay a sum of money) and orders </w:t>
      </w:r>
      <w:r>
        <w:rPr>
          <w:i/>
        </w:rPr>
        <w:t>ad factum praestandum</w:t>
      </w:r>
      <w:r>
        <w:t xml:space="preserve"> (i.e., orders to abstain from doing a particular act). Not every court order can be enforced by contempt of cou</w:t>
      </w:r>
      <w:r>
        <w:t xml:space="preserve">rt proceedings. The order must be </w:t>
      </w:r>
      <w:r>
        <w:rPr>
          <w:i/>
        </w:rPr>
        <w:t xml:space="preserve">ad factum praestandum </w:t>
      </w:r>
      <w:r>
        <w:t>before the court enforces it by means of contempt of court. When the order is for payment of money, it cannot be enforced by contempt of court, even if the person ordered to pay has the means to do so</w:t>
      </w:r>
      <w:r>
        <w:t xml:space="preserve"> but refuses to pay. See Herbstein &amp; Van Winsen </w:t>
      </w:r>
      <w:r>
        <w:rPr>
          <w:i/>
        </w:rPr>
        <w:t xml:space="preserve">The Civil Practice of the High Courts of South Africa </w:t>
      </w:r>
      <w:r>
        <w:t xml:space="preserve">(Juta Vol. 2) 1106; </w:t>
      </w:r>
      <w:r>
        <w:rPr>
          <w:i/>
        </w:rPr>
        <w:t>Naidu v Naidoo</w:t>
      </w:r>
      <w:r>
        <w:t xml:space="preserve"> 1993 (4) SA 542 (D) at 545 G-I. </w:t>
      </w:r>
      <w:r>
        <w:t xml:space="preserve"> </w:t>
      </w:r>
      <w:r>
        <w:t xml:space="preserve">[9] In </w:t>
      </w:r>
      <w:r>
        <w:rPr>
          <w:i/>
        </w:rPr>
        <w:t>casu</w:t>
      </w:r>
      <w:r>
        <w:t>, the order sought to be enforced through contempt of court proceedings sou</w:t>
      </w:r>
      <w:r>
        <w:t xml:space="preserve">nds in money. It is trite that such an order, being </w:t>
      </w:r>
      <w:r>
        <w:rPr>
          <w:i/>
        </w:rPr>
        <w:t>pecuniam solvendam,</w:t>
      </w:r>
      <w:r>
        <w:t xml:space="preserve"> cannot be enforced through contempt proceedings. Ms. </w:t>
      </w:r>
      <w:r>
        <w:rPr>
          <w:i/>
        </w:rPr>
        <w:t>Chandata</w:t>
      </w:r>
      <w:r>
        <w:t>, counsel for the applicant, submitted that since by operation of s 5 of the State Liabilities Act [</w:t>
      </w:r>
      <w:r>
        <w:rPr>
          <w:i/>
        </w:rPr>
        <w:t>Chapter 8:14</w:t>
      </w:r>
      <w:r>
        <w:t>] no execut</w:t>
      </w:r>
      <w:r>
        <w:t xml:space="preserve">ion shall be issued against the property of the State, the applicant is entitled to proceed against the respondents by way of contempt of court proceedings. Counsel placed reliance on the judgment in </w:t>
      </w:r>
      <w:r>
        <w:rPr>
          <w:i/>
        </w:rPr>
        <w:t xml:space="preserve">Tryness Kabiti </w:t>
      </w:r>
      <w:r>
        <w:t>v</w:t>
      </w:r>
      <w:r>
        <w:rPr>
          <w:i/>
        </w:rPr>
        <w:t xml:space="preserve"> Director General Central Intelligence Organization N.O. and Another</w:t>
      </w:r>
      <w:r>
        <w:t xml:space="preserve"> HH 213-2025 for this submission. </w:t>
      </w:r>
      <w:r>
        <w:t xml:space="preserve"> </w:t>
      </w:r>
    </w:p>
    <w:p w:rsidR="00FA1CDC" w:rsidRDefault="008D5798">
      <w:pPr>
        <w:numPr>
          <w:ilvl w:val="0"/>
          <w:numId w:val="2"/>
        </w:numPr>
      </w:pPr>
      <w:r>
        <w:t xml:space="preserve">The view I take is that this submission arises from an incorrect interpretation of s 5 of the State Liabilities Act.  In fact, s 5 (2) says: </w:t>
      </w:r>
      <w:r>
        <w:t xml:space="preserve"> </w:t>
      </w:r>
    </w:p>
    <w:p w:rsidR="00FA1CDC" w:rsidRDefault="008D5798">
      <w:pPr>
        <w:spacing w:after="81" w:line="267" w:lineRule="auto"/>
        <w:ind w:left="715"/>
      </w:pPr>
      <w:r>
        <w:rPr>
          <w:sz w:val="22"/>
        </w:rPr>
        <w:lastRenderedPageBreak/>
        <w:t>“</w:t>
      </w:r>
      <w:r>
        <w:rPr>
          <w:sz w:val="22"/>
          <w:u w:val="single" w:color="000000"/>
        </w:rPr>
        <w:t xml:space="preserve">Subject </w:t>
      </w:r>
      <w:r>
        <w:rPr>
          <w:sz w:val="22"/>
          <w:u w:val="single" w:color="000000"/>
        </w:rPr>
        <w:t>to this section, no execution or attachment or process in the nature thereof shall be</w:t>
      </w:r>
      <w:r>
        <w:rPr>
          <w:sz w:val="22"/>
        </w:rPr>
        <w:t xml:space="preserve"> </w:t>
      </w:r>
      <w:r>
        <w:rPr>
          <w:sz w:val="22"/>
          <w:u w:val="single" w:color="000000"/>
        </w:rPr>
        <w:t>issued against the defendant or respondent in any action or proceedings referred to in section</w:t>
      </w:r>
      <w:r>
        <w:rPr>
          <w:sz w:val="22"/>
        </w:rPr>
        <w:t xml:space="preserve"> </w:t>
      </w:r>
      <w:r>
        <w:rPr>
          <w:sz w:val="22"/>
          <w:u w:val="single" w:color="000000"/>
        </w:rPr>
        <w:t>two or against any property of the State,</w:t>
      </w:r>
      <w:r>
        <w:rPr>
          <w:sz w:val="22"/>
        </w:rPr>
        <w:t xml:space="preserve"> but the nominal defendant or resp</w:t>
      </w:r>
      <w:r>
        <w:rPr>
          <w:sz w:val="22"/>
        </w:rPr>
        <w:t>ondent may cause to be paid out of the Consolidated Revenue Fund such money as may be, by judgment or order of the court, be awarded to the plaintiff, the applicant or the petitioner, as the case may be.”</w:t>
      </w:r>
      <w:r>
        <w:t xml:space="preserve"> (My emphasis). </w:t>
      </w:r>
      <w:r>
        <w:t xml:space="preserve"> </w:t>
      </w:r>
    </w:p>
    <w:p w:rsidR="00FA1CDC" w:rsidRDefault="008D5798">
      <w:pPr>
        <w:spacing w:after="81" w:line="240" w:lineRule="auto"/>
        <w:ind w:left="0" w:firstLine="0"/>
        <w:jc w:val="left"/>
      </w:pPr>
      <w:r>
        <w:rPr>
          <w:sz w:val="22"/>
        </w:rPr>
        <w:t xml:space="preserve"> </w:t>
      </w:r>
    </w:p>
    <w:p w:rsidR="00FA1CDC" w:rsidRDefault="008D5798">
      <w:pPr>
        <w:numPr>
          <w:ilvl w:val="0"/>
          <w:numId w:val="2"/>
        </w:numPr>
      </w:pPr>
      <w:r>
        <w:t>A closer reading of s 5(2) shows</w:t>
      </w:r>
      <w:r>
        <w:t xml:space="preserve"> that it protects not only the property of the State against execution and attachment, but also the execution and attachment against the State employees, i.e., the nominal defendants. It says, “no execution or attachment or process in the nature thereof sh</w:t>
      </w:r>
      <w:r>
        <w:t>all be issued against the defendant or respondent in any action or proceedings referred to in section two or against any property of the State,” this means there shall be no execution against the State and its employees. The provision does not leave the St</w:t>
      </w:r>
      <w:r>
        <w:t>ate employees vulnerable to attachment in person for judgment debts arising from judgments or orders against the State. The view I take is that since contempt of court proceedings seek the attachment in person of the employees of the State, it is not avail</w:t>
      </w:r>
      <w:r>
        <w:t xml:space="preserve">able as a remedy in a case where the judgment debtor is the State. Therefore, to the extent the judgment in </w:t>
      </w:r>
      <w:r>
        <w:rPr>
          <w:i/>
        </w:rPr>
        <w:t>Tryness Kabiti</w:t>
      </w:r>
      <w:r>
        <w:t xml:space="preserve"> v </w:t>
      </w:r>
      <w:r>
        <w:rPr>
          <w:i/>
        </w:rPr>
        <w:t xml:space="preserve">Director General Central Intelligence Organization N.O. and Another (supra) </w:t>
      </w:r>
      <w:r>
        <w:t xml:space="preserve">suggests that an employee of the State may be attached </w:t>
      </w:r>
      <w:r>
        <w:t xml:space="preserve">in person and lodged in prison for the judgment debt of the State, I respectfully disagree with it, and being a judgment of a single judge of this court, I am, on good cause, at liberty not to follow it. </w:t>
      </w:r>
      <w:r>
        <w:t xml:space="preserve"> </w:t>
      </w:r>
    </w:p>
    <w:p w:rsidR="00FA1CDC" w:rsidRDefault="008D5798">
      <w:pPr>
        <w:numPr>
          <w:ilvl w:val="0"/>
          <w:numId w:val="2"/>
        </w:numPr>
      </w:pPr>
      <w:r>
        <w:t>A litigant holding a judgment sounding in money ag</w:t>
      </w:r>
      <w:r>
        <w:t>ainst the State is not left without a remedy. He or she must turn to the Consolidated Revenue Fund. How that can be achieved is not of concern to this court in this matter. It is for the affected litigant to think carefully about how to pursue payment from</w:t>
      </w:r>
      <w:r>
        <w:t xml:space="preserve"> the Consolidated Revenue Fund. The order sought to be enforced through contempt of court proceedings sounds in money. Such an order, being </w:t>
      </w:r>
      <w:r>
        <w:rPr>
          <w:i/>
        </w:rPr>
        <w:t>pecuniam solvendam,</w:t>
      </w:r>
      <w:r>
        <w:t xml:space="preserve"> cannot be enforced through such proceedings. This must signal the end of this matter, however, f</w:t>
      </w:r>
      <w:r>
        <w:t xml:space="preserve">or the purposes of completeness, I procced to deal with another important issue arising from this case. </w:t>
      </w:r>
      <w:r>
        <w:t xml:space="preserve"> </w:t>
      </w:r>
    </w:p>
    <w:p w:rsidR="00FA1CDC" w:rsidRDefault="008D5798">
      <w:pPr>
        <w:numPr>
          <w:ilvl w:val="0"/>
          <w:numId w:val="2"/>
        </w:numPr>
      </w:pPr>
      <w:r>
        <w:t>The other important issue arising from this case is that this matter would have failed on another important score. As stated above, in contempt procee</w:t>
      </w:r>
      <w:r>
        <w:t>dings, the court must be satisfied that there is a court order which is extant; that the order has been either served on the individuals concerned, or has come to their personal notice; that the individual(s) in question know what it requires them to do or</w:t>
      </w:r>
      <w:r>
        <w:t xml:space="preserve"> not to do, and; knowing what that order dictates, the individuals </w:t>
      </w:r>
      <w:r>
        <w:lastRenderedPageBreak/>
        <w:t xml:space="preserve">concerned deliberately and consciously disobeyed the order. In </w:t>
      </w:r>
      <w:r>
        <w:rPr>
          <w:i/>
        </w:rPr>
        <w:t>casu</w:t>
      </w:r>
      <w:r>
        <w:t>, the order sought to be enforced merely says the “respondents shall pay the applicant the outstanding allowances at the p</w:t>
      </w:r>
      <w:r>
        <w:t>revailing bank rate on the date of payment.” Counsel argued that notwithstanding the fact that the amount payable to the applicant is not stated in the order, the respondents know the amount they were ordered to pay. In dealing with contempt of court, this</w:t>
      </w:r>
      <w:r>
        <w:t xml:space="preserve"> court confines itself within the four corners of the order sought to be enforced. The discussions, agreements, and or consents that preceded the granting of the order are irrelevant in this inquiry. The court looks at the court order alone. See </w:t>
      </w:r>
      <w:r>
        <w:rPr>
          <w:i/>
        </w:rPr>
        <w:t>H J Voster</w:t>
      </w:r>
      <w:r>
        <w:rPr>
          <w:i/>
        </w:rPr>
        <w:t xml:space="preserve"> (Pvt) Ltd </w:t>
      </w:r>
      <w:r>
        <w:t>v</w:t>
      </w:r>
      <w:r>
        <w:rPr>
          <w:i/>
        </w:rPr>
        <w:t xml:space="preserve"> Parks and Wildlife Management Authority </w:t>
      </w:r>
      <w:r>
        <w:t>2020 (2) ZLR 1075 (H). Therefore, to the extent that the order sought to be enforced does not state the amount payable to the applicant, it is not clear, not exact, not precise, and cannot be enforced th</w:t>
      </w:r>
      <w:r>
        <w:t xml:space="preserve">rough contempt of court proceedings. It is a vague and incomplete order; it does not inform this court and the respondents of the exact amount to be paid to the applicant. Contempt of court proceedings is not available as a remedy to a litigant armed with </w:t>
      </w:r>
      <w:r>
        <w:t xml:space="preserve">such a vague and incomplete order. </w:t>
      </w:r>
      <w:r>
        <w:t xml:space="preserve"> </w:t>
      </w:r>
    </w:p>
    <w:p w:rsidR="00FA1CDC" w:rsidRDefault="008D5798">
      <w:pPr>
        <w:numPr>
          <w:ilvl w:val="0"/>
          <w:numId w:val="2"/>
        </w:numPr>
      </w:pPr>
      <w:r>
        <w:t xml:space="preserve">It is for the above reasons that this application is stillborn. It has not been properly thought out. It has no merit and stands to be dismissed. </w:t>
      </w:r>
      <w:r>
        <w:t xml:space="preserve"> </w:t>
      </w:r>
    </w:p>
    <w:p w:rsidR="00FA1CDC" w:rsidRDefault="008D5798">
      <w:pPr>
        <w:numPr>
          <w:ilvl w:val="0"/>
          <w:numId w:val="2"/>
        </w:numPr>
      </w:pPr>
      <w:r>
        <w:t xml:space="preserve">For completeness, the issues dispositive of this matter were raised by </w:t>
      </w:r>
      <w:r>
        <w:t xml:space="preserve">the court </w:t>
      </w:r>
      <w:r>
        <w:rPr>
          <w:i/>
        </w:rPr>
        <w:t>mero motu</w:t>
      </w:r>
      <w:r>
        <w:t>, and the parties were invited to make submissions in respect thereof. It is the exclusive function of the court to grant an order, and it cannot grant an incompetent or unmerited order merely because the respondents have failed to prope</w:t>
      </w:r>
      <w:r>
        <w:t xml:space="preserve">rly contest the application. A court that grants an incompetent order, or an unmerited order because the application is poorly challenged is, in fact, abdicating its judicial function. </w:t>
      </w:r>
      <w:r>
        <w:t xml:space="preserve"> </w:t>
      </w:r>
    </w:p>
    <w:p w:rsidR="00FA1CDC" w:rsidRDefault="008D5798">
      <w:pPr>
        <w:numPr>
          <w:ilvl w:val="0"/>
          <w:numId w:val="2"/>
        </w:numPr>
      </w:pPr>
      <w:r>
        <w:t>There remains to be considered the question of costs. No good grounds</w:t>
      </w:r>
      <w:r>
        <w:t xml:space="preserve"> exist for a departure from the general rule that costs follow the event. The respondents are clearly entitled to their costs.</w:t>
      </w:r>
      <w:r>
        <w:t xml:space="preserve"> </w:t>
      </w:r>
    </w:p>
    <w:p w:rsidR="00FA1CDC" w:rsidRDefault="008D5798">
      <w:pPr>
        <w:spacing w:after="185" w:line="240" w:lineRule="auto"/>
        <w:ind w:left="0" w:firstLine="0"/>
        <w:jc w:val="left"/>
      </w:pPr>
      <w:r>
        <w:t xml:space="preserve"> </w:t>
      </w:r>
    </w:p>
    <w:p w:rsidR="00FA1CDC" w:rsidRDefault="008D5798">
      <w:pPr>
        <w:spacing w:line="240" w:lineRule="auto"/>
      </w:pPr>
      <w:r>
        <w:t xml:space="preserve">It is for these reasons that I dismissed this application with costs. </w:t>
      </w:r>
      <w:r>
        <w:t xml:space="preserve"> </w:t>
      </w:r>
    </w:p>
    <w:p w:rsidR="00FA1CDC" w:rsidRDefault="008D5798">
      <w:pPr>
        <w:spacing w:after="185" w:line="240" w:lineRule="auto"/>
        <w:ind w:left="0" w:firstLine="0"/>
        <w:jc w:val="left"/>
      </w:pPr>
      <w:r>
        <w:t xml:space="preserve"> </w:t>
      </w:r>
    </w:p>
    <w:p w:rsidR="00FA1CDC" w:rsidRDefault="008D5798">
      <w:pPr>
        <w:spacing w:after="182" w:line="240" w:lineRule="auto"/>
        <w:ind w:left="0" w:firstLine="0"/>
        <w:jc w:val="left"/>
      </w:pPr>
      <w:r>
        <w:t xml:space="preserve"> </w:t>
      </w:r>
    </w:p>
    <w:p w:rsidR="00FA1CDC" w:rsidRDefault="008D5798">
      <w:pPr>
        <w:spacing w:after="88" w:line="240" w:lineRule="auto"/>
      </w:pPr>
      <w:r>
        <w:rPr>
          <w:i/>
        </w:rPr>
        <w:t xml:space="preserve">H. Tafa &amp; Associates, </w:t>
      </w:r>
      <w:r>
        <w:t>applicant’s legal practitioners</w:t>
      </w:r>
      <w:r>
        <w:rPr>
          <w:i/>
        </w:rPr>
        <w:t xml:space="preserve">  </w:t>
      </w:r>
    </w:p>
    <w:p w:rsidR="00FA1CDC" w:rsidRDefault="008D5798">
      <w:pPr>
        <w:spacing w:after="89" w:line="240" w:lineRule="auto"/>
        <w:ind w:left="0" w:firstLine="0"/>
        <w:jc w:val="left"/>
      </w:pPr>
      <w:r>
        <w:rPr>
          <w:i/>
        </w:rPr>
        <w:lastRenderedPageBreak/>
        <w:t>Civil Division of the Attorney General’s Office,</w:t>
      </w:r>
      <w:r>
        <w:t xml:space="preserve"> legal practitioners for the 1</w:t>
      </w:r>
      <w:r>
        <w:rPr>
          <w:vertAlign w:val="superscript"/>
        </w:rPr>
        <w:t>st</w:t>
      </w:r>
      <w:r>
        <w:t xml:space="preserve"> to 6</w:t>
      </w:r>
      <w:r>
        <w:rPr>
          <w:vertAlign w:val="superscript"/>
        </w:rPr>
        <w:t>th</w:t>
      </w:r>
      <w:r>
        <w:t xml:space="preserve"> respondents </w:t>
      </w:r>
      <w:r>
        <w:t xml:space="preserve"> </w:t>
      </w:r>
    </w:p>
    <w:p w:rsidR="00FA1CDC" w:rsidRDefault="008D5798">
      <w:pPr>
        <w:spacing w:after="182" w:line="240" w:lineRule="auto"/>
        <w:ind w:left="0" w:firstLine="0"/>
        <w:jc w:val="left"/>
      </w:pPr>
      <w:r>
        <w:t xml:space="preserve"> </w:t>
      </w:r>
    </w:p>
    <w:p w:rsidR="00FA1CDC" w:rsidRDefault="008D5798">
      <w:pPr>
        <w:spacing w:after="0" w:line="240" w:lineRule="auto"/>
        <w:ind w:left="0" w:firstLine="0"/>
        <w:jc w:val="left"/>
      </w:pPr>
      <w:r>
        <w:t xml:space="preserve"> </w:t>
      </w:r>
    </w:p>
    <w:sectPr w:rsidR="00FA1CDC">
      <w:headerReference w:type="even" r:id="rId7"/>
      <w:headerReference w:type="default" r:id="rId8"/>
      <w:headerReference w:type="first" r:id="rId9"/>
      <w:pgSz w:w="11906" w:h="16838"/>
      <w:pgMar w:top="1840" w:right="1435" w:bottom="1513" w:left="1440" w:header="75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798" w:rsidRDefault="008D5798">
      <w:pPr>
        <w:spacing w:after="0" w:line="240" w:lineRule="auto"/>
      </w:pPr>
      <w:r>
        <w:separator/>
      </w:r>
    </w:p>
  </w:endnote>
  <w:endnote w:type="continuationSeparator" w:id="0">
    <w:p w:rsidR="008D5798" w:rsidRDefault="008D5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798" w:rsidRDefault="008D5798">
      <w:pPr>
        <w:spacing w:after="0" w:line="240" w:lineRule="auto"/>
      </w:pPr>
      <w:r>
        <w:separator/>
      </w:r>
    </w:p>
  </w:footnote>
  <w:footnote w:type="continuationSeparator" w:id="0">
    <w:p w:rsidR="008D5798" w:rsidRDefault="008D5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CDC" w:rsidRDefault="008D5798">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A1CDC" w:rsidRDefault="008D5798">
    <w:pPr>
      <w:spacing w:after="32" w:line="240" w:lineRule="auto"/>
      <w:ind w:left="0" w:firstLine="0"/>
      <w:jc w:val="right"/>
    </w:pPr>
    <w:r>
      <w:rPr>
        <w:rFonts w:ascii="Calibri" w:eastAsia="Calibri" w:hAnsi="Calibri" w:cs="Calibri"/>
        <w:sz w:val="22"/>
      </w:rPr>
      <w:t xml:space="preserve">HMA03-26 </w:t>
    </w:r>
  </w:p>
  <w:p w:rsidR="00FA1CDC" w:rsidRDefault="008D5798">
    <w:pPr>
      <w:spacing w:after="32" w:line="240" w:lineRule="auto"/>
      <w:ind w:left="0" w:firstLine="0"/>
      <w:jc w:val="right"/>
    </w:pPr>
    <w:r>
      <w:rPr>
        <w:rFonts w:ascii="Calibri" w:eastAsia="Calibri" w:hAnsi="Calibri" w:cs="Calibri"/>
        <w:sz w:val="22"/>
      </w:rPr>
      <w:t xml:space="preserve">HCMSC503/25 </w:t>
    </w:r>
  </w:p>
  <w:p w:rsidR="00FA1CDC" w:rsidRDefault="008D5798">
    <w:pPr>
      <w:spacing w:after="0" w:line="240"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CDC" w:rsidRDefault="008D5798">
    <w:pPr>
      <w:spacing w:after="32" w:line="240" w:lineRule="auto"/>
      <w:ind w:left="0" w:firstLine="0"/>
      <w:jc w:val="right"/>
    </w:pPr>
    <w:r>
      <w:fldChar w:fldCharType="begin"/>
    </w:r>
    <w:r>
      <w:instrText xml:space="preserve"> PAGE   \* MERGEFORMAT </w:instrText>
    </w:r>
    <w:r>
      <w:fldChar w:fldCharType="separate"/>
    </w:r>
    <w:r w:rsidR="00D418F9" w:rsidRPr="00D418F9">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p>
  <w:p w:rsidR="00FA1CDC" w:rsidRDefault="008D5798">
    <w:pPr>
      <w:spacing w:after="32" w:line="240" w:lineRule="auto"/>
      <w:ind w:left="0" w:firstLine="0"/>
      <w:jc w:val="right"/>
    </w:pPr>
    <w:r>
      <w:rPr>
        <w:rFonts w:ascii="Calibri" w:eastAsia="Calibri" w:hAnsi="Calibri" w:cs="Calibri"/>
        <w:sz w:val="22"/>
      </w:rPr>
      <w:t xml:space="preserve">HMA03-26 </w:t>
    </w:r>
  </w:p>
  <w:p w:rsidR="00FA1CDC" w:rsidRDefault="008D5798">
    <w:pPr>
      <w:spacing w:after="32" w:line="240" w:lineRule="auto"/>
      <w:ind w:left="0" w:firstLine="0"/>
      <w:jc w:val="right"/>
    </w:pPr>
    <w:r>
      <w:rPr>
        <w:rFonts w:ascii="Calibri" w:eastAsia="Calibri" w:hAnsi="Calibri" w:cs="Calibri"/>
        <w:sz w:val="22"/>
      </w:rPr>
      <w:t xml:space="preserve">HCMSC503/25 </w:t>
    </w:r>
  </w:p>
  <w:p w:rsidR="00FA1CDC" w:rsidRDefault="008D5798">
    <w:pPr>
      <w:spacing w:after="0" w:line="240" w:lineRule="auto"/>
      <w:ind w:lef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CDC" w:rsidRDefault="008D5798">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A1CDC" w:rsidRDefault="008D5798">
    <w:pPr>
      <w:spacing w:after="32" w:line="240" w:lineRule="auto"/>
      <w:ind w:left="0" w:firstLine="0"/>
      <w:jc w:val="right"/>
    </w:pPr>
    <w:r>
      <w:rPr>
        <w:rFonts w:ascii="Calibri" w:eastAsia="Calibri" w:hAnsi="Calibri" w:cs="Calibri"/>
        <w:sz w:val="22"/>
      </w:rPr>
      <w:t xml:space="preserve">HMA03-26 </w:t>
    </w:r>
  </w:p>
  <w:p w:rsidR="00FA1CDC" w:rsidRDefault="008D5798">
    <w:pPr>
      <w:spacing w:after="32" w:line="240" w:lineRule="auto"/>
      <w:ind w:left="0" w:firstLine="0"/>
      <w:jc w:val="right"/>
    </w:pPr>
    <w:r>
      <w:rPr>
        <w:rFonts w:ascii="Calibri" w:eastAsia="Calibri" w:hAnsi="Calibri" w:cs="Calibri"/>
        <w:sz w:val="22"/>
      </w:rPr>
      <w:t xml:space="preserve">HCMSC503/25 </w:t>
    </w:r>
  </w:p>
  <w:p w:rsidR="00FA1CDC" w:rsidRDefault="008D5798">
    <w:pPr>
      <w:spacing w:after="0" w:line="240" w:lineRule="auto"/>
      <w:ind w:lef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52C68"/>
    <w:multiLevelType w:val="hybridMultilevel"/>
    <w:tmpl w:val="756C39E2"/>
    <w:lvl w:ilvl="0" w:tplc="14EAB0C0">
      <w:start w:val="10"/>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A14082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DE05B2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55C29D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0CC148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FE85A1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21A28F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F56014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C2AF7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7E8B607E"/>
    <w:multiLevelType w:val="hybridMultilevel"/>
    <w:tmpl w:val="37C021B4"/>
    <w:lvl w:ilvl="0" w:tplc="6E58B5FC">
      <w:start w:val="1"/>
      <w:numFmt w:val="decimal"/>
      <w:lvlText w:val="[%1]"/>
      <w:lvlJc w:val="left"/>
      <w:pPr>
        <w:ind w:left="3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804818C">
      <w:start w:val="1"/>
      <w:numFmt w:val="lowerRoman"/>
      <w:lvlText w:val="%2."/>
      <w:lvlJc w:val="left"/>
      <w:pPr>
        <w:ind w:left="150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DF208E8">
      <w:start w:val="1"/>
      <w:numFmt w:val="lowerRoman"/>
      <w:lvlText w:val="%3"/>
      <w:lvlJc w:val="left"/>
      <w:pPr>
        <w:ind w:left="20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98EA8DE">
      <w:start w:val="1"/>
      <w:numFmt w:val="decimal"/>
      <w:lvlText w:val="%4"/>
      <w:lvlJc w:val="left"/>
      <w:pPr>
        <w:ind w:left="27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FD680D0">
      <w:start w:val="1"/>
      <w:numFmt w:val="lowerLetter"/>
      <w:lvlText w:val="%5"/>
      <w:lvlJc w:val="left"/>
      <w:pPr>
        <w:ind w:left="34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78E8178">
      <w:start w:val="1"/>
      <w:numFmt w:val="lowerRoman"/>
      <w:lvlText w:val="%6"/>
      <w:lvlJc w:val="left"/>
      <w:pPr>
        <w:ind w:left="41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A72D958">
      <w:start w:val="1"/>
      <w:numFmt w:val="decimal"/>
      <w:lvlText w:val="%7"/>
      <w:lvlJc w:val="left"/>
      <w:pPr>
        <w:ind w:left="49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502961C">
      <w:start w:val="1"/>
      <w:numFmt w:val="lowerLetter"/>
      <w:lvlText w:val="%8"/>
      <w:lvlJc w:val="left"/>
      <w:pPr>
        <w:ind w:left="56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3C4E022">
      <w:start w:val="1"/>
      <w:numFmt w:val="lowerRoman"/>
      <w:lvlText w:val="%9"/>
      <w:lvlJc w:val="left"/>
      <w:pPr>
        <w:ind w:left="63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CDC"/>
    <w:rsid w:val="008D5798"/>
    <w:rsid w:val="00D418F9"/>
    <w:rsid w:val="00FA1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FD4814-9B1F-4491-AE41-DBDAF7B0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8" w:line="351"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6" w:line="246" w:lineRule="auto"/>
      <w:ind w:left="-5" w:right="-15" w:hanging="10"/>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1644</Words>
  <Characters>9373</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cp:lastModifiedBy>JSCIT</cp:lastModifiedBy>
  <cp:revision>2</cp:revision>
  <dcterms:created xsi:type="dcterms:W3CDTF">2026-03-27T14:04:00Z</dcterms:created>
  <dcterms:modified xsi:type="dcterms:W3CDTF">2026-03-27T14:04:00Z</dcterms:modified>
</cp:coreProperties>
</file>