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95F" w:rsidRDefault="00E7745C">
      <w:pPr>
        <w:spacing w:after="48" w:line="240" w:lineRule="auto"/>
        <w:ind w:left="-5" w:right="-15"/>
        <w:jc w:val="left"/>
      </w:pPr>
      <w:bookmarkStart w:id="0" w:name="_GoBack"/>
      <w:bookmarkEnd w:id="0"/>
      <w:r>
        <w:rPr>
          <w:b/>
        </w:rPr>
        <w:t xml:space="preserve">EDMORE CHIREMBA </w:t>
      </w:r>
    </w:p>
    <w:p w:rsidR="005D095F" w:rsidRDefault="00E7745C">
      <w:pPr>
        <w:spacing w:after="50" w:line="240" w:lineRule="auto"/>
        <w:ind w:left="0" w:firstLine="0"/>
        <w:jc w:val="left"/>
      </w:pPr>
      <w:r>
        <w:rPr>
          <w:b/>
        </w:rPr>
        <w:t xml:space="preserve"> </w:t>
      </w:r>
    </w:p>
    <w:p w:rsidR="005D095F" w:rsidRDefault="00E7745C">
      <w:pPr>
        <w:spacing w:after="48" w:line="240" w:lineRule="auto"/>
        <w:ind w:left="-5" w:right="-15"/>
        <w:jc w:val="left"/>
      </w:pPr>
      <w:r>
        <w:rPr>
          <w:b/>
        </w:rPr>
        <w:t xml:space="preserve">Versus </w:t>
      </w:r>
    </w:p>
    <w:p w:rsidR="005D095F" w:rsidRDefault="00E7745C">
      <w:pPr>
        <w:spacing w:after="50" w:line="240" w:lineRule="auto"/>
        <w:ind w:left="0" w:firstLine="0"/>
        <w:jc w:val="left"/>
      </w:pPr>
      <w:r>
        <w:rPr>
          <w:b/>
        </w:rPr>
        <w:t xml:space="preserve"> </w:t>
      </w:r>
    </w:p>
    <w:p w:rsidR="005D095F" w:rsidRDefault="00E7745C">
      <w:pPr>
        <w:spacing w:after="48" w:line="240" w:lineRule="auto"/>
        <w:ind w:left="-5" w:right="-15"/>
        <w:jc w:val="left"/>
      </w:pPr>
      <w:r>
        <w:rPr>
          <w:b/>
        </w:rPr>
        <w:t xml:space="preserve">THE STATE  </w:t>
      </w:r>
    </w:p>
    <w:p w:rsidR="005D095F" w:rsidRDefault="00E7745C">
      <w:pPr>
        <w:spacing w:after="46" w:line="240" w:lineRule="auto"/>
        <w:ind w:left="0" w:firstLine="0"/>
        <w:jc w:val="left"/>
      </w:pPr>
      <w:r>
        <w:rPr>
          <w:b/>
        </w:rPr>
        <w:t xml:space="preserve"> </w:t>
      </w:r>
    </w:p>
    <w:p w:rsidR="005D095F" w:rsidRDefault="00E7745C">
      <w:pPr>
        <w:spacing w:after="46" w:line="246" w:lineRule="auto"/>
        <w:ind w:right="-15"/>
        <w:jc w:val="left"/>
      </w:pPr>
      <w:r>
        <w:t xml:space="preserve">IN THE HIGH COURT OF ZIMBABWE </w:t>
      </w:r>
    </w:p>
    <w:p w:rsidR="005D095F" w:rsidRDefault="00E7745C">
      <w:pPr>
        <w:spacing w:after="46" w:line="246" w:lineRule="auto"/>
        <w:ind w:right="-15"/>
        <w:jc w:val="left"/>
      </w:pPr>
      <w:r>
        <w:t xml:space="preserve">DUBE-BANDA &amp; ZISENGWE JJ </w:t>
      </w:r>
    </w:p>
    <w:p w:rsidR="005D095F" w:rsidRDefault="00E7745C">
      <w:pPr>
        <w:spacing w:after="46" w:line="246" w:lineRule="auto"/>
        <w:ind w:right="-15"/>
        <w:jc w:val="left"/>
      </w:pPr>
      <w:r>
        <w:t xml:space="preserve">MASVINGO 24 October 2025 &amp; 16 March 2026  </w:t>
      </w:r>
    </w:p>
    <w:p w:rsidR="005D095F" w:rsidRDefault="00E7745C">
      <w:pPr>
        <w:spacing w:after="50" w:line="240" w:lineRule="auto"/>
        <w:ind w:left="0" w:firstLine="0"/>
        <w:jc w:val="left"/>
      </w:pPr>
      <w:r>
        <w:t xml:space="preserve"> </w:t>
      </w:r>
    </w:p>
    <w:p w:rsidR="005D095F" w:rsidRDefault="00E7745C">
      <w:pPr>
        <w:spacing w:after="48" w:line="240" w:lineRule="auto"/>
        <w:ind w:left="-5" w:right="-15"/>
        <w:jc w:val="left"/>
      </w:pPr>
      <w:r>
        <w:rPr>
          <w:b/>
        </w:rPr>
        <w:t xml:space="preserve">Criminal appeal  </w:t>
      </w:r>
    </w:p>
    <w:p w:rsidR="005D095F" w:rsidRDefault="00E7745C">
      <w:pPr>
        <w:spacing w:after="46" w:line="240" w:lineRule="auto"/>
        <w:ind w:left="0" w:firstLine="0"/>
        <w:jc w:val="left"/>
      </w:pPr>
      <w:r>
        <w:t xml:space="preserve"> </w:t>
      </w:r>
    </w:p>
    <w:p w:rsidR="005D095F" w:rsidRDefault="00E7745C">
      <w:pPr>
        <w:spacing w:after="46" w:line="246" w:lineRule="auto"/>
        <w:ind w:right="-15"/>
        <w:jc w:val="left"/>
      </w:pPr>
      <w:r>
        <w:t xml:space="preserve">Ms. </w:t>
      </w:r>
      <w:r>
        <w:rPr>
          <w:i/>
        </w:rPr>
        <w:t>I. Moyo</w:t>
      </w:r>
      <w:r>
        <w:t xml:space="preserve"> for the appellant </w:t>
      </w:r>
    </w:p>
    <w:p w:rsidR="005D095F" w:rsidRDefault="00E7745C">
      <w:pPr>
        <w:spacing w:after="330" w:line="246" w:lineRule="auto"/>
        <w:ind w:right="-15"/>
        <w:jc w:val="left"/>
      </w:pPr>
      <w:r>
        <w:t>Ms.</w:t>
      </w:r>
      <w:r>
        <w:rPr>
          <w:i/>
        </w:rPr>
        <w:t xml:space="preserve"> E. Shoko </w:t>
      </w:r>
      <w:r>
        <w:t xml:space="preserve">for the respondent </w:t>
      </w:r>
    </w:p>
    <w:p w:rsidR="005D095F" w:rsidRDefault="00E7745C">
      <w:pPr>
        <w:spacing w:after="185" w:line="240" w:lineRule="auto"/>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DUBE-BANDA J </w:t>
      </w:r>
      <w:r>
        <w:rPr>
          <w:b/>
        </w:rPr>
        <w:tab/>
      </w:r>
      <w:r>
        <w:t xml:space="preserve"> </w:t>
      </w:r>
    </w:p>
    <w:p w:rsidR="005D095F" w:rsidRDefault="00E7745C">
      <w:pPr>
        <w:numPr>
          <w:ilvl w:val="0"/>
          <w:numId w:val="1"/>
        </w:numPr>
      </w:pPr>
      <w:r>
        <w:t>This is an appeal against both conviction and sentence. The</w:t>
      </w:r>
      <w:r>
        <w:t xml:space="preserve"> </w:t>
      </w:r>
      <w:r>
        <w:t xml:space="preserve">appellant, Mr. Edmore Chiremba, was arraigned before the Regional Court, Masvingo (“court </w:t>
      </w:r>
      <w:r>
        <w:rPr>
          <w:i/>
        </w:rPr>
        <w:t>a quo</w:t>
      </w:r>
      <w:r>
        <w:t>”), facing two counts.  In count 1, he was charged with the crime of robbery as defined in s 126 (1)(</w:t>
      </w:r>
      <w:r>
        <w:t>a) of the Criminal Law (Codification and Reform) Act [</w:t>
      </w:r>
      <w:r>
        <w:rPr>
          <w:i/>
        </w:rPr>
        <w:t>Chapter 9:23</w:t>
      </w:r>
      <w:r>
        <w:t>]. The State alleged that on 16 December 2024 and at Village Mupepete, Headman Chipindu, Chivi, the appellant unlawfully and intentionally used threats of immediate violence against the comp</w:t>
      </w:r>
      <w:r>
        <w:t>lainant, thereby inducing her to relinquish USD$85; ZAR56.00; and an Itel A56 Pro cellphone. In count 2, he was charged with the crime of rape as defined in s 65(1) of the Criminal Law (Codification and Reform) Act [</w:t>
      </w:r>
      <w:r>
        <w:rPr>
          <w:i/>
        </w:rPr>
        <w:t>Chapter 9:23]</w:t>
      </w:r>
      <w:r>
        <w:t>. The State alleged that on</w:t>
      </w:r>
      <w:r>
        <w:t xml:space="preserve"> 16 December 2024, and at Village Mupepete, Headman Chipindu, Chivi, he had sexual intercourse once with the complainant in count 1, a female adult aged 29 years, without her consent, knowing that there was a real risk or possibility that she might not hav</w:t>
      </w:r>
      <w:r>
        <w:t xml:space="preserve">e consented to it. </w:t>
      </w:r>
      <w:r>
        <w:t xml:space="preserve"> </w:t>
      </w:r>
    </w:p>
    <w:p w:rsidR="005D095F" w:rsidRDefault="00E7745C">
      <w:pPr>
        <w:numPr>
          <w:ilvl w:val="0"/>
          <w:numId w:val="1"/>
        </w:numPr>
      </w:pPr>
      <w:r>
        <w:t xml:space="preserve">Despite his protestation of innocence, the court </w:t>
      </w:r>
      <w:r>
        <w:rPr>
          <w:i/>
        </w:rPr>
        <w:t xml:space="preserve">a quo </w:t>
      </w:r>
      <w:r>
        <w:t xml:space="preserve">convicted him on both counts. In count 1, he was sentenced to 10 years imprisonment, and in count 2, to 15 years imprisonment, to make a total of 25 years imprisonment. </w:t>
      </w:r>
      <w:r>
        <w:t xml:space="preserve"> </w:t>
      </w:r>
    </w:p>
    <w:p w:rsidR="005D095F" w:rsidRDefault="00E7745C">
      <w:pPr>
        <w:numPr>
          <w:ilvl w:val="0"/>
          <w:numId w:val="1"/>
        </w:numPr>
      </w:pPr>
      <w:r>
        <w:t>The conviction of the appellant was based on the evidence of the complainant, the police constabulary, and a finding that his evidence, and that of his two witnesses, was false beyond a reasonable doubt. The evidence of the witnesses is summarised hereinun</w:t>
      </w:r>
      <w:r>
        <w:t xml:space="preserve">der. </w:t>
      </w:r>
      <w:r>
        <w:t xml:space="preserve"> </w:t>
      </w:r>
    </w:p>
    <w:p w:rsidR="005D095F" w:rsidRDefault="00E7745C">
      <w:pPr>
        <w:spacing w:after="184" w:line="240" w:lineRule="auto"/>
        <w:ind w:left="-5" w:right="-15"/>
        <w:jc w:val="left"/>
      </w:pPr>
      <w:r>
        <w:rPr>
          <w:b/>
          <w:u w:val="single" w:color="000000"/>
        </w:rPr>
        <w:lastRenderedPageBreak/>
        <w:t>Evidence adduced by the State</w:t>
      </w:r>
      <w:r>
        <w:rPr>
          <w:b/>
        </w:rPr>
        <w:t xml:space="preserve"> </w:t>
      </w:r>
    </w:p>
    <w:p w:rsidR="005D095F" w:rsidRDefault="00E7745C">
      <w:pPr>
        <w:numPr>
          <w:ilvl w:val="0"/>
          <w:numId w:val="1"/>
        </w:numPr>
      </w:pPr>
      <w:r>
        <w:t>The complainant’s evidence was that on 16 December 2024, at around 12 midnight, she was sleeping in her bedroom, and she woke up to breastfeed her baby. She saw an intruder who had entered the house. The intruder was w</w:t>
      </w:r>
      <w:r>
        <w:t>earing a baby wrapper on the head, covering the head, ears, and the chick, and had an apron.  On the right hand, he was holding a machete and on the left hand a knife. The intruder had taken all these things from the complainant’s house. In her bedroom, wh</w:t>
      </w:r>
      <w:r>
        <w:t>ere she was, there were bulbs powered by solar. The intruder was wearing a yellow T-Shirt with glitters, and a ripped faded pair of jeans.  She testified that the intruder who entered her house was the appellant, and she was sure that it was him because sh</w:t>
      </w:r>
      <w:r>
        <w:t>e saw his face, lips, nose, and manner of his walking. She testified further that she saw his manner of walking, first when he advanced towards her at the bedroom, and second, when he saw him in court. She testified that the intruder was standing at the do</w:t>
      </w:r>
      <w:r>
        <w:t xml:space="preserve">or where there was light, and she was seated on the bed. The two were 2 to 3 metres from each other. </w:t>
      </w:r>
      <w:r>
        <w:t xml:space="preserve"> </w:t>
      </w:r>
    </w:p>
    <w:p w:rsidR="005D095F" w:rsidRDefault="00E7745C">
      <w:pPr>
        <w:numPr>
          <w:ilvl w:val="0"/>
          <w:numId w:val="1"/>
        </w:numPr>
      </w:pPr>
      <w:r>
        <w:t xml:space="preserve">The complainant testified further that the appellant demanded money, and she showed him the drawer that had money. She covered herself and the baby with </w:t>
      </w:r>
      <w:r>
        <w:t>a blanket and informed the appellant that the baby was suffocating. He then flipped the blanket with a knife. The appellant said he wanted to have sexual intercourse with her, and she pleaded with him not to have sexual intercourse with her because she was</w:t>
      </w:r>
      <w:r>
        <w:t xml:space="preserve"> not on contraceptives. He instructed her to remove her pant and she complied. As she was removing her pant, she lifted the blanket and saw where he was standing and the blue pant he was wearing. At that stage, he was about a meter from the complainant. He</w:t>
      </w:r>
      <w:r>
        <w:t xml:space="preserve"> asked her to open her legs, and she complied. He mounted on top of her, tried to penetrate, but failed because her vigina was tight. He struck her with three clenched fists. At the time he was trying to penetrate, she did not see his face. He then had sex</w:t>
      </w:r>
      <w:r>
        <w:t>ual intercourse with her, and after he finished, he ordered her to cover her whole body with the blanket. He forcibly took USD$85.00, ZAR56.00, and an Itel A56 PRO cell phone. She heard a sound and thought he was leaving. She then removed the blanket, he h</w:t>
      </w:r>
      <w:r>
        <w:t>it her with a machete on the face, and ordered her to get back to the blanket. She covered her head and continued breastfeeding the baby. After the intruder left, she saw that the dining room burglar bars were tempered with, and there was also a log in the</w:t>
      </w:r>
      <w:r>
        <w:t xml:space="preserve"> dining room. There were no keys in the dining room. </w:t>
      </w:r>
      <w:r>
        <w:t xml:space="preserve"> </w:t>
      </w:r>
      <w:r>
        <w:t xml:space="preserve">[6] The complainant testified that the ordeal lasted for about 1 hour 15 minutes. The sexual intercourse lasted for about 1 to 2 minutes; she saw him for about 6 to 7 </w:t>
      </w:r>
      <w:r>
        <w:lastRenderedPageBreak/>
        <w:t>minutes before covering herself wit</w:t>
      </w:r>
      <w:r>
        <w:t>h a blanket. He saw him again when she was removing her pant. After the accused left, she got out of the house through the window and proceeded to the homestead of one Constance Chikomo. Constance Chikomo accompanied her to the secretary to the village hea</w:t>
      </w:r>
      <w:r>
        <w:t>d, who was also a member of the neighbourhood watch committee (“police constabulary”). She narrated to the police constabulary what happened to her, including the rape. In the company of the police constabulary, they proceeded to the homestead of the villa</w:t>
      </w:r>
      <w:r>
        <w:t>ge head. She told the people what the intruder was wearing, and people followed his shoe prints. She filed a police report on 17 December 2024 in the morning, and later the same day, she saw the appellant at a police base. He recognised him at the police b</w:t>
      </w:r>
      <w:r>
        <w:t xml:space="preserve">ase because he was wearing the same clothes he wore at the time of the attack, and his facial appearance. </w:t>
      </w:r>
      <w:r>
        <w:t xml:space="preserve"> </w:t>
      </w:r>
    </w:p>
    <w:p w:rsidR="005D095F" w:rsidRDefault="00E7745C">
      <w:pPr>
        <w:numPr>
          <w:ilvl w:val="0"/>
          <w:numId w:val="2"/>
        </w:numPr>
      </w:pPr>
      <w:r>
        <w:t>Under cross-examination, the complainant testified that she was able to see the face of the intruder because there was light in the room. In additio</w:t>
      </w:r>
      <w:r>
        <w:t>n, he had not covered his whole face. He had only covered the head and the chin. She saw the face again when they were talking to each other, before he ordered her to cover herself with a blanket. It was put to the complainant that the clothes she describe</w:t>
      </w:r>
      <w:r>
        <w:t xml:space="preserve">d were on the washing line the whole night. Her answer was that it could be possible that he wore them and put them back on the washing line. It was suggested to her that clothing can look similar; her answer was that clothes, face, and step cannot be the </w:t>
      </w:r>
      <w:r>
        <w:t>same. She was asked how she saw the blue underwear, her answer was that when she was removing her underwear, she lifted the blanket a little and saw the underwear the appellant was wearing. The complainant testified that the appellant’s mother-in-law is he</w:t>
      </w:r>
      <w:r>
        <w:t>r maternal aunt. She testified further under cross-examination that she did not know the appellant prior to the commission of these crimes. It was put to the complainant that the appellant was not the intruder, because at the time these crimes were committ</w:t>
      </w:r>
      <w:r>
        <w:t xml:space="preserve">ed, he was at home with his girlfriend. Her answer was that it was possible he could have come out. The complainant testified that the distance between her homestead and the homestead where the appellant was arrested is about 600 meters. </w:t>
      </w:r>
      <w:r>
        <w:t xml:space="preserve"> </w:t>
      </w:r>
    </w:p>
    <w:p w:rsidR="005D095F" w:rsidRDefault="00E7745C">
      <w:pPr>
        <w:numPr>
          <w:ilvl w:val="0"/>
          <w:numId w:val="2"/>
        </w:numPr>
      </w:pPr>
      <w:r>
        <w:t>The second prose</w:t>
      </w:r>
      <w:r>
        <w:t>cution witness was Varaidzo Maburutse. She testified that she is a police constable. On 16 December 2024, at around 0300 hours, the complainant, in the company of another villager, came to her homestead. The complainant called her aside and advised her tha</w:t>
      </w:r>
      <w:r>
        <w:t xml:space="preserve">t she had been robbed of USD$85.00, ZAR56.00, and an Itel phone and was raped. She said the assailant had a yellow T-Shirt with glitters on the front and had a pair of </w:t>
      </w:r>
      <w:r>
        <w:lastRenderedPageBreak/>
        <w:t xml:space="preserve">blue faded jeans. She said the person was dark in complexion with a moustache. She said </w:t>
      </w:r>
      <w:r>
        <w:t>she managed to see the face of the intruder because there was light in the room. The witnesses testified that in the company of others, they proceeded to the complainant’s house and saw that the burglars of the window had been damaged. The witness and othe</w:t>
      </w:r>
      <w:r>
        <w:t>rs saw some shoe print of a slope at the home of the complainant. They tracked the shoe print, and it led them to the homestead where the appellant was staying. They got to this homestead at around 5 O’clock in the morning. She saw the appellant coming out</w:t>
      </w:r>
      <w:r>
        <w:t xml:space="preserve"> of the house; he was wearing the clothes answering to the description given by the complainant. However, the shoes were different.  The appellant was taken to the police base.  </w:t>
      </w:r>
      <w:r>
        <w:t xml:space="preserve"> </w:t>
      </w:r>
    </w:p>
    <w:p w:rsidR="005D095F" w:rsidRDefault="00E7745C">
      <w:pPr>
        <w:numPr>
          <w:ilvl w:val="0"/>
          <w:numId w:val="2"/>
        </w:numPr>
      </w:pPr>
      <w:r>
        <w:t>The witness testified that she spoke to the mother of that homestead (who tu</w:t>
      </w:r>
      <w:r>
        <w:t>rned out to be the third defence witness), and she said she was asleep at night and did not know the owner of the shoe print. The people at the homestead said that at night, the appellant was sleeping in the house, and his clothes were on the washing line,</w:t>
      </w:r>
      <w:r>
        <w:t xml:space="preserve"> and he had just put them on at the arrival of the witness. The complaint arrived later at the police base and identified the appellant as the intruder.  </w:t>
      </w:r>
      <w:r>
        <w:t xml:space="preserve"> </w:t>
      </w:r>
    </w:p>
    <w:p w:rsidR="005D095F" w:rsidRDefault="00E7745C">
      <w:pPr>
        <w:numPr>
          <w:ilvl w:val="0"/>
          <w:numId w:val="2"/>
        </w:numPr>
      </w:pPr>
      <w:r>
        <w:t>Under cross-examination, the witness testified that the shoe print they tracked ended at the homeste</w:t>
      </w:r>
      <w:r>
        <w:t>ad where the appellant was found, i.e., it entered the homestead. The witness testified that she checked whether the shoe print exited the homestead and found that it did not. She said the appellant was found wearing the clothes described by the complainan</w:t>
      </w:r>
      <w:r>
        <w:t xml:space="preserve">t. The print of the shoe that the witness was tracking was different from the print of the shoe the appellant was found wearing. The appellant suggested to the witness that his clothes were taken by the police, which is when the issue of clothing came up. </w:t>
      </w:r>
      <w:r>
        <w:t xml:space="preserve">The witness said the police called the appellant, requesting the clothes. </w:t>
      </w:r>
      <w:r>
        <w:t xml:space="preserve"> </w:t>
      </w:r>
    </w:p>
    <w:p w:rsidR="005D095F" w:rsidRDefault="00E7745C">
      <w:pPr>
        <w:spacing w:after="184" w:line="240" w:lineRule="auto"/>
        <w:ind w:left="-5" w:right="-15"/>
        <w:jc w:val="left"/>
      </w:pPr>
      <w:r>
        <w:rPr>
          <w:b/>
          <w:u w:val="single" w:color="000000"/>
        </w:rPr>
        <w:t>Evidence adduced by the defence</w:t>
      </w:r>
      <w:r>
        <w:rPr>
          <w:b/>
        </w:rPr>
        <w:t xml:space="preserve"> </w:t>
      </w:r>
    </w:p>
    <w:p w:rsidR="005D095F" w:rsidRDefault="00E7745C">
      <w:pPr>
        <w:numPr>
          <w:ilvl w:val="0"/>
          <w:numId w:val="2"/>
        </w:numPr>
      </w:pPr>
      <w:r>
        <w:t>In his defence, the appellant denied the allegations and stated that he did not know the complainant. He got to know her at the police station after he had been arrested for these crimes. He stated that he did not know where the complainant resided, and he</w:t>
      </w:r>
      <w:r>
        <w:t xml:space="preserve"> had never been to her place of residence. On the night the crimes were committed, he said he was sleeping with his girlfriend. He further stated that the clothes he was alleged to have been wearing on the night of the crimes were on the washing line. </w:t>
      </w:r>
      <w:r>
        <w:t xml:space="preserve"> </w:t>
      </w:r>
    </w:p>
    <w:p w:rsidR="005D095F" w:rsidRDefault="00E7745C">
      <w:pPr>
        <w:numPr>
          <w:ilvl w:val="0"/>
          <w:numId w:val="2"/>
        </w:numPr>
      </w:pPr>
      <w:r>
        <w:lastRenderedPageBreak/>
        <w:t>Un</w:t>
      </w:r>
      <w:r>
        <w:t xml:space="preserve">der cross-examination, he testified that the complainant might have implicated him in these crimes because he was new to the area, and she was not happy with what he intended to do. He testified further that the complainant could not have clearly seen the </w:t>
      </w:r>
      <w:r>
        <w:t>assailant, because the light in the room may have been dim. It was his first time visiting his girlfriend at her homestead; in previous occasions, his visits would end at the shops. The appellant testified further that the second witness and others did not</w:t>
      </w:r>
      <w:r>
        <w:t xml:space="preserve"> track shoe prints but just knew that there was a stranger at the homestead where he was found. He said the complainant might have been raped by someone. </w:t>
      </w:r>
      <w:r>
        <w:t xml:space="preserve"> </w:t>
      </w:r>
    </w:p>
    <w:p w:rsidR="005D095F" w:rsidRDefault="00E7745C">
      <w:pPr>
        <w:numPr>
          <w:ilvl w:val="0"/>
          <w:numId w:val="2"/>
        </w:numPr>
      </w:pPr>
      <w:r>
        <w:t xml:space="preserve">The appellant called the evidence of Priviledge Gurajena, his girlfriend. She testified that she is </w:t>
      </w:r>
      <w:r>
        <w:t xml:space="preserve">a cousin sister of the complainant. The two had no good relations, because the complainant had snatched her boyfriend. This witness testified that the appellant got to the homestead on 14 December 2021. He was carrying a bag containing a Zambia Cloth. The </w:t>
      </w:r>
      <w:r>
        <w:t>purpose of the visit was to collect her so that they stay together. He did not know anyone in the village. She testified that on the date the crimes were committed, the appellant did not leave the homestead. She washed the appellant’s clothes and hung them</w:t>
      </w:r>
      <w:r>
        <w:t xml:space="preserve"> on the washing line. The two had arranged to go to Gutu on 19 December. She was not shown the footprints that the second prosecution witness said they were tracking. </w:t>
      </w:r>
      <w:r>
        <w:t xml:space="preserve"> </w:t>
      </w:r>
    </w:p>
    <w:p w:rsidR="005D095F" w:rsidRDefault="00E7745C">
      <w:pPr>
        <w:numPr>
          <w:ilvl w:val="0"/>
          <w:numId w:val="2"/>
        </w:numPr>
      </w:pPr>
      <w:r>
        <w:t>Under cross-examination, this witness testified that there is an existing grudge, so th</w:t>
      </w:r>
      <w:r>
        <w:t>e complainant wants to fix her. She said her homestead is a 10-15-minute walk from the homestead of the complainant. It was the second time the appellant visited her homestead. During the first visit, the complainant did not see the appellant. During the s</w:t>
      </w:r>
      <w:r>
        <w:t>econd visit, she did not see him, but other people from their grandmother’s place saw the appellant. She had hung the appellant’s clothes and left them on the washing line, when the police arrived, he was wearing the clothes. He wore them around 5 am, beca</w:t>
      </w:r>
      <w:r>
        <w:t xml:space="preserve">use the witness’s mother was sleeping outside. On being questioned by the court, the witness testified that on the night the crimes were committed, she slept around 8-9 pm and woke up around 5 am. </w:t>
      </w:r>
      <w:r>
        <w:t xml:space="preserve"> </w:t>
      </w:r>
    </w:p>
    <w:p w:rsidR="005D095F" w:rsidRDefault="00E7745C">
      <w:pPr>
        <w:numPr>
          <w:ilvl w:val="0"/>
          <w:numId w:val="2"/>
        </w:numPr>
      </w:pPr>
      <w:r>
        <w:t>The appellant further called the evidence of Teyai Mugiya</w:t>
      </w:r>
      <w:r>
        <w:t>, his mother-in-law. She testified that, on arrival at her homestead, the appellant was carrying a monarch containing two Zambia cloths and two head covers. The purpose of the visit was to arrange a marriage with her daughter. The appellant was sleeping in</w:t>
      </w:r>
      <w:r>
        <w:t xml:space="preserve"> the dining room, and the witness was on the </w:t>
      </w:r>
      <w:r>
        <w:lastRenderedPageBreak/>
        <w:t xml:space="preserve">veranda. Sher testified that the appellant did not leave the house. The appellant’s clothes were on the line and were removed in the morning. </w:t>
      </w:r>
      <w:r>
        <w:t xml:space="preserve"> </w:t>
      </w:r>
    </w:p>
    <w:p w:rsidR="005D095F" w:rsidRDefault="00E7745C">
      <w:pPr>
        <w:numPr>
          <w:ilvl w:val="0"/>
          <w:numId w:val="2"/>
        </w:numPr>
      </w:pPr>
      <w:r>
        <w:t>Under cross-examination, this witness testified that she went to be</w:t>
      </w:r>
      <w:r>
        <w:t>d at around 7 pm and woke up at around 5 am. She testified that there was no time when she woke up at night. She did not check at night to see if the appellant was present, but she knew he did not leave the room because she was sleeping in the veranda, and</w:t>
      </w:r>
      <w:r>
        <w:t xml:space="preserve"> if he had opened the door, it could have made noise. She testified that the appellant came wearing a green T-shirt, a pair of blue faded jeans, and green sneakers. She testified that the appellant did not know the complainant’s homestead and could not hav</w:t>
      </w:r>
      <w:r>
        <w:t xml:space="preserve">e been the assailant. It was the first time he visited his homestead. </w:t>
      </w:r>
      <w:r>
        <w:t xml:space="preserve"> </w:t>
      </w:r>
    </w:p>
    <w:p w:rsidR="005D095F" w:rsidRDefault="00E7745C">
      <w:pPr>
        <w:spacing w:after="184" w:line="240" w:lineRule="auto"/>
        <w:ind w:left="-5" w:right="-15"/>
        <w:jc w:val="left"/>
      </w:pPr>
      <w:r>
        <w:rPr>
          <w:b/>
          <w:u w:val="single" w:color="000000"/>
        </w:rPr>
        <w:t>The findings of the trial court</w:t>
      </w:r>
      <w:r>
        <w:rPr>
          <w:b/>
        </w:rPr>
        <w:t xml:space="preserve"> </w:t>
      </w:r>
    </w:p>
    <w:p w:rsidR="005D095F" w:rsidRDefault="00E7745C">
      <w:pPr>
        <w:numPr>
          <w:ilvl w:val="0"/>
          <w:numId w:val="2"/>
        </w:numPr>
      </w:pPr>
      <w:r>
        <w:t xml:space="preserve">The court </w:t>
      </w:r>
      <w:r>
        <w:rPr>
          <w:i/>
        </w:rPr>
        <w:t>a quo</w:t>
      </w:r>
      <w:r>
        <w:t xml:space="preserve"> found that the evidence presented by the State weighed together created a unit of evidence which led to the only conclusion possible, n</w:t>
      </w:r>
      <w:r>
        <w:t>amely that the appellant was the assailant, who broke into the house of the complainant, robbed and raped her. The trial court found that the room was illuminated. The complainant and the assailant looked at each other for about six to seven minutes before</w:t>
      </w:r>
      <w:r>
        <w:t xml:space="preserve"> she was ordered to cover herself with a blanket. The two were two metres apart. The court found that the assailant had covered his head, but his face was not covered. It found that the appellant was properly identified as the assailant. </w:t>
      </w:r>
      <w:r>
        <w:t xml:space="preserve"> </w:t>
      </w:r>
    </w:p>
    <w:p w:rsidR="005D095F" w:rsidRDefault="00E7745C">
      <w:pPr>
        <w:numPr>
          <w:ilvl w:val="0"/>
          <w:numId w:val="2"/>
        </w:numPr>
      </w:pPr>
      <w:r>
        <w:t xml:space="preserve">The court </w:t>
      </w:r>
      <w:r>
        <w:rPr>
          <w:i/>
        </w:rPr>
        <w:t xml:space="preserve">a quo </w:t>
      </w:r>
      <w:r>
        <w:t>found that the people who followed the shoe prints arrived at the homestead where the appellant was visiting. The complainant was in that group of people. The appellant was found wearing a yellow t-shirt with glitters and blue, ripped, faded jeans describe</w:t>
      </w:r>
      <w:r>
        <w:t xml:space="preserve">d by the complainant. In addition, the court noted that upon seeing the appellant at the police station, the complainant recognised his face and appearance. </w:t>
      </w:r>
      <w:r>
        <w:t xml:space="preserve"> </w:t>
      </w:r>
    </w:p>
    <w:p w:rsidR="005D095F" w:rsidRDefault="00E7745C">
      <w:pPr>
        <w:numPr>
          <w:ilvl w:val="0"/>
          <w:numId w:val="2"/>
        </w:numPr>
      </w:pPr>
      <w:r>
        <w:t>The court</w:t>
      </w:r>
      <w:r>
        <w:rPr>
          <w:i/>
        </w:rPr>
        <w:t xml:space="preserve"> a quo</w:t>
      </w:r>
      <w:r>
        <w:t xml:space="preserve"> found that the defence witnesses did not know whether the accused had left the ho</w:t>
      </w:r>
      <w:r>
        <w:t>mestead during the night, as they never woke up during the night. The court said the appellant’s girlfriend slept at 8 p.m. and woke up around 5 a.m. The mother-in-law slept at 7 pm and woke up at 5 a.m. The court found that the two defence witnesses would</w:t>
      </w:r>
      <w:r>
        <w:t xml:space="preserve"> not know whether the appellant was in the room during the whole night. The court rejected the defence that the complaint sought to punish him as she was not happy about his plans to marry, because she was not aware of his presence at his mother-in-law’s h</w:t>
      </w:r>
      <w:r>
        <w:t xml:space="preserve">omestead. The court concluded that the State proved its case beyond a reasonable doubt as required by the law. </w:t>
      </w:r>
      <w:r>
        <w:t xml:space="preserve"> </w:t>
      </w:r>
    </w:p>
    <w:p w:rsidR="005D095F" w:rsidRDefault="00E7745C">
      <w:pPr>
        <w:spacing w:after="184" w:line="240" w:lineRule="auto"/>
        <w:ind w:left="-5" w:right="-15"/>
        <w:jc w:val="left"/>
      </w:pPr>
      <w:r>
        <w:rPr>
          <w:b/>
          <w:u w:val="single" w:color="000000"/>
        </w:rPr>
        <w:lastRenderedPageBreak/>
        <w:t>Grounds of appeal</w:t>
      </w:r>
      <w:r>
        <w:rPr>
          <w:b/>
        </w:rPr>
        <w:t xml:space="preserve">  </w:t>
      </w:r>
    </w:p>
    <w:p w:rsidR="005D095F" w:rsidRDefault="00E7745C">
      <w:pPr>
        <w:numPr>
          <w:ilvl w:val="0"/>
          <w:numId w:val="2"/>
        </w:numPr>
      </w:pPr>
      <w:r>
        <w:t>Aggrieved by the outcome of his trial, i.e., the conviction and sentence, the appellant noted the present appeal. The appea</w:t>
      </w:r>
      <w:r>
        <w:t xml:space="preserve">l is standing on the following grounds. </w:t>
      </w:r>
      <w:r>
        <w:t xml:space="preserve"> </w:t>
      </w:r>
    </w:p>
    <w:p w:rsidR="005D095F" w:rsidRDefault="00E7745C">
      <w:pPr>
        <w:spacing w:line="240" w:lineRule="auto"/>
        <w:ind w:left="730"/>
      </w:pPr>
      <w:r>
        <w:t xml:space="preserve">Grounds of appeal </w:t>
      </w:r>
      <w:r>
        <w:t xml:space="preserve"> </w:t>
      </w:r>
    </w:p>
    <w:p w:rsidR="005D095F" w:rsidRDefault="00E7745C">
      <w:pPr>
        <w:spacing w:line="240" w:lineRule="auto"/>
        <w:ind w:left="730"/>
      </w:pPr>
      <w:r>
        <w:t xml:space="preserve">Ad conviction </w:t>
      </w:r>
      <w:r>
        <w:t xml:space="preserve"> </w:t>
      </w:r>
    </w:p>
    <w:p w:rsidR="005D095F" w:rsidRDefault="00E7745C">
      <w:pPr>
        <w:numPr>
          <w:ilvl w:val="1"/>
          <w:numId w:val="2"/>
        </w:numPr>
        <w:ind w:hanging="360"/>
      </w:pPr>
      <w:r>
        <w:t xml:space="preserve">The court a </w:t>
      </w:r>
      <w:r>
        <w:rPr>
          <w:i/>
        </w:rPr>
        <w:t>quo erred</w:t>
      </w:r>
      <w:r>
        <w:t xml:space="preserve"> at law and in fact when it convicted the appellant on the basis of flawed identification evidence. </w:t>
      </w:r>
      <w:r>
        <w:t xml:space="preserve"> </w:t>
      </w:r>
    </w:p>
    <w:p w:rsidR="005D095F" w:rsidRDefault="00E7745C">
      <w:pPr>
        <w:numPr>
          <w:ilvl w:val="1"/>
          <w:numId w:val="2"/>
        </w:numPr>
        <w:spacing w:after="0"/>
        <w:ind w:hanging="360"/>
      </w:pPr>
      <w:r>
        <w:t>The court a quo erred at law and in fact when it convicted the appellant, regardless of the fact that his</w:t>
      </w:r>
      <w:r>
        <w:rPr>
          <w:i/>
        </w:rPr>
        <w:t xml:space="preserve"> alibi</w:t>
      </w:r>
      <w:r>
        <w:t xml:space="preserve"> defence was not proved to be false beyond a reasonable doubt.</w:t>
      </w:r>
      <w:r>
        <w:t xml:space="preserve"> </w:t>
      </w:r>
    </w:p>
    <w:p w:rsidR="005D095F" w:rsidRDefault="00E7745C">
      <w:pPr>
        <w:numPr>
          <w:ilvl w:val="1"/>
          <w:numId w:val="2"/>
        </w:numPr>
        <w:spacing w:after="177" w:line="352" w:lineRule="auto"/>
        <w:ind w:hanging="360"/>
      </w:pPr>
      <w:r>
        <w:t>The court a quo erred at law and in fact when it believed the version of the comp</w:t>
      </w:r>
      <w:r>
        <w:t xml:space="preserve">lainant regardless of the fact that the danger of false incrimination had been extinguished. </w:t>
      </w:r>
      <w:r>
        <w:t xml:space="preserve"> </w:t>
      </w:r>
    </w:p>
    <w:p w:rsidR="005D095F" w:rsidRDefault="00E7745C">
      <w:pPr>
        <w:spacing w:line="240" w:lineRule="auto"/>
        <w:ind w:left="370"/>
      </w:pPr>
      <w:r>
        <w:t xml:space="preserve">Ad sentence </w:t>
      </w:r>
      <w:r>
        <w:t xml:space="preserve"> </w:t>
      </w:r>
    </w:p>
    <w:p w:rsidR="005D095F" w:rsidRDefault="00E7745C">
      <w:pPr>
        <w:numPr>
          <w:ilvl w:val="2"/>
          <w:numId w:val="2"/>
        </w:numPr>
        <w:spacing w:after="177" w:line="351" w:lineRule="auto"/>
        <w:ind w:hanging="360"/>
        <w:jc w:val="left"/>
      </w:pPr>
      <w:r>
        <w:t>The court a quo erred when it failed to suspend a specific portion of the sentence it imposed on the applicant, which culminated in a sentence whic</w:t>
      </w:r>
      <w:r>
        <w:t xml:space="preserve">h was so harsh as to induce a sense of shock. </w:t>
      </w:r>
      <w:r>
        <w:t xml:space="preserve"> </w:t>
      </w:r>
    </w:p>
    <w:p w:rsidR="005D095F" w:rsidRDefault="00E7745C">
      <w:pPr>
        <w:numPr>
          <w:ilvl w:val="2"/>
          <w:numId w:val="2"/>
        </w:numPr>
        <w:ind w:hanging="360"/>
        <w:jc w:val="left"/>
      </w:pPr>
      <w:r>
        <w:t>The court a quo erred when it failed to order that the sentences in respect of the two counts run concurrently which culminated in it imposing a lengthy imprisonment term on a youthful first offender.</w:t>
      </w:r>
      <w:r>
        <w:t xml:space="preserve"> </w:t>
      </w:r>
    </w:p>
    <w:p w:rsidR="005D095F" w:rsidRDefault="00E7745C">
      <w:pPr>
        <w:spacing w:after="184" w:line="240" w:lineRule="auto"/>
        <w:ind w:left="-5" w:right="-15"/>
        <w:jc w:val="left"/>
      </w:pPr>
      <w:r>
        <w:rPr>
          <w:b/>
          <w:u w:val="single" w:color="000000"/>
        </w:rPr>
        <w:t>Appell</w:t>
      </w:r>
      <w:r>
        <w:rPr>
          <w:b/>
          <w:u w:val="single" w:color="000000"/>
        </w:rPr>
        <w:t>ant’s submissions on appeal</w:t>
      </w:r>
      <w:r>
        <w:rPr>
          <w:b/>
        </w:rPr>
        <w:t xml:space="preserve"> </w:t>
      </w:r>
    </w:p>
    <w:p w:rsidR="005D095F" w:rsidRDefault="00E7745C">
      <w:pPr>
        <w:numPr>
          <w:ilvl w:val="0"/>
          <w:numId w:val="2"/>
        </w:numPr>
      </w:pPr>
      <w:r>
        <w:t xml:space="preserve">It was submitted for the appellant that the conviction is unsafe because the court </w:t>
      </w:r>
      <w:r>
        <w:rPr>
          <w:i/>
        </w:rPr>
        <w:t>a quo</w:t>
      </w:r>
      <w:r>
        <w:t xml:space="preserve"> relied on flawed identification evidence. It was argued that the complainant was not known to the assailant, and since the assailant was a</w:t>
      </w:r>
      <w:r>
        <w:t xml:space="preserve">lleged to have covered part of his face (head, ears, and cheeks) with a baby wrapper and an apron that covered his chest downwards, the complainant could not have identified him or seen the kind of T-shirt and jeans he was allegedly wearing. </w:t>
      </w:r>
      <w:r>
        <w:t xml:space="preserve"> </w:t>
      </w:r>
    </w:p>
    <w:p w:rsidR="005D095F" w:rsidRDefault="00E7745C">
      <w:pPr>
        <w:numPr>
          <w:ilvl w:val="0"/>
          <w:numId w:val="2"/>
        </w:numPr>
      </w:pPr>
      <w:r>
        <w:t>In addition,</w:t>
      </w:r>
      <w:r>
        <w:t xml:space="preserve"> it was submitted that the appellant was arrested and taken to the police station, and the complainant was brought there, and she was made to identify him in circumstances where it had been made obvious that the appellant was the suspect because of </w:t>
      </w:r>
      <w:r>
        <w:lastRenderedPageBreak/>
        <w:t>the han</w:t>
      </w:r>
      <w:r>
        <w:t xml:space="preserve">dcuffs and the clothes he was wearing. It was questioned why an identification parade was not done, if the complainant was certain of the identity of her assailant. </w:t>
      </w:r>
      <w:r>
        <w:t xml:space="preserve"> </w:t>
      </w:r>
    </w:p>
    <w:p w:rsidR="005D095F" w:rsidRDefault="00E7745C">
      <w:r>
        <w:t xml:space="preserve">It was submitted that none of the stolen items was recovered from the appellant, which could have incriminated him as the assailant. </w:t>
      </w:r>
      <w:r>
        <w:t xml:space="preserve"> </w:t>
      </w:r>
    </w:p>
    <w:p w:rsidR="005D095F" w:rsidRDefault="00E7745C">
      <w:pPr>
        <w:numPr>
          <w:ilvl w:val="0"/>
          <w:numId w:val="2"/>
        </w:numPr>
      </w:pPr>
      <w:r>
        <w:t xml:space="preserve">It was submitted that the appellant’s </w:t>
      </w:r>
      <w:r>
        <w:rPr>
          <w:i/>
        </w:rPr>
        <w:t xml:space="preserve">alibi </w:t>
      </w:r>
      <w:r>
        <w:t xml:space="preserve">was not proved to be false beyond a reasonable doubt as required by the law. </w:t>
      </w:r>
      <w:r>
        <w:t xml:space="preserve">It was argued that the evidence of the appellant and his defence witnesses that he was in bed with his girlfriend on the night in question was not controverted. </w:t>
      </w:r>
      <w:r>
        <w:t xml:space="preserve"> </w:t>
      </w:r>
      <w:r>
        <w:t>As against the sentence, the appellant submitted that it is so harsh as to induce a sense of s</w:t>
      </w:r>
      <w:r>
        <w:t xml:space="preserve">hock. The court </w:t>
      </w:r>
      <w:r>
        <w:rPr>
          <w:i/>
        </w:rPr>
        <w:t>a quo</w:t>
      </w:r>
      <w:r>
        <w:t xml:space="preserve"> is criticised for not suspending a portion of the sentence. In addition, the court </w:t>
      </w:r>
      <w:r>
        <w:rPr>
          <w:i/>
        </w:rPr>
        <w:t>a quo</w:t>
      </w:r>
      <w:r>
        <w:t xml:space="preserve"> is criticised for not ordering the sentences in the two counts to run concurrently. </w:t>
      </w:r>
      <w:r>
        <w:t xml:space="preserve"> </w:t>
      </w:r>
    </w:p>
    <w:p w:rsidR="005D095F" w:rsidRDefault="00E7745C">
      <w:pPr>
        <w:spacing w:after="184" w:line="240" w:lineRule="auto"/>
        <w:ind w:left="-5" w:right="-15"/>
        <w:jc w:val="left"/>
      </w:pPr>
      <w:r>
        <w:rPr>
          <w:b/>
          <w:u w:val="single" w:color="000000"/>
        </w:rPr>
        <w:t>Respondent’s submissions on appeal</w:t>
      </w:r>
      <w:r>
        <w:rPr>
          <w:b/>
        </w:rPr>
        <w:t xml:space="preserve"> </w:t>
      </w:r>
    </w:p>
    <w:p w:rsidR="005D095F" w:rsidRDefault="00E7745C">
      <w:pPr>
        <w:numPr>
          <w:ilvl w:val="0"/>
          <w:numId w:val="2"/>
        </w:numPr>
      </w:pPr>
      <w:r>
        <w:t>The respondent argued t</w:t>
      </w:r>
      <w:r>
        <w:t>hat the appellant was properly identified as the assailant. In that, although the attack was perpetrated at night, there was light inside the room. The complainant was awake and breastfeeding her baby and was therefore alive to her surroundings. It was sub</w:t>
      </w:r>
      <w:r>
        <w:t xml:space="preserve">mitted that she had an opportunity to observe her assailant at close range and saw the clothes he was wearing. In addition, it was submitted that the complainant was not present at the arrest of the appellant, as she had gone to the police station to make </w:t>
      </w:r>
      <w:r>
        <w:t xml:space="preserve">a report. The persons who arrested the appellant tracked a shoe print from the complainant’s residence, which led them to the appellant’s residence. </w:t>
      </w:r>
      <w:r>
        <w:t xml:space="preserve"> </w:t>
      </w:r>
    </w:p>
    <w:p w:rsidR="005D095F" w:rsidRDefault="00E7745C">
      <w:pPr>
        <w:numPr>
          <w:ilvl w:val="0"/>
          <w:numId w:val="2"/>
        </w:numPr>
      </w:pPr>
      <w:r>
        <w:t xml:space="preserve">Regarding the defence of an </w:t>
      </w:r>
      <w:r>
        <w:rPr>
          <w:i/>
        </w:rPr>
        <w:t>alibi</w:t>
      </w:r>
      <w:r>
        <w:t>, it was submitted that the appellant’s witnesses were unable to confirm</w:t>
      </w:r>
      <w:r>
        <w:t xml:space="preserve"> that he was home the whole night, as they slept the whole night and woke up at 5 a.m. They were unaware of what the appellant might have done during their sleep at night. It was argued that the defence of an </w:t>
      </w:r>
      <w:r>
        <w:rPr>
          <w:i/>
        </w:rPr>
        <w:t xml:space="preserve">alibi </w:t>
      </w:r>
      <w:r>
        <w:t xml:space="preserve">was properly rejected. </w:t>
      </w:r>
      <w:r>
        <w:t xml:space="preserve"> </w:t>
      </w:r>
    </w:p>
    <w:p w:rsidR="005D095F" w:rsidRDefault="00E7745C">
      <w:pPr>
        <w:numPr>
          <w:ilvl w:val="0"/>
          <w:numId w:val="2"/>
        </w:numPr>
      </w:pPr>
      <w:r>
        <w:t>In respect of th</w:t>
      </w:r>
      <w:r>
        <w:t xml:space="preserve">e sentence, the respondent argued that the sentences in counts 1 and 2 are appropriate and there is no need for this court to interfere. </w:t>
      </w:r>
      <w:r>
        <w:t xml:space="preserve"> </w:t>
      </w:r>
    </w:p>
    <w:p w:rsidR="005D095F" w:rsidRDefault="00E7745C">
      <w:pPr>
        <w:spacing w:after="184" w:line="240" w:lineRule="auto"/>
        <w:ind w:left="-5" w:right="-15"/>
        <w:jc w:val="left"/>
      </w:pPr>
      <w:r>
        <w:rPr>
          <w:b/>
          <w:u w:val="single" w:color="000000"/>
        </w:rPr>
        <w:t>Evaluation</w:t>
      </w:r>
      <w:r>
        <w:rPr>
          <w:b/>
        </w:rPr>
        <w:t xml:space="preserve">  </w:t>
      </w:r>
    </w:p>
    <w:p w:rsidR="005D095F" w:rsidRDefault="00E7745C">
      <w:pPr>
        <w:numPr>
          <w:ilvl w:val="0"/>
          <w:numId w:val="2"/>
        </w:numPr>
      </w:pPr>
      <w:r>
        <w:t>It is a trite law that a Court of Appeal will not interfere with a trial court’s decision unless it find</w:t>
      </w:r>
      <w:r>
        <w:t xml:space="preserve">s that the trial court misdirected itself as regards its findings of fact or law. To </w:t>
      </w:r>
      <w:r>
        <w:lastRenderedPageBreak/>
        <w:t>succeed on appeal, the appellant must convince this court on adequate grounds that the trial court misdirected itself in accepting the state evidence and rejecting his ver</w:t>
      </w:r>
      <w:r>
        <w:t>sion as not being reasonably possible true. There are well-established principles governing appeals from findings of fact. In the absence of demonstrated and material misdirection by the trial court, its findings are presumed to be correct and will only be</w:t>
      </w:r>
      <w:r>
        <w:t xml:space="preserve"> disregarded if the recorded evidence shows them to be clearly wrong.</w:t>
      </w:r>
      <w:r>
        <w:rPr>
          <w:vertAlign w:val="superscript"/>
        </w:rPr>
        <w:t xml:space="preserve">  </w:t>
      </w:r>
      <w:r>
        <w:t xml:space="preserve">See </w:t>
      </w:r>
      <w:r>
        <w:rPr>
          <w:i/>
        </w:rPr>
        <w:t>S v Hadebe and Others</w:t>
      </w:r>
      <w:r>
        <w:t xml:space="preserve"> 1997 (2) SACR 641 (SCA) at 645e-f; </w:t>
      </w:r>
      <w:r>
        <w:rPr>
          <w:i/>
        </w:rPr>
        <w:t>Rex v Dhlumayo and Another</w:t>
      </w:r>
      <w:r>
        <w:t xml:space="preserve"> </w:t>
      </w:r>
      <w:r>
        <w:t xml:space="preserve">[1948] 2 All SA 566 (A); 1948 (2) SA 677. It is against this principle that the factual findings </w:t>
      </w:r>
      <w:r>
        <w:t xml:space="preserve">made by the trial court, and decried by the appellant, must be considered. </w:t>
      </w:r>
      <w:r>
        <w:t xml:space="preserve"> </w:t>
      </w:r>
    </w:p>
    <w:p w:rsidR="005D095F" w:rsidRDefault="00E7745C">
      <w:pPr>
        <w:numPr>
          <w:ilvl w:val="0"/>
          <w:numId w:val="2"/>
        </w:numPr>
      </w:pPr>
      <w:r>
        <w:t>There is conclusive evidence that an assailant broke into the complainant’s house and attacked, raped, and robbed her. I did not hear the appellant challenge this aspect of the ca</w:t>
      </w:r>
      <w:r>
        <w:t xml:space="preserve">se. Before the trial court, the crisp issue for determination was whether the appellant was properly identified as the assailant. The first ground of appeal attacks the trial court’s finding that the appellant was properly identified as the assailant. </w:t>
      </w:r>
      <w:r>
        <w:t xml:space="preserve"> </w:t>
      </w:r>
    </w:p>
    <w:p w:rsidR="005D095F" w:rsidRDefault="00E7745C">
      <w:pPr>
        <w:numPr>
          <w:ilvl w:val="0"/>
          <w:numId w:val="2"/>
        </w:numPr>
      </w:pPr>
      <w:r>
        <w:t>It</w:t>
      </w:r>
      <w:r>
        <w:t xml:space="preserve"> is trite that even if the witness appears to be honest, the accuracy and reliability of his or her evidence must be closely examined because of the fallibility of human observation and memory. The positive assurance with which an honest witness will somet</w:t>
      </w:r>
      <w:r>
        <w:t xml:space="preserve">imes swear to the identity of an accused person is in itself no guarantee of the correctness of that evidence. See </w:t>
      </w:r>
      <w:r>
        <w:rPr>
          <w:i/>
        </w:rPr>
        <w:t xml:space="preserve">R </w:t>
      </w:r>
      <w:r>
        <w:t>v</w:t>
      </w:r>
      <w:r>
        <w:rPr>
          <w:i/>
        </w:rPr>
        <w:t xml:space="preserve"> Masemang </w:t>
      </w:r>
      <w:r>
        <w:t>1950 (2) SA 488 (A) at 493;</w:t>
      </w:r>
      <w:r>
        <w:rPr>
          <w:i/>
        </w:rPr>
        <w:t xml:space="preserve"> S </w:t>
      </w:r>
      <w:r>
        <w:t>v</w:t>
      </w:r>
      <w:r>
        <w:rPr>
          <w:i/>
        </w:rPr>
        <w:t xml:space="preserve"> Mehlape </w:t>
      </w:r>
      <w:r>
        <w:t>1963 (2) SA 29 (A)). Few people can remember a face sufficiently well to describe it wel</w:t>
      </w:r>
      <w:r>
        <w:t xml:space="preserve">l, and even fewer will admit to making a mistake. The court should inquire closely into the nature of the opportunity which the witness had to observe the things or events which he or she claims to have seen. See </w:t>
      </w:r>
      <w:r>
        <w:rPr>
          <w:i/>
        </w:rPr>
        <w:t xml:space="preserve">S </w:t>
      </w:r>
      <w:r>
        <w:t>v</w:t>
      </w:r>
      <w:r>
        <w:rPr>
          <w:i/>
        </w:rPr>
        <w:t xml:space="preserve"> Mthetwa</w:t>
      </w:r>
      <w:r>
        <w:t xml:space="preserve"> </w:t>
      </w:r>
      <w:r>
        <w:t xml:space="preserve">1972(3) SA 766 (A). </w:t>
      </w:r>
      <w:r>
        <w:t xml:space="preserve"> </w:t>
      </w:r>
    </w:p>
    <w:p w:rsidR="005D095F" w:rsidRDefault="00E7745C">
      <w:pPr>
        <w:numPr>
          <w:ilvl w:val="0"/>
          <w:numId w:val="2"/>
        </w:numPr>
      </w:pPr>
      <w:r>
        <w:t>In the pr</w:t>
      </w:r>
      <w:r>
        <w:t>esent case, the assailant entered the complainant’s bedroom, which was illuminated by solar bulbs. The complainant was seated on the bed, and the assailant was standing by the door, two to three meters away from the bed. Upon his entry into the bedroom, fo</w:t>
      </w:r>
      <w:r>
        <w:t>r six to seven minutes, the complainant and the assailant directly looked at each other.  In addition, when she removed her underwear, she lifted the blanket and saw the assailant, who was about a meter away, and about to mount her.  Notwithstanding that t</w:t>
      </w:r>
      <w:r>
        <w:t xml:space="preserve">he assailant had covered his head, ears, and cheek, the complainant had an opportunity to see his face, lips, and nose, and his manner of walking.  When the complainant saw the appellant at the police station, </w:t>
      </w:r>
      <w:r>
        <w:lastRenderedPageBreak/>
        <w:t>she had no difficulty in identifying him as he</w:t>
      </w:r>
      <w:r>
        <w:t>r assailant. Her task was made easy, as she testified, because he was putting on the same clothes he was wearing on the night of the attack.  The submission that the identification was made easy because the appellant was in handcuffs is not supported by th</w:t>
      </w:r>
      <w:r>
        <w:t xml:space="preserve">e evidence on record. </w:t>
      </w:r>
      <w:r>
        <w:t xml:space="preserve"> </w:t>
      </w:r>
    </w:p>
    <w:p w:rsidR="005D095F" w:rsidRDefault="00E7745C">
      <w:pPr>
        <w:numPr>
          <w:ilvl w:val="0"/>
          <w:numId w:val="2"/>
        </w:numPr>
      </w:pPr>
      <w:r>
        <w:rPr>
          <w:noProof/>
        </w:rPr>
        <w:drawing>
          <wp:anchor distT="0" distB="0" distL="114300" distR="114300" simplePos="0" relativeHeight="251658240" behindDoc="1" locked="0" layoutInCell="1" allowOverlap="0">
            <wp:simplePos x="0" y="0"/>
            <wp:positionH relativeFrom="column">
              <wp:posOffset>2662123</wp:posOffset>
            </wp:positionH>
            <wp:positionV relativeFrom="paragraph">
              <wp:posOffset>447679</wp:posOffset>
            </wp:positionV>
            <wp:extent cx="1000125" cy="152400"/>
            <wp:effectExtent l="0" t="0" r="0" b="0"/>
            <wp:wrapNone/>
            <wp:docPr id="10346" name="Picture 10346"/>
            <wp:cNvGraphicFramePr/>
            <a:graphic xmlns:a="http://schemas.openxmlformats.org/drawingml/2006/main">
              <a:graphicData uri="http://schemas.openxmlformats.org/drawingml/2006/picture">
                <pic:pic xmlns:pic="http://schemas.openxmlformats.org/drawingml/2006/picture">
                  <pic:nvPicPr>
                    <pic:cNvPr id="10346" name="Picture 10346"/>
                    <pic:cNvPicPr/>
                  </pic:nvPicPr>
                  <pic:blipFill>
                    <a:blip r:embed="rId7"/>
                    <a:stretch>
                      <a:fillRect/>
                    </a:stretch>
                  </pic:blipFill>
                  <pic:spPr>
                    <a:xfrm>
                      <a:off x="0" y="0"/>
                      <a:ext cx="1000125" cy="152400"/>
                    </a:xfrm>
                    <a:prstGeom prst="rect">
                      <a:avLst/>
                    </a:prstGeom>
                  </pic:spPr>
                </pic:pic>
              </a:graphicData>
            </a:graphic>
          </wp:anchor>
        </w:drawing>
      </w:r>
      <w:r>
        <w:t>The complainant was a single witness in respect of the identification of the appellant at the scene of the crime.</w:t>
      </w:r>
      <w:r>
        <w:t xml:space="preserve"> </w:t>
      </w:r>
      <w:r>
        <w:t xml:space="preserve"> Her evidence is, however, corroborated by the other facts placed before the regional court.</w:t>
      </w:r>
      <w:r>
        <w:t xml:space="preserve"> </w:t>
      </w:r>
      <w:r>
        <w:t xml:space="preserve"> See </w:t>
      </w:r>
      <w:r>
        <w:rPr>
          <w:i/>
        </w:rPr>
        <w:t xml:space="preserve">S </w:t>
      </w:r>
      <w:r>
        <w:t>v</w:t>
      </w:r>
      <w:r>
        <w:rPr>
          <w:i/>
        </w:rPr>
        <w:t xml:space="preserve"> Sauls and others</w:t>
      </w:r>
      <w:r>
        <w:t xml:space="preserve"> </w:t>
      </w:r>
      <w:hyperlink r:id="rId8">
        <w:r>
          <w:t xml:space="preserve"> </w:t>
        </w:r>
      </w:hyperlink>
      <w:hyperlink r:id="rId9">
        <w:r>
          <w:t>1981 (3) SA 172</w:t>
        </w:r>
      </w:hyperlink>
      <w:hyperlink r:id="rId10">
        <w:r>
          <w:t xml:space="preserve"> </w:t>
        </w:r>
      </w:hyperlink>
      <w:r>
        <w:t xml:space="preserve">(A) at 180F-H. At around 3 am, the complainant reported her ordeal to a police constable. She described the looks and the clothes worn by the attacker. She said she was </w:t>
      </w:r>
      <w:r>
        <w:t>wearing a yellow T-shirt and blue faded jean trousers. The police constabulary and others tracked a shoe print from the complainant’s homestead. It is the position of the law that an ordinary person's evidence on a shoe print is admissible, but its legal w</w:t>
      </w:r>
      <w:r>
        <w:t xml:space="preserve">eight depends on the ability to point to specific, unique details and is strengthened when corroborated by professional forensic analysis. See </w:t>
      </w:r>
      <w:r>
        <w:rPr>
          <w:i/>
        </w:rPr>
        <w:t xml:space="preserve">S </w:t>
      </w:r>
      <w:r>
        <w:t>v</w:t>
      </w:r>
      <w:r>
        <w:rPr>
          <w:i/>
        </w:rPr>
        <w:t xml:space="preserve"> Limekayo</w:t>
      </w:r>
      <w:r>
        <w:t xml:space="preserve"> 1969 (1) SA 540 (E); </w:t>
      </w:r>
      <w:r>
        <w:rPr>
          <w:i/>
        </w:rPr>
        <w:t xml:space="preserve">S </w:t>
      </w:r>
      <w:r>
        <w:t>v</w:t>
      </w:r>
      <w:r>
        <w:rPr>
          <w:i/>
        </w:rPr>
        <w:t xml:space="preserve"> Mkhabela</w:t>
      </w:r>
      <w:r>
        <w:t xml:space="preserve"> 1984 (1) SA 556 (A) at 563.</w:t>
      </w:r>
      <w:r>
        <w:t xml:space="preserve"> </w:t>
      </w:r>
    </w:p>
    <w:p w:rsidR="005D095F" w:rsidRDefault="00E7745C">
      <w:pPr>
        <w:numPr>
          <w:ilvl w:val="0"/>
          <w:numId w:val="2"/>
        </w:numPr>
      </w:pPr>
      <w:r>
        <w:t>It is important to locate the relevan</w:t>
      </w:r>
      <w:r>
        <w:t>ce of this shoe print evidence in this case. The police constabulary did not provide a distinctive pattern of the print she tracked. In addition, the appellant was found wearing shoes that did not match the print that was tracked by the witness. The compla</w:t>
      </w:r>
      <w:r>
        <w:t>inant also testified that she did not see the shoes worn by the assailant. It is in this context that the evidence of the shoe print is admissible and relevant for a limited purpose, i.e., only to show that a person exited the complainant’s residence, walk</w:t>
      </w:r>
      <w:r>
        <w:t xml:space="preserve">ed until he entered the residence where the appellant was, and did not exit that homestead. In other words, it is not accepted as proof that the appellant is the assailant. </w:t>
      </w:r>
      <w:r>
        <w:t xml:space="preserve"> </w:t>
      </w:r>
    </w:p>
    <w:p w:rsidR="005D095F" w:rsidRDefault="00E7745C">
      <w:pPr>
        <w:numPr>
          <w:ilvl w:val="0"/>
          <w:numId w:val="2"/>
        </w:numPr>
      </w:pPr>
      <w:r>
        <w:t>The witness who tracked the shoe print, in the absence of the complaint, got to t</w:t>
      </w:r>
      <w:r>
        <w:t>he appellant’s residence at around 5 O’ clock in the morning, and while she was talking to the appellant’s mother-in-law, the appellant emerged wearing the exact clothing described by the complainant, i.e., a yellow T-Shirt with glitters and worn blue jean</w:t>
      </w:r>
      <w:r>
        <w:t xml:space="preserve"> trousers. The appellant was then taken to the police station. At the police station, the complainant identified him as the assailant, and this was made easy because he was still wearing the same clothes he had worn on the night of the attack. </w:t>
      </w:r>
      <w:r>
        <w:t xml:space="preserve"> </w:t>
      </w:r>
    </w:p>
    <w:p w:rsidR="005D095F" w:rsidRDefault="00E7745C">
      <w:pPr>
        <w:numPr>
          <w:ilvl w:val="0"/>
          <w:numId w:val="2"/>
        </w:numPr>
      </w:pPr>
      <w:r>
        <w:rPr>
          <w:sz w:val="20"/>
        </w:rPr>
        <w:lastRenderedPageBreak/>
        <w:t xml:space="preserve">It </w:t>
      </w:r>
      <w:r>
        <w:t>has bee</w:t>
      </w:r>
      <w:r>
        <w:t>n said that the exercise of caution must not be allowed to displace the exercise of common sense. The complaint remained clear and consistent in this respect, and even under cross-examination, her evidence was clear and satisfactory in material respects. I</w:t>
      </w:r>
      <w:r>
        <w:t xml:space="preserve">n addition, as stated above, her evidence was corroborated by the other facts placed before the regional court. In my view, the court </w:t>
      </w:r>
      <w:r>
        <w:rPr>
          <w:i/>
        </w:rPr>
        <w:t xml:space="preserve">a quo </w:t>
      </w:r>
      <w:r>
        <w:t>gave due regard to the fallibility of identification and properly addressed the manner in which the appellant was id</w:t>
      </w:r>
      <w:r>
        <w:t>entified.</w:t>
      </w:r>
      <w:r>
        <w:t xml:space="preserve"> </w:t>
      </w:r>
      <w:r>
        <w:t xml:space="preserve"> Therefore, the regional court’s finding that the appellant was properly identified as the assailant cannot be faulted. </w:t>
      </w:r>
      <w:r>
        <w:t xml:space="preserve"> </w:t>
      </w:r>
    </w:p>
    <w:p w:rsidR="005D095F" w:rsidRDefault="00E7745C">
      <w:pPr>
        <w:numPr>
          <w:ilvl w:val="0"/>
          <w:numId w:val="2"/>
        </w:numPr>
      </w:pPr>
      <w:r>
        <w:t>The appellant had complained that he was convicted although his</w:t>
      </w:r>
      <w:r>
        <w:rPr>
          <w:i/>
        </w:rPr>
        <w:t xml:space="preserve"> alibi</w:t>
      </w:r>
      <w:r>
        <w:t xml:space="preserve"> was not proved to be false beyond a reasonable doubt. </w:t>
      </w:r>
      <w:r>
        <w:t xml:space="preserve">It is trite that there is no </w:t>
      </w:r>
      <w:r>
        <w:rPr>
          <w:i/>
        </w:rPr>
        <w:t>onus</w:t>
      </w:r>
      <w:r>
        <w:t xml:space="preserve"> on an accused person to establish an </w:t>
      </w:r>
      <w:r>
        <w:rPr>
          <w:i/>
        </w:rPr>
        <w:t>alibi.</w:t>
      </w:r>
      <w:r>
        <w:t xml:space="preserve"> In other words, the </w:t>
      </w:r>
      <w:r>
        <w:rPr>
          <w:i/>
        </w:rPr>
        <w:t>onus</w:t>
      </w:r>
      <w:r>
        <w:t xml:space="preserve"> rests upon the State to prove the presence at the scene and in the commission of a crime. Therefore, where such a defence </w:t>
      </w:r>
      <w:r>
        <w:rPr>
          <w:i/>
        </w:rPr>
        <w:t xml:space="preserve">alibi </w:t>
      </w:r>
      <w:r>
        <w:t>is raised, it is the task</w:t>
      </w:r>
      <w:r>
        <w:t xml:space="preserve"> of the State to disprove it and to establish that the accused person was at the scene of the crime. See </w:t>
      </w:r>
      <w:r>
        <w:rPr>
          <w:i/>
        </w:rPr>
        <w:t xml:space="preserve"> S </w:t>
      </w:r>
      <w:r>
        <w:t xml:space="preserve">v </w:t>
      </w:r>
      <w:r>
        <w:rPr>
          <w:i/>
        </w:rPr>
        <w:t>Mokoena</w:t>
      </w:r>
      <w:hyperlink r:id="rId11">
        <w:r>
          <w:rPr>
            <w:i/>
          </w:rPr>
          <w:t xml:space="preserve"> </w:t>
        </w:r>
      </w:hyperlink>
      <w:r>
        <w:t>1958 (2) SA 21</w:t>
      </w:r>
      <w:hyperlink r:id="rId12">
        <w:r>
          <w:t>2</w:t>
        </w:r>
      </w:hyperlink>
      <w:hyperlink r:id="rId13">
        <w:r>
          <w:t xml:space="preserve"> </w:t>
        </w:r>
      </w:hyperlink>
      <w:r>
        <w:t xml:space="preserve">(T); </w:t>
      </w:r>
      <w:r>
        <w:t xml:space="preserve"> </w:t>
      </w:r>
      <w:r>
        <w:rPr>
          <w:i/>
        </w:rPr>
        <w:t xml:space="preserve">R </w:t>
      </w:r>
      <w:r>
        <w:t>v</w:t>
      </w:r>
      <w:r>
        <w:rPr>
          <w:i/>
        </w:rPr>
        <w:t xml:space="preserve"> Hlongwane</w:t>
      </w:r>
      <w:hyperlink r:id="rId14">
        <w:r>
          <w:rPr>
            <w:i/>
          </w:rPr>
          <w:t xml:space="preserve"> </w:t>
        </w:r>
      </w:hyperlink>
      <w:r>
        <w:t>[1959] 3 All SA</w:t>
      </w:r>
      <w:hyperlink r:id="rId15">
        <w:r>
          <w:t xml:space="preserve"> </w:t>
        </w:r>
      </w:hyperlink>
      <w:hyperlink r:id="rId16">
        <w:r>
          <w:t>308</w:t>
        </w:r>
      </w:hyperlink>
      <w:hyperlink r:id="rId17">
        <w:r>
          <w:t xml:space="preserve"> </w:t>
        </w:r>
      </w:hyperlink>
      <w:r>
        <w:t>(A);</w:t>
      </w:r>
      <w:hyperlink r:id="rId18">
        <w:r>
          <w:t xml:space="preserve"> </w:t>
        </w:r>
      </w:hyperlink>
      <w:hyperlink r:id="rId19">
        <w:r>
          <w:t>1959 (3) SA 337</w:t>
        </w:r>
      </w:hyperlink>
      <w:hyperlink r:id="rId20">
        <w:r>
          <w:t xml:space="preserve"> </w:t>
        </w:r>
      </w:hyperlink>
      <w:r>
        <w:t>(A) at 339C-D. In</w:t>
      </w:r>
      <w:r>
        <w:t xml:space="preserve"> </w:t>
      </w:r>
      <w:r>
        <w:t>S v Musiker [2012] ZASCA 198; 2013 (1) SACR 517 (SCA) para 15</w:t>
      </w:r>
      <w:r>
        <w:t xml:space="preserve"> </w:t>
      </w:r>
      <w:r>
        <w:t xml:space="preserve">observed that once an </w:t>
      </w:r>
      <w:r>
        <w:rPr>
          <w:i/>
        </w:rPr>
        <w:t>alibi</w:t>
      </w:r>
      <w:r>
        <w:t xml:space="preserve"> has been raised, it had to be accepted, unless it was proved </w:t>
      </w:r>
      <w:r>
        <w:t>to be false beyond a reasonable doubt.</w:t>
      </w:r>
      <w:r>
        <w:t xml:space="preserve"> </w:t>
      </w:r>
      <w:r>
        <w:t xml:space="preserve">It follows that if an </w:t>
      </w:r>
      <w:r>
        <w:rPr>
          <w:i/>
        </w:rPr>
        <w:t>alibi</w:t>
      </w:r>
      <w:r>
        <w:t xml:space="preserve"> might be reasonably true, the accused must be acquitted. As was pointed out in the</w:t>
      </w:r>
      <w:r>
        <w:t xml:space="preserve"> </w:t>
      </w:r>
      <w:r>
        <w:t>Mokoena case</w:t>
      </w:r>
      <w:r>
        <w:rPr>
          <w:i/>
        </w:rPr>
        <w:t xml:space="preserve"> supra</w:t>
      </w:r>
      <w:r>
        <w:t xml:space="preserve">, the correct approach is to consider the </w:t>
      </w:r>
      <w:r>
        <w:rPr>
          <w:i/>
        </w:rPr>
        <w:t>alib</w:t>
      </w:r>
      <w:r>
        <w:t>i in the light of the totality of the evid</w:t>
      </w:r>
      <w:r>
        <w:t xml:space="preserve">ence presented to the court. </w:t>
      </w:r>
      <w:r>
        <w:t xml:space="preserve"> </w:t>
      </w:r>
    </w:p>
    <w:p w:rsidR="005D095F" w:rsidRDefault="00E7745C">
      <w:pPr>
        <w:numPr>
          <w:ilvl w:val="0"/>
          <w:numId w:val="2"/>
        </w:numPr>
      </w:pPr>
      <w:r>
        <w:t>The appellant denied being present at the scene of the crime. He called the evidence of two witnesses, his girlfriend and her mother. An</w:t>
      </w:r>
      <w:r>
        <w:rPr>
          <w:i/>
        </w:rPr>
        <w:t xml:space="preserve"> alibi</w:t>
      </w:r>
      <w:r>
        <w:t xml:space="preserve"> is only as good as its details, and the details in the appellant’s </w:t>
      </w:r>
      <w:r>
        <w:rPr>
          <w:i/>
        </w:rPr>
        <w:t>alibi</w:t>
      </w:r>
      <w:r>
        <w:t xml:space="preserve"> are lacki</w:t>
      </w:r>
      <w:r>
        <w:t>ng.  The defence witnesses could not confirm that the appellant did not, at any moment, leave the house at night. This must be considered in the context of the evidence on identification stated above. In addition, there are two instances where the appellan</w:t>
      </w:r>
      <w:r>
        <w:t>t nearly placed himself at the scene of the crime. First, it was when he crossexamined the complainant about the location of the money, and second, is about when he said the bulb in the room “might have been dim.” The argument that the clothes identified b</w:t>
      </w:r>
      <w:r>
        <w:t xml:space="preserve">y the complaint were on the washing line at night can, in the context of this case, be correct. The complainant testified that the assailant was wearing a blue underwear, and she saw it at the moment she was removing hers, because she lifted the blanket a </w:t>
      </w:r>
      <w:r>
        <w:t xml:space="preserve">little. The appellant did not, in his cross-examination, dispute that indeed he was wearing such a blue underwear. In my </w:t>
      </w:r>
      <w:r>
        <w:lastRenderedPageBreak/>
        <w:t>view, after a balanced consideration of all the evidence, the State established beyond a reasonable doubt that the appellant was at the</w:t>
      </w:r>
      <w:r>
        <w:t xml:space="preserve"> scene of the crime and that he was the assailant.  The court a quo cannot be faulted in rejecting the defence of alibi as false beyond a reasonable doubt. </w:t>
      </w:r>
      <w:r>
        <w:t xml:space="preserve"> </w:t>
      </w:r>
    </w:p>
    <w:p w:rsidR="005D095F" w:rsidRDefault="00E7745C">
      <w:pPr>
        <w:numPr>
          <w:ilvl w:val="0"/>
          <w:numId w:val="2"/>
        </w:numPr>
      </w:pPr>
      <w:r>
        <w:t xml:space="preserve">In the third ground of appeal, it is contended that the court </w:t>
      </w:r>
      <w:r>
        <w:rPr>
          <w:i/>
        </w:rPr>
        <w:t>a quo</w:t>
      </w:r>
      <w:r>
        <w:t xml:space="preserve"> erred at law and in fact when </w:t>
      </w:r>
      <w:r>
        <w:t>it believed the version of the complainant, regardless of the fact that the danger of false incrimination had been extinguished. This complaint is premised on the allegation that the complainant was not happy about what he intended to do, that is, to marry</w:t>
      </w:r>
      <w:r>
        <w:t xml:space="preserve"> his girlfriend, who was her cousin. This is far-fetched and remote. I say so because the complainant did not know the appellant prior to this incident. Moreso, this allegation was not stated in the defence outline, nor was it put to the complainant during</w:t>
      </w:r>
      <w:r>
        <w:t xml:space="preserve"> cross-examination. The court </w:t>
      </w:r>
      <w:r>
        <w:rPr>
          <w:i/>
        </w:rPr>
        <w:t>a quo</w:t>
      </w:r>
      <w:r>
        <w:t xml:space="preserve"> could not be faulted for rejecting this defence. </w:t>
      </w:r>
      <w:r>
        <w:t xml:space="preserve"> </w:t>
      </w:r>
    </w:p>
    <w:p w:rsidR="005D095F" w:rsidRDefault="00E7745C">
      <w:pPr>
        <w:numPr>
          <w:ilvl w:val="0"/>
          <w:numId w:val="2"/>
        </w:numPr>
        <w:spacing w:after="404" w:line="349" w:lineRule="auto"/>
      </w:pPr>
      <w:r>
        <w:rPr>
          <w:sz w:val="22"/>
        </w:rPr>
        <w:t xml:space="preserve">Counsel for the appellant argued that the prosecution did not prove the State case beyond a reasonable doubt. I do not agree. In </w:t>
      </w:r>
      <w:r>
        <w:rPr>
          <w:i/>
          <w:sz w:val="22"/>
        </w:rPr>
        <w:t>Miller v Minister of Pensions</w:t>
      </w:r>
      <w:r>
        <w:rPr>
          <w:sz w:val="22"/>
        </w:rPr>
        <w:t xml:space="preserve"> [1947] ALL</w:t>
      </w:r>
      <w:r>
        <w:rPr>
          <w:sz w:val="22"/>
        </w:rPr>
        <w:t xml:space="preserve"> ER 372 at 373 the court said: </w:t>
      </w:r>
      <w:r>
        <w:rPr>
          <w:sz w:val="22"/>
        </w:rPr>
        <w:t xml:space="preserve"> </w:t>
      </w:r>
    </w:p>
    <w:p w:rsidR="005D095F" w:rsidRDefault="00E7745C">
      <w:pPr>
        <w:spacing w:after="79" w:line="268" w:lineRule="auto"/>
        <w:ind w:left="730"/>
      </w:pPr>
      <w:r>
        <w:rPr>
          <w:rFonts w:ascii="Arial" w:eastAsia="Arial" w:hAnsi="Arial" w:cs="Arial"/>
          <w:sz w:val="22"/>
        </w:rPr>
        <w:t xml:space="preserve"> </w:t>
      </w:r>
      <w:r>
        <w:rPr>
          <w:sz w:val="22"/>
        </w:rPr>
        <w:t xml:space="preserve">‘Proof beyond reasonable doubt does mean proof beyond the shadow of a doubt. The law would fail to protect the community if it admitted fanciful possibilities to deflect the course of justice. If the evidence is so strong </w:t>
      </w:r>
      <w:r>
        <w:rPr>
          <w:sz w:val="22"/>
        </w:rPr>
        <w:t xml:space="preserve">against a man as to leave only a remote possibility in his favour which can be dismissed with the sentence “of course it is possible, but not in the least probable”, the case is proved beyond reasonable doubt, but nothing short of that will suffice’. </w:t>
      </w:r>
      <w:r>
        <w:rPr>
          <w:sz w:val="22"/>
        </w:rPr>
        <w:t xml:space="preserve"> </w:t>
      </w:r>
    </w:p>
    <w:p w:rsidR="005D095F" w:rsidRDefault="00E7745C">
      <w:pPr>
        <w:spacing w:after="78" w:line="240" w:lineRule="auto"/>
        <w:ind w:left="720" w:firstLine="0"/>
        <w:jc w:val="left"/>
      </w:pPr>
      <w:r>
        <w:rPr>
          <w:sz w:val="22"/>
        </w:rPr>
        <w:t xml:space="preserve"> </w:t>
      </w:r>
    </w:p>
    <w:p w:rsidR="005D095F" w:rsidRDefault="00E7745C">
      <w:pPr>
        <w:numPr>
          <w:ilvl w:val="0"/>
          <w:numId w:val="2"/>
        </w:numPr>
        <w:spacing w:after="165" w:line="349" w:lineRule="auto"/>
      </w:pPr>
      <w:r>
        <w:rPr>
          <w:sz w:val="22"/>
        </w:rPr>
        <w:t>I</w:t>
      </w:r>
      <w:r>
        <w:rPr>
          <w:sz w:val="22"/>
        </w:rPr>
        <w:t xml:space="preserve">n the English headnote in the matter of </w:t>
      </w:r>
      <w:r>
        <w:rPr>
          <w:i/>
          <w:sz w:val="22"/>
        </w:rPr>
        <w:t xml:space="preserve">S v Glegg </w:t>
      </w:r>
      <w:r>
        <w:rPr>
          <w:sz w:val="22"/>
        </w:rPr>
        <w:t xml:space="preserve">1973 (1) SA 34 AD it is put this way, that “proof beyond reasonable doubt cannot be put on the same level as proof beyond the slightest doubt, because the </w:t>
      </w:r>
      <w:r>
        <w:rPr>
          <w:i/>
          <w:sz w:val="22"/>
        </w:rPr>
        <w:t xml:space="preserve">onus </w:t>
      </w:r>
      <w:r>
        <w:rPr>
          <w:sz w:val="22"/>
        </w:rPr>
        <w:t>of adducing proof as high as that would in pra</w:t>
      </w:r>
      <w:r>
        <w:rPr>
          <w:sz w:val="22"/>
        </w:rPr>
        <w:t>ctice lead to defeating the ends of criminal justice.” In fact, in real life such proof will not be attainable. Insisting on such proof will leave communities vulnerable and exposed to those who commit serious crimes and seek to escape the reach of the law</w:t>
      </w:r>
      <w:r>
        <w:rPr>
          <w:sz w:val="22"/>
        </w:rPr>
        <w:t xml:space="preserve"> and accountability.</w:t>
      </w:r>
      <w:r>
        <w:t xml:space="preserve"> </w:t>
      </w:r>
    </w:p>
    <w:p w:rsidR="005D095F" w:rsidRDefault="00E7745C">
      <w:pPr>
        <w:numPr>
          <w:ilvl w:val="0"/>
          <w:numId w:val="2"/>
        </w:numPr>
      </w:pPr>
      <w:r>
        <w:t xml:space="preserve">The court </w:t>
      </w:r>
      <w:r>
        <w:rPr>
          <w:i/>
        </w:rPr>
        <w:t xml:space="preserve">a quo </w:t>
      </w:r>
      <w:r>
        <w:t>was accordingly correct to accept the evidence of the State version, and to reject the appellant’s version. The conviction is unassailable. The appellant was, therefore, correctly convicted. It is for these reasons tha</w:t>
      </w:r>
      <w:r>
        <w:t xml:space="preserve">t the appeal against conviction cannot succeed. </w:t>
      </w:r>
      <w:r>
        <w:t xml:space="preserve"> </w:t>
      </w:r>
      <w:r>
        <w:t xml:space="preserve">[41] Regarding the sentence, it is trite that it is a matter for the discretion of the court burdened with the task of imposing it. A court of appeal will be entitled to interfere with the sentence </w:t>
      </w:r>
      <w:r>
        <w:lastRenderedPageBreak/>
        <w:t>imposed b</w:t>
      </w:r>
      <w:r>
        <w:t>y the trial court if the sentence is disturbingly inappropriate or out of proportion to the seriousness of the offence. A court of appeal must not alter a determination arrived at by the exercise of a discretionary power merely because it would have exerci</w:t>
      </w:r>
      <w:r>
        <w:t xml:space="preserve">sed that discretion differently. A decisive question facing the court on appeal of sentence is whether it is convinced that the court of first instance had exercised its discretion unreasonably. If the discretion was exercised unreasonably, then only then </w:t>
      </w:r>
      <w:r>
        <w:t>may a court of appeal interfere, and if not, it cannot interfere. The court of appeal may interfere when the disparity between the sentence of a trial court and the sentence which the appellate court would have imposed had it been the trial court is so mar</w:t>
      </w:r>
      <w:r>
        <w:t>ked that it can probably be described as 'shocking', 'startling' or 'disturbingly inappropriate'.</w:t>
      </w:r>
      <w:r>
        <w:t xml:space="preserve"> </w:t>
      </w:r>
    </w:p>
    <w:p w:rsidR="005D095F" w:rsidRDefault="00E7745C">
      <w:pPr>
        <w:numPr>
          <w:ilvl w:val="0"/>
          <w:numId w:val="3"/>
        </w:numPr>
      </w:pPr>
      <w:r>
        <w:t>The offence committed by the appellant is no doubt abhorrent and serious.</w:t>
      </w:r>
      <w:r>
        <w:t xml:space="preserve"> </w:t>
      </w:r>
      <w:r>
        <w:t>Rape is one of the most invasive and horrendous criminal acts. Added to that is the</w:t>
      </w:r>
      <w:r>
        <w:t xml:space="preserve"> trauma that goes with a victim having to recount the ordeal in evidence. In the present case, the complainant had to relive the trauma; she had to testify about how she was ordered to remove her underwear and open her legs. She had to testify how initiall</w:t>
      </w:r>
      <w:r>
        <w:t>y the appellant attempted to penetrate and failed because her vigina was tight. Her pleas that the appellant use protection fell on deaf ears. She was sexually abused while breastfeeding a baby. This conduct by the appellant can only be described as repuls</w:t>
      </w:r>
      <w:r>
        <w:t xml:space="preserve">ive and abhorrent. This was not an opportunistic crime; it was carefully planned and executed. Notwithstanding mitigating factors in his favour, his moral blameworthiness is very high. The trial court cannot be faulted for imposing a sentence of 15 years' </w:t>
      </w:r>
      <w:r>
        <w:t xml:space="preserve">imprisonment. </w:t>
      </w:r>
      <w:r>
        <w:t xml:space="preserve"> </w:t>
      </w:r>
    </w:p>
    <w:p w:rsidR="005D095F" w:rsidRDefault="00E7745C">
      <w:pPr>
        <w:numPr>
          <w:ilvl w:val="0"/>
          <w:numId w:val="3"/>
        </w:numPr>
        <w:spacing w:after="180" w:line="351" w:lineRule="auto"/>
      </w:pPr>
      <w:r>
        <w:t>Case law shows that r</w:t>
      </w:r>
      <w:r>
        <w:rPr>
          <w:color w:val="4A4A4A"/>
        </w:rPr>
        <w:t xml:space="preserve">obbery usually involves premeditation, criminal resolve, and purpose. It requires brazen execution. It is an attack on a human victim with the attendant </w:t>
      </w:r>
      <w:r>
        <w:rPr>
          <w:color w:val="4A4A4A"/>
        </w:rPr>
        <w:t>disregard of that person’s right to personal security. It constitutes a forceful dispossession of the victim’s property. For the victim</w:t>
      </w:r>
      <w:r>
        <w:rPr>
          <w:color w:val="4A4A4A"/>
        </w:rPr>
        <w:t xml:space="preserve">, it is usually a terrifying, scary, horrifying, and degrading experience. See </w:t>
      </w:r>
      <w:r>
        <w:rPr>
          <w:i/>
          <w:color w:val="4A4A4A"/>
        </w:rPr>
        <w:t xml:space="preserve">S </w:t>
      </w:r>
      <w:r>
        <w:rPr>
          <w:color w:val="4A4A4A"/>
        </w:rPr>
        <w:t>v</w:t>
      </w:r>
      <w:r>
        <w:rPr>
          <w:i/>
          <w:color w:val="4A4A4A"/>
        </w:rPr>
        <w:t xml:space="preserve"> Moyo and Others</w:t>
      </w:r>
      <w:r>
        <w:rPr>
          <w:color w:val="4A4A4A"/>
        </w:rPr>
        <w:t xml:space="preserve"> (147/99) (SC 49 of 200</w:t>
      </w:r>
      <w:r>
        <w:rPr>
          <w:color w:val="4A4A4A"/>
        </w:rPr>
        <w:t>3.</w:t>
      </w:r>
      <w:r>
        <w:rPr>
          <w:rFonts w:ascii="Calibri" w:eastAsia="Calibri" w:hAnsi="Calibri" w:cs="Calibri"/>
          <w:b/>
          <w:color w:val="4A4A4A"/>
          <w:sz w:val="27"/>
        </w:rPr>
        <w:t xml:space="preserve"> </w:t>
      </w:r>
      <w:r>
        <w:rPr>
          <w:color w:val="4A4A4A"/>
        </w:rPr>
        <w:t xml:space="preserve">In </w:t>
      </w:r>
      <w:r>
        <w:rPr>
          <w:i/>
          <w:color w:val="4A4A4A"/>
        </w:rPr>
        <w:t>casu</w:t>
      </w:r>
      <w:r>
        <w:rPr>
          <w:color w:val="4A4A4A"/>
        </w:rPr>
        <w:t>, the complaint was alone at her home, with a small baby. In the middle of the night, the appellant broke into the house, tormented her, and robbed her of her cash and phone. This kind of attack is abhorrent and repulsive. The sentence of the cou</w:t>
      </w:r>
      <w:r>
        <w:rPr>
          <w:color w:val="4A4A4A"/>
        </w:rPr>
        <w:t xml:space="preserve">rt must reflect the abhorrence with which the courts view this form of criminal behaviour. The trial court cannot be faulted for imposing a sentence of 10 years' imprisonment.  </w:t>
      </w:r>
    </w:p>
    <w:p w:rsidR="005D095F" w:rsidRDefault="00E7745C">
      <w:pPr>
        <w:numPr>
          <w:ilvl w:val="0"/>
          <w:numId w:val="3"/>
        </w:numPr>
      </w:pPr>
      <w:r>
        <w:lastRenderedPageBreak/>
        <w:t>The present case is one in which the personal circumstances of the appellant a</w:t>
      </w:r>
      <w:r>
        <w:t>re overshadowed by the seriousness of the crimes and the interests of society.</w:t>
      </w:r>
      <w:r>
        <w:rPr>
          <w:color w:val="4A4A4A"/>
        </w:rPr>
        <w:t xml:space="preserve"> </w:t>
      </w:r>
      <w:r>
        <w:t xml:space="preserve">Moreover, no risk of duplication of punishment arises for each offence as each offence is sufficiently distinct, different, and serious. In a proper case, the cumulative effect </w:t>
      </w:r>
      <w:r>
        <w:t>of all the sentences imposed can be otherwise controlled by ordering them to run concurrently, to avoid undue harshness to the offender. This is not such a case. In the result, the court</w:t>
      </w:r>
      <w:r>
        <w:rPr>
          <w:i/>
        </w:rPr>
        <w:t xml:space="preserve"> a quo</w:t>
      </w:r>
      <w:r>
        <w:t xml:space="preserve"> cannot be faulted for not ordering the sentences to run concurr</w:t>
      </w:r>
      <w:r>
        <w:t xml:space="preserve">ently. In the circumstances, the appeal against the sentence has no merit and cannot succeed. </w:t>
      </w:r>
      <w:r>
        <w:t xml:space="preserve"> </w:t>
      </w:r>
    </w:p>
    <w:p w:rsidR="005D095F" w:rsidRDefault="00E7745C">
      <w:pPr>
        <w:spacing w:after="183" w:line="240" w:lineRule="auto"/>
        <w:ind w:left="0" w:firstLine="0"/>
        <w:jc w:val="left"/>
      </w:pPr>
      <w:r>
        <w:t xml:space="preserve"> </w:t>
      </w:r>
    </w:p>
    <w:p w:rsidR="005D095F" w:rsidRDefault="00E7745C">
      <w:pPr>
        <w:spacing w:line="240" w:lineRule="auto"/>
      </w:pPr>
      <w:r>
        <w:t xml:space="preserve">In the result, the appeal is dismissed in its entirety. </w:t>
      </w:r>
      <w:r>
        <w:t xml:space="preserve"> </w:t>
      </w:r>
    </w:p>
    <w:p w:rsidR="005D095F" w:rsidRDefault="00E7745C">
      <w:pPr>
        <w:spacing w:after="182" w:line="240" w:lineRule="auto"/>
        <w:ind w:left="0" w:firstLine="0"/>
        <w:jc w:val="left"/>
      </w:pPr>
      <w:r>
        <w:t xml:space="preserve"> </w:t>
      </w:r>
    </w:p>
    <w:p w:rsidR="005D095F" w:rsidRDefault="00E7745C">
      <w:pPr>
        <w:spacing w:after="46" w:line="240" w:lineRule="auto"/>
        <w:ind w:left="24" w:firstLine="0"/>
        <w:jc w:val="left"/>
      </w:pPr>
      <w:r>
        <w:t xml:space="preserve"> </w:t>
      </w:r>
    </w:p>
    <w:p w:rsidR="005D095F" w:rsidRDefault="00E7745C">
      <w:pPr>
        <w:spacing w:after="46" w:line="240" w:lineRule="auto"/>
        <w:ind w:left="24" w:firstLine="0"/>
        <w:jc w:val="left"/>
      </w:pPr>
      <w:r>
        <w:t xml:space="preserve"> </w:t>
      </w:r>
    </w:p>
    <w:p w:rsidR="005D095F" w:rsidRDefault="00E7745C">
      <w:pPr>
        <w:spacing w:after="46" w:line="240" w:lineRule="auto"/>
      </w:pPr>
      <w:r>
        <w:t>DUBE-</w:t>
      </w:r>
      <w:r>
        <w:t>BANDA J………………………………</w:t>
      </w:r>
      <w:r>
        <w:t xml:space="preserve"> </w:t>
      </w:r>
    </w:p>
    <w:p w:rsidR="005D095F" w:rsidRDefault="00E7745C">
      <w:pPr>
        <w:spacing w:after="46" w:line="240" w:lineRule="auto"/>
        <w:ind w:left="24" w:firstLine="0"/>
        <w:jc w:val="left"/>
      </w:pPr>
      <w:r>
        <w:t xml:space="preserve"> </w:t>
      </w:r>
    </w:p>
    <w:p w:rsidR="005D095F" w:rsidRDefault="00E7745C">
      <w:pPr>
        <w:spacing w:after="46" w:line="240" w:lineRule="auto"/>
        <w:ind w:left="24" w:firstLine="0"/>
        <w:jc w:val="left"/>
      </w:pPr>
      <w:r>
        <w:t xml:space="preserve"> </w:t>
      </w:r>
    </w:p>
    <w:p w:rsidR="005D095F" w:rsidRDefault="00E7745C">
      <w:pPr>
        <w:spacing w:after="46" w:line="240" w:lineRule="auto"/>
        <w:ind w:left="24" w:firstLine="0"/>
        <w:jc w:val="left"/>
      </w:pPr>
      <w:r>
        <w:t xml:space="preserve"> </w:t>
      </w:r>
    </w:p>
    <w:p w:rsidR="005D095F" w:rsidRDefault="00E7745C">
      <w:pPr>
        <w:spacing w:after="46" w:line="240" w:lineRule="auto"/>
        <w:ind w:left="24" w:firstLine="0"/>
        <w:jc w:val="left"/>
      </w:pPr>
      <w:r>
        <w:t xml:space="preserve"> </w:t>
      </w:r>
    </w:p>
    <w:p w:rsidR="005D095F" w:rsidRDefault="00E7745C">
      <w:pPr>
        <w:spacing w:after="46" w:line="246" w:lineRule="auto"/>
        <w:ind w:right="-15"/>
        <w:jc w:val="left"/>
      </w:pPr>
      <w:r>
        <w:t xml:space="preserve">ZISENGWE </w:t>
      </w:r>
      <w:r>
        <w:t>J…</w:t>
      </w:r>
      <w:r>
        <w:t xml:space="preserve"> ......................................... I agree. </w:t>
      </w:r>
    </w:p>
    <w:p w:rsidR="005D095F" w:rsidRDefault="00E7745C">
      <w:pPr>
        <w:spacing w:after="185" w:line="240" w:lineRule="auto"/>
        <w:ind w:left="0" w:firstLine="0"/>
        <w:jc w:val="left"/>
      </w:pPr>
      <w:r>
        <w:rPr>
          <w:i/>
        </w:rPr>
        <w:t xml:space="preserve"> </w:t>
      </w:r>
    </w:p>
    <w:p w:rsidR="005D095F" w:rsidRDefault="00E7745C">
      <w:pPr>
        <w:spacing w:after="87"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9"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9"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0" w:line="240" w:lineRule="auto"/>
        <w:ind w:left="0" w:firstLine="0"/>
        <w:jc w:val="left"/>
      </w:pPr>
      <w:r>
        <w:rPr>
          <w:i/>
        </w:rPr>
        <w:t xml:space="preserve"> </w:t>
      </w:r>
    </w:p>
    <w:p w:rsidR="005D095F" w:rsidRDefault="005D095F">
      <w:pPr>
        <w:sectPr w:rsidR="005D095F">
          <w:headerReference w:type="even" r:id="rId21"/>
          <w:headerReference w:type="default" r:id="rId22"/>
          <w:headerReference w:type="first" r:id="rId23"/>
          <w:pgSz w:w="11906" w:h="16838"/>
          <w:pgMar w:top="2103" w:right="1425" w:bottom="1542" w:left="1440" w:header="751" w:footer="720" w:gutter="0"/>
          <w:cols w:space="720"/>
        </w:sectPr>
      </w:pPr>
    </w:p>
    <w:p w:rsidR="005D095F" w:rsidRDefault="00E7745C">
      <w:pPr>
        <w:spacing w:after="32" w:line="240" w:lineRule="auto"/>
        <w:ind w:left="0" w:firstLine="0"/>
        <w:jc w:val="right"/>
      </w:pPr>
      <w:r>
        <w:rPr>
          <w:rFonts w:ascii="Calibri" w:eastAsia="Calibri" w:hAnsi="Calibri" w:cs="Calibri"/>
          <w:sz w:val="22"/>
        </w:rPr>
        <w:lastRenderedPageBreak/>
        <w:t xml:space="preserve">HCMSCR120-25 </w:t>
      </w:r>
    </w:p>
    <w:p w:rsidR="005D095F" w:rsidRDefault="00E7745C">
      <w:pPr>
        <w:spacing w:after="30" w:line="240" w:lineRule="auto"/>
        <w:ind w:left="0" w:firstLine="0"/>
        <w:jc w:val="left"/>
      </w:pPr>
      <w:r>
        <w:rPr>
          <w:rFonts w:ascii="Calibri" w:eastAsia="Calibri" w:hAnsi="Calibri" w:cs="Calibri"/>
          <w:sz w:val="22"/>
        </w:rPr>
        <w:t xml:space="preserve"> </w:t>
      </w:r>
    </w:p>
    <w:p w:rsidR="005D095F" w:rsidRDefault="00E7745C">
      <w:pPr>
        <w:spacing w:after="45" w:line="240" w:lineRule="auto"/>
        <w:ind w:left="0" w:firstLine="0"/>
        <w:jc w:val="left"/>
      </w:pPr>
      <w:r>
        <w:rPr>
          <w:rFonts w:ascii="Calibri" w:eastAsia="Calibri" w:hAnsi="Calibri" w:cs="Calibri"/>
          <w:sz w:val="22"/>
        </w:rPr>
        <w:t xml:space="preserve"> </w:t>
      </w:r>
    </w:p>
    <w:p w:rsidR="005D095F" w:rsidRDefault="00E7745C">
      <w:pPr>
        <w:spacing w:after="89" w:line="240" w:lineRule="auto"/>
        <w:ind w:left="0" w:firstLine="0"/>
        <w:jc w:val="left"/>
      </w:pPr>
      <w:r>
        <w:rPr>
          <w:i/>
        </w:rPr>
        <w:t xml:space="preserve"> </w:t>
      </w:r>
    </w:p>
    <w:p w:rsidR="005D095F" w:rsidRDefault="00E7745C">
      <w:pPr>
        <w:spacing w:after="86" w:line="240" w:lineRule="auto"/>
        <w:ind w:left="0" w:firstLine="0"/>
        <w:jc w:val="left"/>
      </w:pPr>
      <w:r>
        <w:rPr>
          <w:i/>
        </w:rPr>
        <w:t xml:space="preserve"> </w:t>
      </w:r>
    </w:p>
    <w:p w:rsidR="005D095F" w:rsidRDefault="00E7745C">
      <w:pPr>
        <w:spacing w:after="86" w:line="240" w:lineRule="auto"/>
      </w:pPr>
      <w:r>
        <w:rPr>
          <w:i/>
        </w:rPr>
        <w:t xml:space="preserve">Mutendi,Mudisi &amp;Shumba, </w:t>
      </w:r>
      <w:r>
        <w:t xml:space="preserve">appellant’s legal practitioners </w:t>
      </w:r>
      <w:r>
        <w:t xml:space="preserve"> </w:t>
      </w:r>
    </w:p>
    <w:p w:rsidR="005D095F" w:rsidRDefault="00E7745C">
      <w:pPr>
        <w:spacing w:after="86" w:line="240" w:lineRule="auto"/>
      </w:pPr>
      <w:r>
        <w:rPr>
          <w:i/>
        </w:rPr>
        <w:t>National Prosecuting Authority,</w:t>
      </w:r>
      <w:r>
        <w:t xml:space="preserve"> respondent’s legal practitioners</w:t>
      </w:r>
      <w:r>
        <w:t xml:space="preserve"> </w:t>
      </w:r>
    </w:p>
    <w:p w:rsidR="005D095F" w:rsidRDefault="00E7745C">
      <w:pPr>
        <w:spacing w:after="89" w:line="240" w:lineRule="auto"/>
        <w:ind w:left="0" w:firstLine="0"/>
        <w:jc w:val="left"/>
      </w:pPr>
      <w:r>
        <w:t xml:space="preserve"> </w:t>
      </w:r>
    </w:p>
    <w:p w:rsidR="005D095F" w:rsidRDefault="00E7745C">
      <w:pPr>
        <w:spacing w:after="86" w:line="240" w:lineRule="auto"/>
        <w:ind w:left="0" w:firstLine="0"/>
        <w:jc w:val="left"/>
      </w:pPr>
      <w:r>
        <w:t xml:space="preserve"> </w:t>
      </w:r>
    </w:p>
    <w:p w:rsidR="005D095F" w:rsidRDefault="00E7745C">
      <w:pPr>
        <w:spacing w:after="86" w:line="240" w:lineRule="auto"/>
        <w:ind w:left="0" w:firstLine="0"/>
        <w:jc w:val="left"/>
      </w:pPr>
      <w:r>
        <w:t xml:space="preserve"> </w:t>
      </w:r>
    </w:p>
    <w:p w:rsidR="005D095F" w:rsidRDefault="00E7745C">
      <w:pPr>
        <w:spacing w:after="0" w:line="240" w:lineRule="auto"/>
        <w:ind w:left="0" w:firstLine="0"/>
        <w:jc w:val="left"/>
      </w:pPr>
      <w:r>
        <w:t xml:space="preserve"> </w:t>
      </w:r>
    </w:p>
    <w:sectPr w:rsidR="005D095F">
      <w:headerReference w:type="even" r:id="rId24"/>
      <w:headerReference w:type="default" r:id="rId25"/>
      <w:headerReference w:type="first" r:id="rId26"/>
      <w:pgSz w:w="11906" w:h="16838"/>
      <w:pgMar w:top="1440" w:right="1440" w:bottom="1440" w:left="1440" w:header="75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45C" w:rsidRDefault="00E7745C">
      <w:pPr>
        <w:spacing w:after="0" w:line="240" w:lineRule="auto"/>
      </w:pPr>
      <w:r>
        <w:separator/>
      </w:r>
    </w:p>
  </w:endnote>
  <w:endnote w:type="continuationSeparator" w:id="0">
    <w:p w:rsidR="00E7745C" w:rsidRDefault="00E7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45C" w:rsidRDefault="00E7745C">
      <w:pPr>
        <w:spacing w:after="0" w:line="240" w:lineRule="auto"/>
      </w:pPr>
      <w:r>
        <w:separator/>
      </w:r>
    </w:p>
  </w:footnote>
  <w:footnote w:type="continuationSeparator" w:id="0">
    <w:p w:rsidR="00E7745C" w:rsidRDefault="00E77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32" w:line="240" w:lineRule="auto"/>
      <w:ind w:left="0" w:firstLine="0"/>
      <w:jc w:val="right"/>
    </w:pPr>
    <w:r>
      <w:rPr>
        <w:rFonts w:ascii="Calibri" w:eastAsia="Calibri" w:hAnsi="Calibri" w:cs="Calibri"/>
        <w:sz w:val="22"/>
      </w:rPr>
      <w:t xml:space="preserve">HMA07-26 </w:t>
    </w:r>
  </w:p>
  <w:p w:rsidR="005D095F" w:rsidRDefault="00E7745C">
    <w:pPr>
      <w:spacing w:after="32" w:line="240" w:lineRule="auto"/>
      <w:ind w:left="0" w:firstLine="0"/>
      <w:jc w:val="right"/>
    </w:pPr>
    <w:r>
      <w:rPr>
        <w:rFonts w:ascii="Calibri" w:eastAsia="Calibri" w:hAnsi="Calibri" w:cs="Calibri"/>
        <w:sz w:val="22"/>
      </w:rPr>
      <w:t xml:space="preserve">HCMSCR120-25 </w:t>
    </w:r>
  </w:p>
  <w:p w:rsidR="005D095F" w:rsidRDefault="00E7745C">
    <w:pPr>
      <w:spacing w:after="30" w:line="240" w:lineRule="auto"/>
      <w:ind w:left="0" w:firstLine="0"/>
      <w:jc w:val="left"/>
    </w:pPr>
    <w:r>
      <w:rPr>
        <w:rFonts w:ascii="Calibri" w:eastAsia="Calibri" w:hAnsi="Calibri" w:cs="Calibri"/>
        <w:sz w:val="22"/>
      </w:rPr>
      <w:t xml:space="preserve"> </w:t>
    </w:r>
  </w:p>
  <w:p w:rsidR="005D095F" w:rsidRDefault="00E7745C">
    <w:pPr>
      <w:spacing w:after="0" w:line="240"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sidR="005E7DF4" w:rsidRPr="005E7DF4">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32" w:line="240" w:lineRule="auto"/>
      <w:ind w:left="0" w:firstLine="0"/>
      <w:jc w:val="right"/>
    </w:pPr>
    <w:r>
      <w:rPr>
        <w:rFonts w:ascii="Calibri" w:eastAsia="Calibri" w:hAnsi="Calibri" w:cs="Calibri"/>
        <w:sz w:val="22"/>
      </w:rPr>
      <w:t xml:space="preserve">HMA07-26 </w:t>
    </w:r>
  </w:p>
  <w:p w:rsidR="005D095F" w:rsidRDefault="00E7745C">
    <w:pPr>
      <w:spacing w:after="32" w:line="240" w:lineRule="auto"/>
      <w:ind w:left="0" w:firstLine="0"/>
      <w:jc w:val="right"/>
    </w:pPr>
    <w:r>
      <w:rPr>
        <w:rFonts w:ascii="Calibri" w:eastAsia="Calibri" w:hAnsi="Calibri" w:cs="Calibri"/>
        <w:sz w:val="22"/>
      </w:rPr>
      <w:t xml:space="preserve">HCMSCR120-25 </w:t>
    </w:r>
  </w:p>
  <w:p w:rsidR="005D095F" w:rsidRDefault="00E7745C">
    <w:pPr>
      <w:spacing w:after="30" w:line="240" w:lineRule="auto"/>
      <w:ind w:left="0" w:firstLine="0"/>
      <w:jc w:val="left"/>
    </w:pPr>
    <w:r>
      <w:rPr>
        <w:rFonts w:ascii="Calibri" w:eastAsia="Calibri" w:hAnsi="Calibri" w:cs="Calibri"/>
        <w:sz w:val="22"/>
      </w:rPr>
      <w:t xml:space="preserve"> </w:t>
    </w:r>
  </w:p>
  <w:p w:rsidR="005D095F" w:rsidRDefault="00E7745C">
    <w:pPr>
      <w:spacing w:after="0" w:line="240"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32" w:line="240" w:lineRule="auto"/>
      <w:ind w:left="0" w:firstLine="0"/>
      <w:jc w:val="right"/>
    </w:pPr>
    <w:r>
      <w:rPr>
        <w:rFonts w:ascii="Calibri" w:eastAsia="Calibri" w:hAnsi="Calibri" w:cs="Calibri"/>
        <w:sz w:val="22"/>
      </w:rPr>
      <w:t xml:space="preserve">HMA07-26 </w:t>
    </w:r>
  </w:p>
  <w:p w:rsidR="005D095F" w:rsidRDefault="00E7745C">
    <w:pPr>
      <w:spacing w:after="32" w:line="240" w:lineRule="auto"/>
      <w:ind w:left="0" w:firstLine="0"/>
      <w:jc w:val="right"/>
    </w:pPr>
    <w:r>
      <w:rPr>
        <w:rFonts w:ascii="Calibri" w:eastAsia="Calibri" w:hAnsi="Calibri" w:cs="Calibri"/>
        <w:sz w:val="22"/>
      </w:rPr>
      <w:t xml:space="preserve">HCMSCR120-25 </w:t>
    </w:r>
  </w:p>
  <w:p w:rsidR="005D095F" w:rsidRDefault="00E7745C">
    <w:pPr>
      <w:spacing w:after="30" w:line="240" w:lineRule="auto"/>
      <w:ind w:left="0" w:firstLine="0"/>
      <w:jc w:val="left"/>
    </w:pPr>
    <w:r>
      <w:rPr>
        <w:rFonts w:ascii="Calibri" w:eastAsia="Calibri" w:hAnsi="Calibri" w:cs="Calibri"/>
        <w:sz w:val="22"/>
      </w:rPr>
      <w:t xml:space="preserve"> </w:t>
    </w:r>
  </w:p>
  <w:p w:rsidR="005D095F" w:rsidRDefault="00E7745C">
    <w:pPr>
      <w:spacing w:after="0" w:line="240" w:lineRule="auto"/>
      <w:ind w:left="0" w:firstLine="0"/>
      <w:jc w:val="left"/>
    </w:pPr>
    <w:r>
      <w:rPr>
        <w:rFonts w:ascii="Calibri" w:eastAsia="Calibri" w:hAnsi="Calibri" w:cs="Calibri"/>
        <w:sz w:val="22"/>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14</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0" w:line="240" w:lineRule="auto"/>
      <w:ind w:left="0" w:firstLine="0"/>
      <w:jc w:val="right"/>
    </w:pPr>
    <w:r>
      <w:rPr>
        <w:rFonts w:ascii="Calibri" w:eastAsia="Calibri" w:hAnsi="Calibri" w:cs="Calibri"/>
        <w:sz w:val="22"/>
      </w:rPr>
      <w:t xml:space="preserve">HMA07-26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sidR="005E7DF4" w:rsidRPr="005E7DF4">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0" w:line="240" w:lineRule="auto"/>
      <w:ind w:left="0" w:firstLine="0"/>
      <w:jc w:val="right"/>
    </w:pPr>
    <w:r>
      <w:rPr>
        <w:rFonts w:ascii="Calibri" w:eastAsia="Calibri" w:hAnsi="Calibri" w:cs="Calibri"/>
        <w:sz w:val="22"/>
      </w:rPr>
      <w:t xml:space="preserve">HMA07-26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95F" w:rsidRDefault="00E7745C">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14</w:t>
    </w:r>
    <w:r>
      <w:rPr>
        <w:rFonts w:ascii="Calibri" w:eastAsia="Calibri" w:hAnsi="Calibri" w:cs="Calibri"/>
        <w:sz w:val="22"/>
      </w:rPr>
      <w:fldChar w:fldCharType="end"/>
    </w:r>
    <w:r>
      <w:rPr>
        <w:rFonts w:ascii="Calibri" w:eastAsia="Calibri" w:hAnsi="Calibri" w:cs="Calibri"/>
        <w:sz w:val="22"/>
      </w:rPr>
      <w:t xml:space="preserve"> </w:t>
    </w:r>
  </w:p>
  <w:p w:rsidR="005D095F" w:rsidRDefault="00E7745C">
    <w:pPr>
      <w:spacing w:after="0" w:line="240" w:lineRule="auto"/>
      <w:ind w:left="0" w:firstLine="0"/>
      <w:jc w:val="right"/>
    </w:pPr>
    <w:r>
      <w:rPr>
        <w:rFonts w:ascii="Calibri" w:eastAsia="Calibri" w:hAnsi="Calibri" w:cs="Calibri"/>
        <w:sz w:val="22"/>
      </w:rPr>
      <w:t xml:space="preserve">HMA07-26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8404B"/>
    <w:multiLevelType w:val="hybridMultilevel"/>
    <w:tmpl w:val="64349198"/>
    <w:lvl w:ilvl="0" w:tplc="D664395E">
      <w:start w:val="7"/>
      <w:numFmt w:val="decimal"/>
      <w:lvlText w:val="[%1]"/>
      <w:lvlJc w:val="left"/>
      <w:pPr>
        <w:ind w:left="1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1C6C28E">
      <w:start w:val="1"/>
      <w:numFmt w:val="lowerLetter"/>
      <w:lvlText w:val="%2)"/>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C0A3390">
      <w:start w:val="1"/>
      <w:numFmt w:val="lowerLetter"/>
      <w:lvlText w:val="%3)"/>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862510A">
      <w:start w:val="1"/>
      <w:numFmt w:val="decimal"/>
      <w:lvlText w:val="%4"/>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0A2E714">
      <w:start w:val="1"/>
      <w:numFmt w:val="lowerLetter"/>
      <w:lvlText w:val="%5"/>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5BE7BB6">
      <w:start w:val="1"/>
      <w:numFmt w:val="lowerRoman"/>
      <w:lvlText w:val="%6"/>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AC5A3E">
      <w:start w:val="1"/>
      <w:numFmt w:val="decimal"/>
      <w:lvlText w:val="%7"/>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69E21C4">
      <w:start w:val="1"/>
      <w:numFmt w:val="lowerLetter"/>
      <w:lvlText w:val="%8"/>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782A420">
      <w:start w:val="1"/>
      <w:numFmt w:val="lowerRoman"/>
      <w:lvlText w:val="%9"/>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53581AD1"/>
    <w:multiLevelType w:val="hybridMultilevel"/>
    <w:tmpl w:val="03DA0B1E"/>
    <w:lvl w:ilvl="0" w:tplc="F4004D34">
      <w:start w:val="1"/>
      <w:numFmt w:val="decimal"/>
      <w:lvlText w:val="[%1]"/>
      <w:lvlJc w:val="left"/>
      <w:pPr>
        <w:ind w:left="1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AB00D52">
      <w:start w:val="1"/>
      <w:numFmt w:val="lowerLetter"/>
      <w:lvlText w:val="%2"/>
      <w:lvlJc w:val="left"/>
      <w:pPr>
        <w:ind w:left="1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ECAF48C">
      <w:start w:val="1"/>
      <w:numFmt w:val="lowerRoman"/>
      <w:lvlText w:val="%3"/>
      <w:lvlJc w:val="left"/>
      <w:pPr>
        <w:ind w:left="1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068244A">
      <w:start w:val="1"/>
      <w:numFmt w:val="decimal"/>
      <w:lvlText w:val="%4"/>
      <w:lvlJc w:val="left"/>
      <w:pPr>
        <w:ind w:left="25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02C2258">
      <w:start w:val="1"/>
      <w:numFmt w:val="lowerLetter"/>
      <w:lvlText w:val="%5"/>
      <w:lvlJc w:val="left"/>
      <w:pPr>
        <w:ind w:left="32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69EFA4E">
      <w:start w:val="1"/>
      <w:numFmt w:val="lowerRoman"/>
      <w:lvlText w:val="%6"/>
      <w:lvlJc w:val="left"/>
      <w:pPr>
        <w:ind w:left="39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00A2970">
      <w:start w:val="1"/>
      <w:numFmt w:val="decimal"/>
      <w:lvlText w:val="%7"/>
      <w:lvlJc w:val="left"/>
      <w:pPr>
        <w:ind w:left="46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E943990">
      <w:start w:val="1"/>
      <w:numFmt w:val="lowerLetter"/>
      <w:lvlText w:val="%8"/>
      <w:lvlJc w:val="left"/>
      <w:pPr>
        <w:ind w:left="54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14AC342">
      <w:start w:val="1"/>
      <w:numFmt w:val="lowerRoman"/>
      <w:lvlText w:val="%9"/>
      <w:lvlJc w:val="left"/>
      <w:pPr>
        <w:ind w:left="61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6B97406D"/>
    <w:multiLevelType w:val="hybridMultilevel"/>
    <w:tmpl w:val="CD8AA96C"/>
    <w:lvl w:ilvl="0" w:tplc="02A2624C">
      <w:start w:val="42"/>
      <w:numFmt w:val="decimal"/>
      <w:lvlText w:val="[%1]"/>
      <w:lvlJc w:val="left"/>
      <w:pPr>
        <w:ind w:left="1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C76F56A">
      <w:start w:val="1"/>
      <w:numFmt w:val="lowerLetter"/>
      <w:lvlText w:val="%2"/>
      <w:lvlJc w:val="left"/>
      <w:pPr>
        <w:ind w:left="1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9BA6BCE">
      <w:start w:val="1"/>
      <w:numFmt w:val="lowerRoman"/>
      <w:lvlText w:val="%3"/>
      <w:lvlJc w:val="left"/>
      <w:pPr>
        <w:ind w:left="1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7A28E36">
      <w:start w:val="1"/>
      <w:numFmt w:val="decimal"/>
      <w:lvlText w:val="%4"/>
      <w:lvlJc w:val="left"/>
      <w:pPr>
        <w:ind w:left="25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5D8BD48">
      <w:start w:val="1"/>
      <w:numFmt w:val="lowerLetter"/>
      <w:lvlText w:val="%5"/>
      <w:lvlJc w:val="left"/>
      <w:pPr>
        <w:ind w:left="32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F046352">
      <w:start w:val="1"/>
      <w:numFmt w:val="lowerRoman"/>
      <w:lvlText w:val="%6"/>
      <w:lvlJc w:val="left"/>
      <w:pPr>
        <w:ind w:left="39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CC001BA">
      <w:start w:val="1"/>
      <w:numFmt w:val="decimal"/>
      <w:lvlText w:val="%7"/>
      <w:lvlJc w:val="left"/>
      <w:pPr>
        <w:ind w:left="46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F7CA2C8">
      <w:start w:val="1"/>
      <w:numFmt w:val="lowerLetter"/>
      <w:lvlText w:val="%8"/>
      <w:lvlJc w:val="left"/>
      <w:pPr>
        <w:ind w:left="54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906CFE0">
      <w:start w:val="1"/>
      <w:numFmt w:val="lowerRoman"/>
      <w:lvlText w:val="%9"/>
      <w:lvlJc w:val="left"/>
      <w:pPr>
        <w:ind w:left="61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95F"/>
    <w:rsid w:val="005D095F"/>
    <w:rsid w:val="005E7DF4"/>
    <w:rsid w:val="00E7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871C1-83DC-4293-BED1-D78525584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9" w:line="353" w:lineRule="auto"/>
      <w:ind w:left="19"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saflii.org/cgi-bin/LawCite?cit=1981%20%283%29%20SA%20172" TargetMode="External"/><Relationship Id="rId13" Type="http://schemas.openxmlformats.org/officeDocument/2006/relationships/hyperlink" Target="https://www.saflii.org/cgi-bin/LawCite?cit=1958%20%282%29%20SA%20212" TargetMode="External"/><Relationship Id="rId18" Type="http://schemas.openxmlformats.org/officeDocument/2006/relationships/hyperlink" Target="https://www.saflii.org/cgi-bin/LawCite?cit=1959%20%283%29%20SA%20337"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saflii.org/cgi-bin/LawCite?cit=1958%20%282%29%20SA%20212" TargetMode="External"/><Relationship Id="rId17" Type="http://schemas.openxmlformats.org/officeDocument/2006/relationships/hyperlink" Target="https://www.saflii.org/cgi-bin/LawCite?cit=%5b1959%5d%203%20All%20SA%20308"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s://www.saflii.org/cgi-bin/LawCite?cit=%5b1959%5d%203%20All%20SA%20308" TargetMode="External"/><Relationship Id="rId20" Type="http://schemas.openxmlformats.org/officeDocument/2006/relationships/hyperlink" Target="https://www.saflii.org/cgi-bin/LawCite?cit=1959%20%283%29%20SA%203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flii.org/cgi-bin/LawCite?cit=1958%20%282%29%20SA%20212"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s://www.saflii.org/cgi-bin/LawCite?cit=%5b1959%5d%203%20All%20SA%20308"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https://www.saflii.org/cgi-bin/LawCite?cit=1981%20%283%29%20SA%20172" TargetMode="External"/><Relationship Id="rId19" Type="http://schemas.openxmlformats.org/officeDocument/2006/relationships/hyperlink" Target="https://www.saflii.org/cgi-bin/LawCite?cit=1959%20%283%29%20SA%20337" TargetMode="External"/><Relationship Id="rId4" Type="http://schemas.openxmlformats.org/officeDocument/2006/relationships/webSettings" Target="webSettings.xml"/><Relationship Id="rId9" Type="http://schemas.openxmlformats.org/officeDocument/2006/relationships/hyperlink" Target="https://www.saflii.org/cgi-bin/LawCite?cit=1981%20%283%29%20SA%20172" TargetMode="External"/><Relationship Id="rId14" Type="http://schemas.openxmlformats.org/officeDocument/2006/relationships/hyperlink" Target="https://www.saflii.org/cgi-bin/LawCite?cit=%5b1959%5d%203%20All%20SA%20308"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5194</Words>
  <Characters>29612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2026-03-27T14:08:00Z</dcterms:created>
  <dcterms:modified xsi:type="dcterms:W3CDTF">2026-03-27T14:08:00Z</dcterms:modified>
</cp:coreProperties>
</file>