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3A5" w:rsidRDefault="00E023A5" w:rsidP="00821CEC">
      <w:pPr>
        <w:pStyle w:val="NoSpacing"/>
        <w:jc w:val="both"/>
        <w:rPr>
          <w:b/>
          <w:szCs w:val="24"/>
        </w:rPr>
      </w:pPr>
      <w:r>
        <w:rPr>
          <w:b/>
          <w:szCs w:val="24"/>
        </w:rPr>
        <w:t>DAVID GANGE ADDENBROOKE</w:t>
      </w:r>
    </w:p>
    <w:p w:rsidR="00E023A5" w:rsidRDefault="00E023A5" w:rsidP="00821CEC">
      <w:pPr>
        <w:pStyle w:val="NoSpacing"/>
        <w:jc w:val="both"/>
        <w:rPr>
          <w:b/>
          <w:szCs w:val="24"/>
        </w:rPr>
      </w:pPr>
      <w:r>
        <w:rPr>
          <w:b/>
          <w:szCs w:val="24"/>
        </w:rPr>
        <w:t xml:space="preserve">And </w:t>
      </w:r>
    </w:p>
    <w:p w:rsidR="00E023A5" w:rsidRDefault="00E023A5" w:rsidP="00821CEC">
      <w:pPr>
        <w:pStyle w:val="NoSpacing"/>
        <w:jc w:val="both"/>
        <w:rPr>
          <w:b/>
          <w:szCs w:val="24"/>
        </w:rPr>
      </w:pPr>
      <w:r>
        <w:rPr>
          <w:b/>
          <w:szCs w:val="24"/>
        </w:rPr>
        <w:t>FRANCES ANN ADDENBROOKE</w:t>
      </w:r>
    </w:p>
    <w:p w:rsidR="00E023A5" w:rsidRDefault="00E023A5" w:rsidP="00821CEC">
      <w:pPr>
        <w:pStyle w:val="NoSpacing"/>
        <w:jc w:val="both"/>
        <w:rPr>
          <w:b/>
          <w:szCs w:val="24"/>
        </w:rPr>
      </w:pPr>
      <w:r>
        <w:rPr>
          <w:b/>
          <w:szCs w:val="24"/>
        </w:rPr>
        <w:t>Versus</w:t>
      </w:r>
    </w:p>
    <w:p w:rsidR="00E023A5" w:rsidRDefault="00E023A5" w:rsidP="00821CEC">
      <w:pPr>
        <w:pStyle w:val="NoSpacing"/>
        <w:jc w:val="both"/>
        <w:rPr>
          <w:b/>
          <w:szCs w:val="24"/>
        </w:rPr>
      </w:pPr>
      <w:r>
        <w:rPr>
          <w:b/>
          <w:szCs w:val="24"/>
        </w:rPr>
        <w:t>SHASHA ROBERT GOMEZ</w:t>
      </w:r>
    </w:p>
    <w:p w:rsidR="00E023A5" w:rsidRDefault="00E023A5" w:rsidP="00821CEC">
      <w:pPr>
        <w:pStyle w:val="NoSpacing"/>
        <w:jc w:val="both"/>
        <w:rPr>
          <w:b/>
          <w:szCs w:val="24"/>
        </w:rPr>
      </w:pPr>
      <w:r>
        <w:rPr>
          <w:b/>
          <w:szCs w:val="24"/>
        </w:rPr>
        <w:t>And</w:t>
      </w:r>
    </w:p>
    <w:p w:rsidR="00E023A5" w:rsidRDefault="00E023A5" w:rsidP="00821CEC">
      <w:pPr>
        <w:pStyle w:val="NoSpacing"/>
        <w:jc w:val="both"/>
        <w:rPr>
          <w:b/>
          <w:szCs w:val="24"/>
        </w:rPr>
      </w:pPr>
      <w:r>
        <w:rPr>
          <w:b/>
          <w:szCs w:val="24"/>
        </w:rPr>
        <w:t>THE REGISTRAR OF DEEDS (BULAWAYO)</w:t>
      </w:r>
    </w:p>
    <w:p w:rsidR="00E023A5" w:rsidRDefault="00E023A5" w:rsidP="00821CEC">
      <w:pPr>
        <w:pStyle w:val="NoSpacing"/>
        <w:jc w:val="both"/>
        <w:rPr>
          <w:szCs w:val="24"/>
        </w:rPr>
      </w:pPr>
    </w:p>
    <w:p w:rsidR="00E023A5" w:rsidRDefault="00E023A5" w:rsidP="00821CEC">
      <w:pPr>
        <w:pStyle w:val="NoSpacing"/>
        <w:jc w:val="both"/>
        <w:rPr>
          <w:szCs w:val="24"/>
        </w:rPr>
      </w:pPr>
    </w:p>
    <w:p w:rsidR="00E023A5" w:rsidRDefault="00E023A5" w:rsidP="00821CEC">
      <w:pPr>
        <w:pStyle w:val="NoSpacing"/>
        <w:jc w:val="both"/>
        <w:rPr>
          <w:szCs w:val="24"/>
        </w:rPr>
      </w:pPr>
      <w:r>
        <w:rPr>
          <w:szCs w:val="24"/>
        </w:rPr>
        <w:t>IN THE HIGH COURT OF ZIMBABWE</w:t>
      </w:r>
    </w:p>
    <w:p w:rsidR="00E023A5" w:rsidRDefault="00E023A5" w:rsidP="00821CEC">
      <w:pPr>
        <w:pStyle w:val="NoSpacing"/>
        <w:jc w:val="both"/>
        <w:rPr>
          <w:szCs w:val="24"/>
        </w:rPr>
      </w:pPr>
      <w:r>
        <w:rPr>
          <w:szCs w:val="24"/>
        </w:rPr>
        <w:t>MOYO J</w:t>
      </w:r>
    </w:p>
    <w:p w:rsidR="00E023A5" w:rsidRDefault="004B6C42" w:rsidP="00821CEC">
      <w:pPr>
        <w:pStyle w:val="NoSpacing"/>
        <w:jc w:val="both"/>
        <w:rPr>
          <w:szCs w:val="24"/>
        </w:rPr>
      </w:pPr>
      <w:r>
        <w:rPr>
          <w:szCs w:val="24"/>
        </w:rPr>
        <w:t>BULAWAYO 20 MAY AND 10 JUNE 2021</w:t>
      </w:r>
    </w:p>
    <w:p w:rsidR="00E023A5" w:rsidRDefault="00E023A5" w:rsidP="00821CEC">
      <w:pPr>
        <w:pStyle w:val="NoSpacing"/>
        <w:jc w:val="both"/>
        <w:rPr>
          <w:szCs w:val="24"/>
        </w:rPr>
      </w:pPr>
    </w:p>
    <w:p w:rsidR="00E023A5" w:rsidRDefault="00E023A5" w:rsidP="00821CEC">
      <w:pPr>
        <w:pStyle w:val="NoSpacing"/>
        <w:jc w:val="both"/>
        <w:rPr>
          <w:b/>
          <w:szCs w:val="24"/>
        </w:rPr>
      </w:pPr>
      <w:r>
        <w:rPr>
          <w:b/>
          <w:szCs w:val="24"/>
        </w:rPr>
        <w:t>Appli</w:t>
      </w:r>
      <w:r w:rsidR="002049F3">
        <w:rPr>
          <w:b/>
          <w:szCs w:val="24"/>
        </w:rPr>
        <w:t>cation For Absolution From The I</w:t>
      </w:r>
      <w:r>
        <w:rPr>
          <w:b/>
          <w:szCs w:val="24"/>
        </w:rPr>
        <w:t>nstance</w:t>
      </w:r>
    </w:p>
    <w:p w:rsidR="00E023A5" w:rsidRDefault="00E023A5" w:rsidP="00821CEC">
      <w:pPr>
        <w:pStyle w:val="NoSpacing"/>
        <w:jc w:val="both"/>
        <w:rPr>
          <w:szCs w:val="24"/>
        </w:rPr>
      </w:pPr>
    </w:p>
    <w:p w:rsidR="00E023A5" w:rsidRDefault="00E023A5" w:rsidP="00821CEC">
      <w:pPr>
        <w:pStyle w:val="NoSpacing"/>
        <w:jc w:val="both"/>
        <w:rPr>
          <w:szCs w:val="24"/>
        </w:rPr>
      </w:pPr>
      <w:r>
        <w:rPr>
          <w:i/>
          <w:szCs w:val="24"/>
        </w:rPr>
        <w:t xml:space="preserve">J Sibanda, </w:t>
      </w:r>
      <w:r>
        <w:rPr>
          <w:szCs w:val="24"/>
        </w:rPr>
        <w:t>for the plaintiff</w:t>
      </w:r>
    </w:p>
    <w:p w:rsidR="00E023A5" w:rsidRDefault="00E023A5" w:rsidP="00821CEC">
      <w:pPr>
        <w:pStyle w:val="NoSpacing"/>
        <w:jc w:val="both"/>
        <w:rPr>
          <w:szCs w:val="24"/>
        </w:rPr>
      </w:pPr>
      <w:r w:rsidRPr="00E023A5">
        <w:rPr>
          <w:i/>
          <w:szCs w:val="24"/>
        </w:rPr>
        <w:t>G Nyoni</w:t>
      </w:r>
      <w:r>
        <w:rPr>
          <w:szCs w:val="24"/>
        </w:rPr>
        <w:t>, for the defendant</w:t>
      </w:r>
    </w:p>
    <w:p w:rsidR="00E023A5" w:rsidRDefault="00E023A5" w:rsidP="00821CEC">
      <w:pPr>
        <w:pStyle w:val="Default"/>
        <w:jc w:val="both"/>
      </w:pPr>
    </w:p>
    <w:p w:rsidR="00E023A5" w:rsidRDefault="00E023A5" w:rsidP="00821CEC">
      <w:pPr>
        <w:spacing w:line="360" w:lineRule="auto"/>
        <w:jc w:val="both"/>
        <w:rPr>
          <w:rFonts w:ascii="Times New Roman" w:hAnsi="Times New Roman" w:cs="Times New Roman"/>
          <w:sz w:val="24"/>
          <w:szCs w:val="24"/>
        </w:rPr>
      </w:pPr>
      <w:r>
        <w:tab/>
      </w:r>
      <w:r>
        <w:rPr>
          <w:rFonts w:ascii="Times New Roman" w:hAnsi="Times New Roman" w:cs="Times New Roman"/>
          <w:b/>
          <w:bCs/>
          <w:sz w:val="24"/>
          <w:szCs w:val="24"/>
        </w:rPr>
        <w:t xml:space="preserve">MOYO J: </w:t>
      </w:r>
      <w:r>
        <w:rPr>
          <w:rFonts w:ascii="Times New Roman" w:hAnsi="Times New Roman" w:cs="Times New Roman"/>
          <w:b/>
          <w:bCs/>
          <w:sz w:val="24"/>
          <w:szCs w:val="24"/>
        </w:rPr>
        <w:tab/>
      </w:r>
      <w:r>
        <w:rPr>
          <w:rFonts w:ascii="Times New Roman" w:hAnsi="Times New Roman" w:cs="Times New Roman"/>
          <w:sz w:val="24"/>
          <w:szCs w:val="24"/>
        </w:rPr>
        <w:t>Plaintiff issued summons claiming:-</w:t>
      </w:r>
    </w:p>
    <w:p w:rsidR="00E023A5" w:rsidRPr="00B27957" w:rsidRDefault="00E023A5" w:rsidP="00821CEC">
      <w:pPr>
        <w:pStyle w:val="ListParagraph"/>
        <w:numPr>
          <w:ilvl w:val="0"/>
          <w:numId w:val="1"/>
        </w:numPr>
        <w:spacing w:line="360" w:lineRule="auto"/>
        <w:jc w:val="both"/>
        <w:rPr>
          <w:rFonts w:ascii="Times New Roman" w:hAnsi="Times New Roman" w:cs="Times New Roman"/>
          <w:sz w:val="24"/>
          <w:szCs w:val="24"/>
        </w:rPr>
      </w:pPr>
      <w:r w:rsidRPr="00B27957">
        <w:rPr>
          <w:rFonts w:ascii="Times New Roman" w:hAnsi="Times New Roman" w:cs="Times New Roman"/>
          <w:sz w:val="24"/>
          <w:szCs w:val="24"/>
        </w:rPr>
        <w:t>an order declaring agreements of sale by plaintiff</w:t>
      </w:r>
      <w:r w:rsidR="00B27957" w:rsidRPr="00B27957">
        <w:rPr>
          <w:rFonts w:ascii="Times New Roman" w:hAnsi="Times New Roman" w:cs="Times New Roman"/>
          <w:sz w:val="24"/>
          <w:szCs w:val="24"/>
        </w:rPr>
        <w:t>s to 1</w:t>
      </w:r>
      <w:r w:rsidR="00B27957" w:rsidRPr="00B27957">
        <w:rPr>
          <w:rFonts w:ascii="Times New Roman" w:hAnsi="Times New Roman" w:cs="Times New Roman"/>
          <w:sz w:val="24"/>
          <w:szCs w:val="24"/>
          <w:vertAlign w:val="superscript"/>
        </w:rPr>
        <w:t>st</w:t>
      </w:r>
      <w:r w:rsidR="00B27957" w:rsidRPr="00B27957">
        <w:rPr>
          <w:rFonts w:ascii="Times New Roman" w:hAnsi="Times New Roman" w:cs="Times New Roman"/>
          <w:sz w:val="24"/>
          <w:szCs w:val="24"/>
        </w:rPr>
        <w:t xml:space="preserve"> defendant of shares 20 and 21 Ascot Mews, Bulawayo, to be null and void </w:t>
      </w:r>
      <w:r w:rsidR="00B27957" w:rsidRPr="002049F3">
        <w:rPr>
          <w:rFonts w:ascii="Times New Roman" w:hAnsi="Times New Roman" w:cs="Times New Roman"/>
          <w:i/>
          <w:sz w:val="24"/>
          <w:szCs w:val="24"/>
        </w:rPr>
        <w:t>ab initio</w:t>
      </w:r>
      <w:r w:rsidR="00B27957" w:rsidRPr="00B27957">
        <w:rPr>
          <w:rFonts w:ascii="Times New Roman" w:hAnsi="Times New Roman" w:cs="Times New Roman"/>
          <w:sz w:val="24"/>
          <w:szCs w:val="24"/>
        </w:rPr>
        <w:t xml:space="preserve"> and of no force or effect whatsoever.</w:t>
      </w:r>
    </w:p>
    <w:p w:rsidR="00B27957" w:rsidRDefault="00B27957"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the 1</w:t>
      </w:r>
      <w:r w:rsidRPr="00B2795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or those who occupy through him to vacate shares 20 and 21 Ascot Mews, Bulawayo.</w:t>
      </w:r>
    </w:p>
    <w:p w:rsidR="00B27957" w:rsidRDefault="00B27957"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1</w:t>
      </w:r>
      <w:r w:rsidRPr="00B2795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to pay occupational rental for share 20 and share 21 Ascot Mews Bulawayo of US 2000-00 monthly (or its ZWL equivalent) calculated from 1 April 2018 to 31 July 2019.</w:t>
      </w:r>
    </w:p>
    <w:p w:rsidR="00B27957" w:rsidRDefault="00B27957"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1</w:t>
      </w:r>
      <w:r w:rsidRPr="00B2795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to pay the sum of US66.70 (or its equivalent in ZWL) calculated daily from 1 August 2019 to date of eviction.</w:t>
      </w:r>
    </w:p>
    <w:p w:rsidR="00B27957" w:rsidRDefault="00B27957"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that the amounts stated in (c) and (d) above be set off against the sum of US140 000-00 paid by 1</w:t>
      </w:r>
      <w:r w:rsidRPr="00B2795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to the plaintiffs.</w:t>
      </w:r>
    </w:p>
    <w:p w:rsidR="00B27957" w:rsidRDefault="00FA5D69"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the 1</w:t>
      </w:r>
      <w:r w:rsidRPr="00B2795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to deliver to the plaintiffs deed of trans</w:t>
      </w:r>
      <w:r w:rsidR="002049F3">
        <w:rPr>
          <w:rFonts w:ascii="Times New Roman" w:hAnsi="Times New Roman" w:cs="Times New Roman"/>
          <w:sz w:val="24"/>
          <w:szCs w:val="24"/>
        </w:rPr>
        <w:t>fer 3108/96 in respect of share</w:t>
      </w:r>
      <w:r>
        <w:rPr>
          <w:rFonts w:ascii="Times New Roman" w:hAnsi="Times New Roman" w:cs="Times New Roman"/>
          <w:sz w:val="24"/>
          <w:szCs w:val="24"/>
        </w:rPr>
        <w:t xml:space="preserve"> 21 Ascot Mews upon the issue of this order.</w:t>
      </w:r>
    </w:p>
    <w:p w:rsidR="00FA5D69" w:rsidRDefault="00FA5D69"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 order directing 1</w:t>
      </w:r>
      <w:r w:rsidRPr="00FA5D69">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to return and deliver to plaintiffs the deed of trust for Magalena trust registered under MA 29/96.</w:t>
      </w:r>
    </w:p>
    <w:p w:rsidR="00FA5D69" w:rsidRDefault="00FA5D69"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 order declaring the renunciation and waiver of rights and benefits by plaintiffs in the Magalena trust in favour of 1</w:t>
      </w:r>
      <w:r w:rsidRPr="00FA5D69">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is null and void.</w:t>
      </w:r>
    </w:p>
    <w:p w:rsidR="00FA5D69" w:rsidRDefault="00FA5D69"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Alternative relief, and</w:t>
      </w:r>
    </w:p>
    <w:p w:rsidR="00FA5D69" w:rsidRDefault="00FA5D69" w:rsidP="00821CE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Costs of suit at an attorney and client scale.</w:t>
      </w:r>
    </w:p>
    <w:p w:rsidR="00353A5A" w:rsidRDefault="002049F3" w:rsidP="00353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Defendant</w:t>
      </w:r>
      <w:r w:rsidR="00FA5D69">
        <w:rPr>
          <w:rFonts w:ascii="Times New Roman" w:hAnsi="Times New Roman" w:cs="Times New Roman"/>
          <w:sz w:val="24"/>
          <w:szCs w:val="24"/>
        </w:rPr>
        <w:t xml:space="preserve"> filed a plea and disputed plaintiff’s claim stati</w:t>
      </w:r>
      <w:r>
        <w:rPr>
          <w:rFonts w:ascii="Times New Roman" w:hAnsi="Times New Roman" w:cs="Times New Roman"/>
          <w:sz w:val="24"/>
          <w:szCs w:val="24"/>
        </w:rPr>
        <w:t>ng that the properties were sold</w:t>
      </w:r>
      <w:r w:rsidR="00FA5D69">
        <w:rPr>
          <w:rFonts w:ascii="Times New Roman" w:hAnsi="Times New Roman" w:cs="Times New Roman"/>
          <w:sz w:val="24"/>
          <w:szCs w:val="24"/>
        </w:rPr>
        <w:t xml:space="preserve"> as 2 separate units.  Defendant also filed a claim in reconvention to the effect that </w:t>
      </w:r>
      <w:r w:rsidR="00353A5A">
        <w:rPr>
          <w:rFonts w:ascii="Times New Roman" w:hAnsi="Times New Roman" w:cs="Times New Roman"/>
          <w:sz w:val="24"/>
          <w:szCs w:val="24"/>
        </w:rPr>
        <w:t xml:space="preserve">the agreement of sale of plaintiffs’ rights and </w:t>
      </w:r>
      <w:r w:rsidR="00FA5D69">
        <w:rPr>
          <w:rFonts w:ascii="Times New Roman" w:hAnsi="Times New Roman" w:cs="Times New Roman"/>
          <w:sz w:val="24"/>
          <w:szCs w:val="24"/>
        </w:rPr>
        <w:t>interests in Magalena trust CF 191/96 is valid and that plaintiff be ordered to surrender the title deed in respect of Unit 20 held under deed of transfer 1940/97.  Plaintiffs’ case was led by 1</w:t>
      </w:r>
      <w:r w:rsidR="00FA5D69" w:rsidRPr="00FA5D69">
        <w:rPr>
          <w:rFonts w:ascii="Times New Roman" w:hAnsi="Times New Roman" w:cs="Times New Roman"/>
          <w:sz w:val="24"/>
          <w:szCs w:val="24"/>
          <w:vertAlign w:val="superscript"/>
        </w:rPr>
        <w:t>st</w:t>
      </w:r>
      <w:r w:rsidR="00FA5D69">
        <w:rPr>
          <w:rFonts w:ascii="Times New Roman" w:hAnsi="Times New Roman" w:cs="Times New Roman"/>
          <w:sz w:val="24"/>
          <w:szCs w:val="24"/>
        </w:rPr>
        <w:t xml:space="preserve"> plaintiff, who basically took the court through the entire transaction process including numerous documents</w:t>
      </w:r>
      <w:r w:rsidR="004830D6">
        <w:rPr>
          <w:rFonts w:ascii="Times New Roman" w:hAnsi="Times New Roman" w:cs="Times New Roman"/>
          <w:sz w:val="24"/>
          <w:szCs w:val="24"/>
        </w:rPr>
        <w:t xml:space="preserve"> in relation thereto.  Fro</w:t>
      </w:r>
      <w:r w:rsidR="00353A5A">
        <w:rPr>
          <w:rFonts w:ascii="Times New Roman" w:hAnsi="Times New Roman" w:cs="Times New Roman"/>
          <w:sz w:val="24"/>
          <w:szCs w:val="24"/>
        </w:rPr>
        <w:t xml:space="preserve">m the evidence led it would appear </w:t>
      </w:r>
      <w:r w:rsidR="004830D6">
        <w:rPr>
          <w:rFonts w:ascii="Times New Roman" w:hAnsi="Times New Roman" w:cs="Times New Roman"/>
          <w:sz w:val="24"/>
          <w:szCs w:val="24"/>
        </w:rPr>
        <w:t xml:space="preserve">that the 2 properties were being sold as part of a trust </w:t>
      </w:r>
      <w:r w:rsidR="00353A5A">
        <w:rPr>
          <w:rFonts w:ascii="Times New Roman" w:hAnsi="Times New Roman" w:cs="Times New Roman"/>
          <w:sz w:val="24"/>
          <w:szCs w:val="24"/>
        </w:rPr>
        <w:t xml:space="preserve">and </w:t>
      </w:r>
      <w:r w:rsidR="004830D6">
        <w:rPr>
          <w:rFonts w:ascii="Times New Roman" w:hAnsi="Times New Roman" w:cs="Times New Roman"/>
          <w:sz w:val="24"/>
          <w:szCs w:val="24"/>
        </w:rPr>
        <w:t>f</w:t>
      </w:r>
      <w:r w:rsidR="00353A5A">
        <w:rPr>
          <w:rFonts w:ascii="Times New Roman" w:hAnsi="Times New Roman" w:cs="Times New Roman"/>
          <w:sz w:val="24"/>
          <w:szCs w:val="24"/>
        </w:rPr>
        <w:t xml:space="preserve">rom the evidence on record it would also appear </w:t>
      </w:r>
      <w:r w:rsidR="004830D6">
        <w:rPr>
          <w:rFonts w:ascii="Times New Roman" w:hAnsi="Times New Roman" w:cs="Times New Roman"/>
          <w:sz w:val="24"/>
          <w:szCs w:val="24"/>
        </w:rPr>
        <w:t>that the payment of $140 000-00 in respect of the 2</w:t>
      </w:r>
      <w:r w:rsidR="004830D6" w:rsidRPr="004830D6">
        <w:rPr>
          <w:rFonts w:ascii="Times New Roman" w:hAnsi="Times New Roman" w:cs="Times New Roman"/>
          <w:sz w:val="24"/>
          <w:szCs w:val="24"/>
          <w:vertAlign w:val="superscript"/>
        </w:rPr>
        <w:t>nd</w:t>
      </w:r>
      <w:r w:rsidR="004830D6">
        <w:rPr>
          <w:rFonts w:ascii="Times New Roman" w:hAnsi="Times New Roman" w:cs="Times New Roman"/>
          <w:sz w:val="24"/>
          <w:szCs w:val="24"/>
        </w:rPr>
        <w:t xml:space="preserve"> share in t</w:t>
      </w:r>
      <w:r w:rsidR="00353A5A">
        <w:rPr>
          <w:rFonts w:ascii="Times New Roman" w:hAnsi="Times New Roman" w:cs="Times New Roman"/>
          <w:sz w:val="24"/>
          <w:szCs w:val="24"/>
        </w:rPr>
        <w:t>he trust was not paid as agreed in terms of dates.</w:t>
      </w:r>
      <w:r w:rsidR="004830D6">
        <w:rPr>
          <w:rFonts w:ascii="Times New Roman" w:hAnsi="Times New Roman" w:cs="Times New Roman"/>
          <w:sz w:val="24"/>
          <w:szCs w:val="24"/>
        </w:rPr>
        <w:t xml:space="preserve">  </w:t>
      </w:r>
      <w:r w:rsidR="00353A5A">
        <w:rPr>
          <w:rFonts w:ascii="Times New Roman" w:hAnsi="Times New Roman" w:cs="Times New Roman"/>
          <w:sz w:val="24"/>
          <w:szCs w:val="24"/>
        </w:rPr>
        <w:t xml:space="preserve">What the issue of payment dates </w:t>
      </w:r>
      <w:r w:rsidR="004830D6">
        <w:rPr>
          <w:rFonts w:ascii="Times New Roman" w:hAnsi="Times New Roman" w:cs="Times New Roman"/>
          <w:sz w:val="24"/>
          <w:szCs w:val="24"/>
        </w:rPr>
        <w:t xml:space="preserve">means for the entire case depends on the findings of this court at the end of the trial.  </w:t>
      </w:r>
    </w:p>
    <w:p w:rsidR="00172380" w:rsidRDefault="004830D6" w:rsidP="00353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4830D6">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applied for absolution from the instance </w:t>
      </w:r>
      <w:r w:rsidR="00353A5A">
        <w:rPr>
          <w:rFonts w:ascii="Times New Roman" w:hAnsi="Times New Roman" w:cs="Times New Roman"/>
          <w:sz w:val="24"/>
          <w:szCs w:val="24"/>
        </w:rPr>
        <w:t xml:space="preserve">at the close of plaintiffs’ case </w:t>
      </w:r>
      <w:r>
        <w:rPr>
          <w:rFonts w:ascii="Times New Roman" w:hAnsi="Times New Roman" w:cs="Times New Roman"/>
          <w:sz w:val="24"/>
          <w:szCs w:val="24"/>
        </w:rPr>
        <w:t>on the basis that the whole basis for the claim fell apart when Mr Addenbrooke diso</w:t>
      </w:r>
      <w:r w:rsidR="00353A5A">
        <w:rPr>
          <w:rFonts w:ascii="Times New Roman" w:hAnsi="Times New Roman" w:cs="Times New Roman"/>
          <w:sz w:val="24"/>
          <w:szCs w:val="24"/>
        </w:rPr>
        <w:t xml:space="preserve">wned any invalidity or voidness of the agreement.  </w:t>
      </w:r>
      <w:r>
        <w:rPr>
          <w:rFonts w:ascii="Times New Roman" w:hAnsi="Times New Roman" w:cs="Times New Roman"/>
          <w:sz w:val="24"/>
          <w:szCs w:val="24"/>
        </w:rPr>
        <w:t xml:space="preserve">What is crucial though is the test </w:t>
      </w:r>
      <w:r w:rsidR="00353A5A">
        <w:rPr>
          <w:rFonts w:ascii="Times New Roman" w:hAnsi="Times New Roman" w:cs="Times New Roman"/>
          <w:sz w:val="24"/>
          <w:szCs w:val="24"/>
        </w:rPr>
        <w:t xml:space="preserve">to be </w:t>
      </w:r>
      <w:r>
        <w:rPr>
          <w:rFonts w:ascii="Times New Roman" w:hAnsi="Times New Roman" w:cs="Times New Roman"/>
          <w:sz w:val="24"/>
          <w:szCs w:val="24"/>
        </w:rPr>
        <w:t>applied in such applications, which surprisingly the 1</w:t>
      </w:r>
      <w:r w:rsidRPr="004830D6">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defendant’s counsel never alludes to in their submissions.  The 1</w:t>
      </w:r>
      <w:r w:rsidRPr="004830D6">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in applying for absolution from the instance, does not make submissions in relation to the test to be applied in such an application and show the court that the circumstances of this case pass that test but </w:t>
      </w:r>
      <w:r w:rsidR="00172380">
        <w:rPr>
          <w:rFonts w:ascii="Times New Roman" w:hAnsi="Times New Roman" w:cs="Times New Roman"/>
          <w:sz w:val="24"/>
          <w:szCs w:val="24"/>
        </w:rPr>
        <w:t>instead, goes on to assess the evidence before the court and attacks it as if the matter is now for judgment at the end of the trial.  I say so for the following reasons:-</w:t>
      </w:r>
    </w:p>
    <w:p w:rsidR="00172380" w:rsidRDefault="00172380"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test to be applied to the question of whether </w:t>
      </w:r>
      <w:r w:rsidR="00353A5A">
        <w:rPr>
          <w:rFonts w:ascii="Times New Roman" w:hAnsi="Times New Roman" w:cs="Times New Roman"/>
          <w:sz w:val="24"/>
          <w:szCs w:val="24"/>
        </w:rPr>
        <w:t xml:space="preserve">or not </w:t>
      </w:r>
      <w:r>
        <w:rPr>
          <w:rFonts w:ascii="Times New Roman" w:hAnsi="Times New Roman" w:cs="Times New Roman"/>
          <w:sz w:val="24"/>
          <w:szCs w:val="24"/>
        </w:rPr>
        <w:t xml:space="preserve">to grant absolution from the instance to a defendant at the </w:t>
      </w:r>
      <w:r w:rsidR="000B0CBA">
        <w:rPr>
          <w:rFonts w:ascii="Times New Roman" w:hAnsi="Times New Roman" w:cs="Times New Roman"/>
          <w:sz w:val="24"/>
          <w:szCs w:val="24"/>
        </w:rPr>
        <w:t xml:space="preserve">close of the plaintiff’s </w:t>
      </w:r>
      <w:r>
        <w:rPr>
          <w:rFonts w:ascii="Times New Roman" w:hAnsi="Times New Roman" w:cs="Times New Roman"/>
          <w:sz w:val="24"/>
          <w:szCs w:val="24"/>
        </w:rPr>
        <w:t>case is as follows:-</w:t>
      </w:r>
    </w:p>
    <w:p w:rsidR="00FA5D69" w:rsidRDefault="00172380" w:rsidP="000B0CB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“When absolution from the instance is sought</w:t>
      </w:r>
      <w:r w:rsidR="000B0CBA">
        <w:rPr>
          <w:rFonts w:ascii="Times New Roman" w:hAnsi="Times New Roman" w:cs="Times New Roman"/>
          <w:sz w:val="24"/>
          <w:szCs w:val="24"/>
        </w:rPr>
        <w:t xml:space="preserve"> at the close of the plaintiff’s </w:t>
      </w:r>
      <w:r>
        <w:rPr>
          <w:rFonts w:ascii="Times New Roman" w:hAnsi="Times New Roman" w:cs="Times New Roman"/>
          <w:sz w:val="24"/>
          <w:szCs w:val="24"/>
        </w:rPr>
        <w:t xml:space="preserve">case, the test to be applied is not whether the evidence led by the plaintiffs establishes what would be required to be established, but whether there is evidence upon which a court, applying its mind reasonably to such evidence, could or might find from plaintiff” per the case of </w:t>
      </w:r>
      <w:r w:rsidRPr="000B0CBA">
        <w:rPr>
          <w:rFonts w:ascii="Times New Roman" w:hAnsi="Times New Roman" w:cs="Times New Roman"/>
          <w:i/>
          <w:sz w:val="24"/>
          <w:szCs w:val="24"/>
        </w:rPr>
        <w:t>Claude Neon Lighs SA</w:t>
      </w:r>
      <w:r>
        <w:rPr>
          <w:rFonts w:ascii="Times New Roman" w:hAnsi="Times New Roman" w:cs="Times New Roman"/>
          <w:sz w:val="24"/>
          <w:szCs w:val="24"/>
        </w:rPr>
        <w:t xml:space="preserve"> </w:t>
      </w:r>
      <w:r w:rsidRPr="000B0CBA">
        <w:rPr>
          <w:rFonts w:ascii="Times New Roman" w:hAnsi="Times New Roman" w:cs="Times New Roman"/>
          <w:i/>
          <w:sz w:val="24"/>
          <w:szCs w:val="24"/>
        </w:rPr>
        <w:t>Ltd</w:t>
      </w:r>
      <w:r>
        <w:rPr>
          <w:rFonts w:ascii="Times New Roman" w:hAnsi="Times New Roman" w:cs="Times New Roman"/>
          <w:sz w:val="24"/>
          <w:szCs w:val="24"/>
        </w:rPr>
        <w:t xml:space="preserve"> v </w:t>
      </w:r>
      <w:r w:rsidRPr="000B0CBA">
        <w:rPr>
          <w:rFonts w:ascii="Times New Roman" w:hAnsi="Times New Roman" w:cs="Times New Roman"/>
          <w:i/>
          <w:sz w:val="24"/>
          <w:szCs w:val="24"/>
        </w:rPr>
        <w:t xml:space="preserve">Daniel </w:t>
      </w:r>
      <w:r>
        <w:rPr>
          <w:rFonts w:ascii="Times New Roman" w:hAnsi="Times New Roman" w:cs="Times New Roman"/>
          <w:sz w:val="24"/>
          <w:szCs w:val="24"/>
        </w:rPr>
        <w:t xml:space="preserve">1976 (4) SA 403 at 409 G-H. </w:t>
      </w:r>
      <w:r w:rsidR="004830D6">
        <w:rPr>
          <w:rFonts w:ascii="Times New Roman" w:hAnsi="Times New Roman" w:cs="Times New Roman"/>
          <w:sz w:val="24"/>
          <w:szCs w:val="24"/>
        </w:rPr>
        <w:t xml:space="preserve"> </w:t>
      </w:r>
    </w:p>
    <w:p w:rsidR="00172380" w:rsidRDefault="00172380"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test was laid down in the case of </w:t>
      </w:r>
      <w:r w:rsidRPr="000B0CBA">
        <w:rPr>
          <w:rFonts w:ascii="Times New Roman" w:hAnsi="Times New Roman" w:cs="Times New Roman"/>
          <w:i/>
          <w:sz w:val="24"/>
          <w:szCs w:val="24"/>
        </w:rPr>
        <w:t>Gascayne</w:t>
      </w:r>
      <w:r>
        <w:rPr>
          <w:rFonts w:ascii="Times New Roman" w:hAnsi="Times New Roman" w:cs="Times New Roman"/>
          <w:sz w:val="24"/>
          <w:szCs w:val="24"/>
        </w:rPr>
        <w:t xml:space="preserve"> v </w:t>
      </w:r>
      <w:r w:rsidRPr="000B0CBA">
        <w:rPr>
          <w:rFonts w:ascii="Times New Roman" w:hAnsi="Times New Roman" w:cs="Times New Roman"/>
          <w:i/>
          <w:sz w:val="24"/>
          <w:szCs w:val="24"/>
        </w:rPr>
        <w:t>Paul Hunter</w:t>
      </w:r>
      <w:r>
        <w:rPr>
          <w:rFonts w:ascii="Times New Roman" w:hAnsi="Times New Roman" w:cs="Times New Roman"/>
          <w:sz w:val="24"/>
          <w:szCs w:val="24"/>
        </w:rPr>
        <w:t xml:space="preserve"> 1917 TPD 170 wherein it was stated thus:-</w:t>
      </w:r>
    </w:p>
    <w:p w:rsidR="00172380" w:rsidRDefault="00172380" w:rsidP="00821CE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“Is there </w:t>
      </w:r>
      <w:r w:rsidR="003878FF">
        <w:rPr>
          <w:rFonts w:ascii="Times New Roman" w:hAnsi="Times New Roman" w:cs="Times New Roman"/>
          <w:sz w:val="24"/>
          <w:szCs w:val="24"/>
        </w:rPr>
        <w:t>sufficient evidence on which a court might make a reasonable mistake and give judgment for the plaintiff?”</w:t>
      </w:r>
    </w:p>
    <w:p w:rsidR="003878FF" w:rsidRDefault="003878FF"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clearly there is an issue of what the parties bought and sold to each other, did they buy and sell the trust or the individual units?   If the court finds that it is the trust that was bought, what are the consequences of such a finding </w:t>
      </w:r>
      <w:r w:rsidRPr="000B0CBA">
        <w:rPr>
          <w:rFonts w:ascii="Times New Roman" w:hAnsi="Times New Roman" w:cs="Times New Roman"/>
          <w:i/>
          <w:sz w:val="24"/>
          <w:szCs w:val="24"/>
        </w:rPr>
        <w:t xml:space="preserve">vis </w:t>
      </w:r>
      <w:r w:rsidR="000B0CBA">
        <w:rPr>
          <w:rFonts w:ascii="Times New Roman" w:hAnsi="Times New Roman" w:cs="Times New Roman"/>
          <w:i/>
          <w:sz w:val="24"/>
          <w:szCs w:val="24"/>
        </w:rPr>
        <w:t xml:space="preserve">a </w:t>
      </w:r>
      <w:r w:rsidRPr="000B0CBA">
        <w:rPr>
          <w:rFonts w:ascii="Times New Roman" w:hAnsi="Times New Roman" w:cs="Times New Roman"/>
          <w:i/>
          <w:sz w:val="24"/>
          <w:szCs w:val="24"/>
        </w:rPr>
        <w:t>avis</w:t>
      </w:r>
      <w:r>
        <w:rPr>
          <w:rFonts w:ascii="Times New Roman" w:hAnsi="Times New Roman" w:cs="Times New Roman"/>
          <w:sz w:val="24"/>
          <w:szCs w:val="24"/>
        </w:rPr>
        <w:t xml:space="preserve"> plaintiffs’ claims?  If the court finds that it is the individual properties that were sold, what are the consequences of such a finding, </w:t>
      </w:r>
      <w:r w:rsidRPr="000B0CBA">
        <w:rPr>
          <w:rFonts w:ascii="Times New Roman" w:hAnsi="Times New Roman" w:cs="Times New Roman"/>
          <w:i/>
          <w:sz w:val="24"/>
          <w:szCs w:val="24"/>
        </w:rPr>
        <w:t>vis a vis</w:t>
      </w:r>
      <w:r>
        <w:rPr>
          <w:rFonts w:ascii="Times New Roman" w:hAnsi="Times New Roman" w:cs="Times New Roman"/>
          <w:sz w:val="24"/>
          <w:szCs w:val="24"/>
        </w:rPr>
        <w:t xml:space="preserve"> plaintiffs’ claim?</w:t>
      </w:r>
    </w:p>
    <w:p w:rsidR="00F70869" w:rsidRDefault="003878FF"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the effect of the deadline of 31 Decemb</w:t>
      </w:r>
      <w:r w:rsidR="00353A5A">
        <w:rPr>
          <w:rFonts w:ascii="Times New Roman" w:hAnsi="Times New Roman" w:cs="Times New Roman"/>
          <w:sz w:val="24"/>
          <w:szCs w:val="24"/>
        </w:rPr>
        <w:t xml:space="preserve">er 2018 for the second payment?   Was </w:t>
      </w:r>
      <w:r>
        <w:rPr>
          <w:rFonts w:ascii="Times New Roman" w:hAnsi="Times New Roman" w:cs="Times New Roman"/>
          <w:sz w:val="24"/>
          <w:szCs w:val="24"/>
        </w:rPr>
        <w:t>defendant in breach of the parties</w:t>
      </w:r>
      <w:r w:rsidR="000B0CBA">
        <w:rPr>
          <w:rFonts w:ascii="Times New Roman" w:hAnsi="Times New Roman" w:cs="Times New Roman"/>
          <w:sz w:val="24"/>
          <w:szCs w:val="24"/>
        </w:rPr>
        <w:t>’</w:t>
      </w:r>
      <w:r>
        <w:rPr>
          <w:rFonts w:ascii="Times New Roman" w:hAnsi="Times New Roman" w:cs="Times New Roman"/>
          <w:sz w:val="24"/>
          <w:szCs w:val="24"/>
        </w:rPr>
        <w:t xml:space="preserve"> agreement with regard thereto or not?  If so</w:t>
      </w:r>
      <w:r w:rsidR="00353A5A">
        <w:rPr>
          <w:rFonts w:ascii="Times New Roman" w:hAnsi="Times New Roman" w:cs="Times New Roman"/>
          <w:sz w:val="24"/>
          <w:szCs w:val="24"/>
        </w:rPr>
        <w:t>,</w:t>
      </w:r>
      <w:r>
        <w:rPr>
          <w:rFonts w:ascii="Times New Roman" w:hAnsi="Times New Roman" w:cs="Times New Roman"/>
          <w:sz w:val="24"/>
          <w:szCs w:val="24"/>
        </w:rPr>
        <w:t xml:space="preserve"> what are the consequences </w:t>
      </w:r>
      <w:r w:rsidRPr="000B0CBA">
        <w:rPr>
          <w:rFonts w:ascii="Times New Roman" w:hAnsi="Times New Roman" w:cs="Times New Roman"/>
          <w:i/>
          <w:sz w:val="24"/>
          <w:szCs w:val="24"/>
        </w:rPr>
        <w:t>vis</w:t>
      </w:r>
      <w:r w:rsidR="00F70869" w:rsidRPr="000B0CBA">
        <w:rPr>
          <w:rFonts w:ascii="Times New Roman" w:hAnsi="Times New Roman" w:cs="Times New Roman"/>
          <w:i/>
          <w:sz w:val="24"/>
          <w:szCs w:val="24"/>
        </w:rPr>
        <w:t xml:space="preserve"> a</w:t>
      </w:r>
      <w:r w:rsidRPr="000B0CBA">
        <w:rPr>
          <w:rFonts w:ascii="Times New Roman" w:hAnsi="Times New Roman" w:cs="Times New Roman"/>
          <w:i/>
          <w:sz w:val="24"/>
          <w:szCs w:val="24"/>
        </w:rPr>
        <w:t xml:space="preserve"> avis</w:t>
      </w:r>
      <w:r>
        <w:rPr>
          <w:rFonts w:ascii="Times New Roman" w:hAnsi="Times New Roman" w:cs="Times New Roman"/>
          <w:sz w:val="24"/>
          <w:szCs w:val="24"/>
        </w:rPr>
        <w:t xml:space="preserve"> plaintiffs’ claims?  If not still, what are the consequences </w:t>
      </w:r>
      <w:r w:rsidRPr="000B0CBA">
        <w:rPr>
          <w:rFonts w:ascii="Times New Roman" w:hAnsi="Times New Roman" w:cs="Times New Roman"/>
          <w:i/>
          <w:sz w:val="24"/>
          <w:szCs w:val="24"/>
        </w:rPr>
        <w:t>vis a vis</w:t>
      </w:r>
      <w:r w:rsidR="00C3551B">
        <w:rPr>
          <w:rFonts w:ascii="Times New Roman" w:hAnsi="Times New Roman" w:cs="Times New Roman"/>
          <w:sz w:val="24"/>
          <w:szCs w:val="24"/>
        </w:rPr>
        <w:t xml:space="preserve"> plaintiffs’ </w:t>
      </w:r>
      <w:r>
        <w:rPr>
          <w:rFonts w:ascii="Times New Roman" w:hAnsi="Times New Roman" w:cs="Times New Roman"/>
          <w:sz w:val="24"/>
          <w:szCs w:val="24"/>
        </w:rPr>
        <w:t>claims?  There are issues also surrounding</w:t>
      </w:r>
      <w:r w:rsidR="00F70869">
        <w:rPr>
          <w:rFonts w:ascii="Times New Roman" w:hAnsi="Times New Roman" w:cs="Times New Roman"/>
          <w:sz w:val="24"/>
          <w:szCs w:val="24"/>
        </w:rPr>
        <w:t xml:space="preserve"> the mode of pay</w:t>
      </w:r>
      <w:r w:rsidR="00353A5A">
        <w:rPr>
          <w:rFonts w:ascii="Times New Roman" w:hAnsi="Times New Roman" w:cs="Times New Roman"/>
          <w:sz w:val="24"/>
          <w:szCs w:val="24"/>
        </w:rPr>
        <w:t xml:space="preserve">ment that is the currency </w:t>
      </w:r>
      <w:r w:rsidR="00F70869">
        <w:rPr>
          <w:rFonts w:ascii="Times New Roman" w:hAnsi="Times New Roman" w:cs="Times New Roman"/>
          <w:sz w:val="24"/>
          <w:szCs w:val="24"/>
        </w:rPr>
        <w:t xml:space="preserve">to be used.  There are </w:t>
      </w:r>
      <w:r w:rsidR="00AB6443">
        <w:rPr>
          <w:rFonts w:ascii="Times New Roman" w:hAnsi="Times New Roman" w:cs="Times New Roman"/>
          <w:sz w:val="24"/>
          <w:szCs w:val="24"/>
        </w:rPr>
        <w:t>dis</w:t>
      </w:r>
      <w:r w:rsidR="00F70869">
        <w:rPr>
          <w:rFonts w:ascii="Times New Roman" w:hAnsi="Times New Roman" w:cs="Times New Roman"/>
          <w:sz w:val="24"/>
          <w:szCs w:val="24"/>
        </w:rPr>
        <w:t>ag</w:t>
      </w:r>
      <w:r w:rsidR="00AB6443">
        <w:rPr>
          <w:rFonts w:ascii="Times New Roman" w:hAnsi="Times New Roman" w:cs="Times New Roman"/>
          <w:sz w:val="24"/>
          <w:szCs w:val="24"/>
        </w:rPr>
        <w:t xml:space="preserve">reements surrounding the currency </w:t>
      </w:r>
      <w:r w:rsidR="00F70869">
        <w:rPr>
          <w:rFonts w:ascii="Times New Roman" w:hAnsi="Times New Roman" w:cs="Times New Roman"/>
          <w:sz w:val="24"/>
          <w:szCs w:val="24"/>
        </w:rPr>
        <w:t>of the day and that need to be resolved through a fully fledged trial.</w:t>
      </w:r>
    </w:p>
    <w:p w:rsidR="00F63136" w:rsidRDefault="00F70869"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hold the view that issues are present that only a full trial can fai</w:t>
      </w:r>
      <w:r w:rsidR="000B0CBA">
        <w:rPr>
          <w:rFonts w:ascii="Times New Roman" w:hAnsi="Times New Roman" w:cs="Times New Roman"/>
          <w:sz w:val="24"/>
          <w:szCs w:val="24"/>
        </w:rPr>
        <w:t>rl</w:t>
      </w:r>
      <w:r w:rsidR="00AB6443">
        <w:rPr>
          <w:rFonts w:ascii="Times New Roman" w:hAnsi="Times New Roman" w:cs="Times New Roman"/>
          <w:sz w:val="24"/>
          <w:szCs w:val="24"/>
        </w:rPr>
        <w:t xml:space="preserve">y discern </w:t>
      </w:r>
      <w:r>
        <w:rPr>
          <w:rFonts w:ascii="Times New Roman" w:hAnsi="Times New Roman" w:cs="Times New Roman"/>
          <w:sz w:val="24"/>
          <w:szCs w:val="24"/>
        </w:rPr>
        <w:t>and make proper findings and conclusions</w:t>
      </w:r>
      <w:r w:rsidR="00AB6443">
        <w:rPr>
          <w:rFonts w:ascii="Times New Roman" w:hAnsi="Times New Roman" w:cs="Times New Roman"/>
          <w:sz w:val="24"/>
          <w:szCs w:val="24"/>
        </w:rPr>
        <w:t xml:space="preserve"> on</w:t>
      </w:r>
      <w:r>
        <w:rPr>
          <w:rFonts w:ascii="Times New Roman" w:hAnsi="Times New Roman" w:cs="Times New Roman"/>
          <w:sz w:val="24"/>
          <w:szCs w:val="24"/>
        </w:rPr>
        <w:t>.  Some facts are common cause, like the issue of payment having b</w:t>
      </w:r>
      <w:r w:rsidR="00AB6443">
        <w:rPr>
          <w:rFonts w:ascii="Times New Roman" w:hAnsi="Times New Roman" w:cs="Times New Roman"/>
          <w:sz w:val="24"/>
          <w:szCs w:val="24"/>
        </w:rPr>
        <w:t xml:space="preserve">een made beyond the agreed </w:t>
      </w:r>
      <w:r w:rsidR="005C768A">
        <w:rPr>
          <w:rFonts w:ascii="Times New Roman" w:hAnsi="Times New Roman" w:cs="Times New Roman"/>
          <w:sz w:val="24"/>
          <w:szCs w:val="24"/>
        </w:rPr>
        <w:t xml:space="preserve">date, however it is only after a full trial that the court can fully enquire into the legalities surrounding that issue and make a proper finding with regard thereto.  Defendant argues that </w:t>
      </w:r>
      <w:r w:rsidR="00790C16">
        <w:rPr>
          <w:rFonts w:ascii="Times New Roman" w:hAnsi="Times New Roman" w:cs="Times New Roman"/>
          <w:sz w:val="24"/>
          <w:szCs w:val="24"/>
        </w:rPr>
        <w:t>time was not of the essence and that the contract was never cancelled as well as that the late payment was in fact accepted by plaintiffs’ lawyers.  However, such</w:t>
      </w:r>
      <w:r w:rsidR="00F63136">
        <w:rPr>
          <w:rFonts w:ascii="Times New Roman" w:hAnsi="Times New Roman" w:cs="Times New Roman"/>
          <w:sz w:val="24"/>
          <w:szCs w:val="24"/>
        </w:rPr>
        <w:t xml:space="preserve"> an issue canno</w:t>
      </w:r>
      <w:r w:rsidR="000B0CBA">
        <w:rPr>
          <w:rFonts w:ascii="Times New Roman" w:hAnsi="Times New Roman" w:cs="Times New Roman"/>
          <w:sz w:val="24"/>
          <w:szCs w:val="24"/>
        </w:rPr>
        <w:t>t be resolved at this stage as d</w:t>
      </w:r>
      <w:r w:rsidR="00F63136">
        <w:rPr>
          <w:rFonts w:ascii="Times New Roman" w:hAnsi="Times New Roman" w:cs="Times New Roman"/>
          <w:sz w:val="24"/>
          <w:szCs w:val="24"/>
        </w:rPr>
        <w:t xml:space="preserve">efendant wants the court to.  The court does not try a matter at absolution stage.  At absolution stage the court only finds that plaintiff has not led any evidence at all to support its claims meaning that the defendant has absolutely no case to answer.  The mere fact that defendant justifies the late payment in various ways, means that indeed there is a bone of contention on that point.  Therefore absolution is not the appropriate remedy.  In the case of </w:t>
      </w:r>
      <w:r w:rsidR="00F63136" w:rsidRPr="000B0CBA">
        <w:rPr>
          <w:rFonts w:ascii="Times New Roman" w:hAnsi="Times New Roman" w:cs="Times New Roman"/>
          <w:i/>
          <w:sz w:val="24"/>
          <w:szCs w:val="24"/>
        </w:rPr>
        <w:t>Marine and Trade</w:t>
      </w:r>
      <w:r w:rsidR="00F63136">
        <w:rPr>
          <w:rFonts w:ascii="Times New Roman" w:hAnsi="Times New Roman" w:cs="Times New Roman"/>
          <w:sz w:val="24"/>
          <w:szCs w:val="24"/>
        </w:rPr>
        <w:t xml:space="preserve"> </w:t>
      </w:r>
      <w:r w:rsidR="00F63136" w:rsidRPr="000B0CBA">
        <w:rPr>
          <w:rFonts w:ascii="Times New Roman" w:hAnsi="Times New Roman" w:cs="Times New Roman"/>
          <w:i/>
          <w:sz w:val="24"/>
          <w:szCs w:val="24"/>
        </w:rPr>
        <w:t>Insurance Co. Ltd</w:t>
      </w:r>
      <w:r w:rsidR="00F63136">
        <w:rPr>
          <w:rFonts w:ascii="Times New Roman" w:hAnsi="Times New Roman" w:cs="Times New Roman"/>
          <w:sz w:val="24"/>
          <w:szCs w:val="24"/>
        </w:rPr>
        <w:t xml:space="preserve"> v </w:t>
      </w:r>
      <w:r w:rsidR="00F63136" w:rsidRPr="000B0CBA">
        <w:rPr>
          <w:rFonts w:ascii="Times New Roman" w:hAnsi="Times New Roman" w:cs="Times New Roman"/>
          <w:i/>
          <w:sz w:val="24"/>
          <w:szCs w:val="24"/>
        </w:rPr>
        <w:t>Vander Schyff</w:t>
      </w:r>
      <w:r w:rsidR="00F63136">
        <w:rPr>
          <w:rFonts w:ascii="Times New Roman" w:hAnsi="Times New Roman" w:cs="Times New Roman"/>
          <w:sz w:val="24"/>
          <w:szCs w:val="24"/>
        </w:rPr>
        <w:t xml:space="preserve"> 1972 (1) SA 26, the court held that absolution at the end of plaintiffs’ case in the ordinary cause of events, will be granted sparingly but that when the occas</w:t>
      </w:r>
      <w:r w:rsidR="00AB6443">
        <w:rPr>
          <w:rFonts w:ascii="Times New Roman" w:hAnsi="Times New Roman" w:cs="Times New Roman"/>
          <w:sz w:val="24"/>
          <w:szCs w:val="24"/>
        </w:rPr>
        <w:t>s</w:t>
      </w:r>
      <w:r w:rsidR="00F63136">
        <w:rPr>
          <w:rFonts w:ascii="Times New Roman" w:hAnsi="Times New Roman" w:cs="Times New Roman"/>
          <w:sz w:val="24"/>
          <w:szCs w:val="24"/>
        </w:rPr>
        <w:t>ion arises, a court should order it in the interests of justice.</w:t>
      </w:r>
    </w:p>
    <w:p w:rsidR="009D5497" w:rsidRDefault="00F63136"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thus my considered view that absolution from the instance is not an every day ordinary remedy since it summarily disposes of a matter without fully canvassing it.  It is an ext</w:t>
      </w:r>
      <w:r w:rsidR="00AB6443">
        <w:rPr>
          <w:rFonts w:ascii="Times New Roman" w:hAnsi="Times New Roman" w:cs="Times New Roman"/>
          <w:sz w:val="24"/>
          <w:szCs w:val="24"/>
        </w:rPr>
        <w:t>ra ordinary course</w:t>
      </w:r>
      <w:r>
        <w:rPr>
          <w:rFonts w:ascii="Times New Roman" w:hAnsi="Times New Roman" w:cs="Times New Roman"/>
          <w:sz w:val="24"/>
          <w:szCs w:val="24"/>
        </w:rPr>
        <w:t xml:space="preserve"> taken when a plaintiff’s case is hollow and totally hopeless.  I do not hold the view that </w:t>
      </w:r>
      <w:r w:rsidR="009D5497">
        <w:rPr>
          <w:rFonts w:ascii="Times New Roman" w:hAnsi="Times New Roman" w:cs="Times New Roman"/>
          <w:sz w:val="24"/>
          <w:szCs w:val="24"/>
        </w:rPr>
        <w:t>plaintiffs’ case in this dispute can be classified as such, I have already shown that there are issues surrounding the entire agreement that the parties entered into and only a full trial can in all fairness answer them.</w:t>
      </w:r>
    </w:p>
    <w:p w:rsidR="00723D54" w:rsidRDefault="009D5497" w:rsidP="00821C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now turn to the relief that 1</w:t>
      </w:r>
      <w:r w:rsidRPr="009D549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seeks that of a counter claim being granted together with this application.  That request by the 1</w:t>
      </w:r>
      <w:r w:rsidRPr="009D549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is flawed and incompetent as it is not possible for this court to grant the relief that 1</w:t>
      </w:r>
      <w:r w:rsidRPr="009D549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w:t>
      </w:r>
      <w:r w:rsidR="00AB6443">
        <w:rPr>
          <w:rFonts w:ascii="Times New Roman" w:hAnsi="Times New Roman" w:cs="Times New Roman"/>
          <w:sz w:val="24"/>
          <w:szCs w:val="24"/>
        </w:rPr>
        <w:t xml:space="preserve"> seeks in his counter claim without</w:t>
      </w:r>
      <w:r>
        <w:rPr>
          <w:rFonts w:ascii="Times New Roman" w:hAnsi="Times New Roman" w:cs="Times New Roman"/>
          <w:sz w:val="24"/>
          <w:szCs w:val="24"/>
        </w:rPr>
        <w:t xml:space="preserve"> hearing evidence and trying the issues in relation thereto.  In fact it is unheard of and 1</w:t>
      </w:r>
      <w:r w:rsidRPr="009D5497">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defendant’s counsel has not adduced any precedent for such a measure.  In the Supreme Court case of </w:t>
      </w:r>
      <w:r w:rsidRPr="0059671C">
        <w:rPr>
          <w:rFonts w:ascii="Times New Roman" w:hAnsi="Times New Roman" w:cs="Times New Roman"/>
          <w:i/>
          <w:sz w:val="24"/>
          <w:szCs w:val="24"/>
        </w:rPr>
        <w:t>Zimasco Pvt Ltd</w:t>
      </w:r>
      <w:r>
        <w:rPr>
          <w:rFonts w:ascii="Times New Roman" w:hAnsi="Times New Roman" w:cs="Times New Roman"/>
          <w:sz w:val="24"/>
          <w:szCs w:val="24"/>
        </w:rPr>
        <w:t xml:space="preserve"> v </w:t>
      </w:r>
      <w:r w:rsidRPr="0059671C">
        <w:rPr>
          <w:rFonts w:ascii="Times New Roman" w:hAnsi="Times New Roman" w:cs="Times New Roman"/>
          <w:i/>
          <w:sz w:val="24"/>
          <w:szCs w:val="24"/>
        </w:rPr>
        <w:t>Casper Tsvangirai and Others</w:t>
      </w:r>
      <w:r w:rsidR="0059671C">
        <w:rPr>
          <w:rFonts w:ascii="Times New Roman" w:hAnsi="Times New Roman" w:cs="Times New Roman"/>
          <w:sz w:val="24"/>
          <w:szCs w:val="24"/>
        </w:rPr>
        <w:t xml:space="preserve"> SC 12-20, the Supreme Court o</w:t>
      </w:r>
      <w:r>
        <w:rPr>
          <w:rFonts w:ascii="Times New Roman" w:hAnsi="Times New Roman" w:cs="Times New Roman"/>
          <w:sz w:val="24"/>
          <w:szCs w:val="24"/>
        </w:rPr>
        <w:t xml:space="preserve">n appeal, set aside a dismissal of an application for absolution from the instance and made an order granting absolution but remitted the </w:t>
      </w:r>
      <w:r w:rsidR="00723D54">
        <w:rPr>
          <w:rFonts w:ascii="Times New Roman" w:hAnsi="Times New Roman" w:cs="Times New Roman"/>
          <w:sz w:val="24"/>
          <w:szCs w:val="24"/>
        </w:rPr>
        <w:t>defendant’s counter claim back to the High Court for trial.  That is the proper course to follow even if one were to grant absolution where there is counterclaim.  I have not alluded to the affidavit attached to the application for absolution as it is unprocedural and should in fact be expunged from the record.</w:t>
      </w:r>
    </w:p>
    <w:p w:rsidR="003878FF" w:rsidRDefault="00723D54" w:rsidP="00821CEC">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I accordingly for the reasons given herein, dismiss the application for absolution from the instance with costs being in the cause.</w:t>
      </w:r>
      <w:r w:rsidR="003878FF">
        <w:rPr>
          <w:rFonts w:ascii="Times New Roman" w:hAnsi="Times New Roman" w:cs="Times New Roman"/>
          <w:sz w:val="24"/>
          <w:szCs w:val="24"/>
        </w:rPr>
        <w:t xml:space="preserve"> </w:t>
      </w:r>
    </w:p>
    <w:p w:rsidR="00723D54" w:rsidRDefault="00723D54" w:rsidP="00821CEC">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matter is set for continuation of trial on 7 July 2021 at 10.00 hours.</w:t>
      </w:r>
    </w:p>
    <w:p w:rsidR="00B14F31" w:rsidRDefault="00B14F31" w:rsidP="00821CEC">
      <w:pPr>
        <w:spacing w:line="360" w:lineRule="auto"/>
        <w:jc w:val="both"/>
        <w:rPr>
          <w:rFonts w:ascii="Times New Roman" w:hAnsi="Times New Roman" w:cs="Times New Roman"/>
          <w:sz w:val="24"/>
          <w:szCs w:val="24"/>
        </w:rPr>
      </w:pPr>
    </w:p>
    <w:p w:rsidR="00B14F31" w:rsidRDefault="00B14F31" w:rsidP="00821CEC">
      <w:pPr>
        <w:pStyle w:val="NoSpacing"/>
        <w:jc w:val="both"/>
        <w:rPr>
          <w:i/>
          <w:szCs w:val="24"/>
        </w:rPr>
      </w:pPr>
    </w:p>
    <w:p w:rsidR="00B14F31" w:rsidRDefault="00B14F31" w:rsidP="00821CEC">
      <w:pPr>
        <w:pStyle w:val="NoSpacing"/>
        <w:jc w:val="both"/>
        <w:rPr>
          <w:i/>
          <w:szCs w:val="24"/>
        </w:rPr>
      </w:pPr>
    </w:p>
    <w:p w:rsidR="00B14F31" w:rsidRPr="00B14F31" w:rsidRDefault="00B14F31" w:rsidP="00821CEC">
      <w:pPr>
        <w:pStyle w:val="NoSpacing"/>
        <w:jc w:val="both"/>
        <w:rPr>
          <w:szCs w:val="24"/>
        </w:rPr>
      </w:pPr>
      <w:r w:rsidRPr="00B14F31">
        <w:rPr>
          <w:i/>
          <w:szCs w:val="24"/>
        </w:rPr>
        <w:t>Job Sibanda and Associates</w:t>
      </w:r>
      <w:r w:rsidRPr="00B14F31">
        <w:rPr>
          <w:szCs w:val="24"/>
        </w:rPr>
        <w:t>, plaintiffs’ legal practitioners</w:t>
      </w:r>
    </w:p>
    <w:p w:rsidR="00B14F31" w:rsidRPr="00B14F31" w:rsidRDefault="00B14F31" w:rsidP="00821CEC">
      <w:pPr>
        <w:pStyle w:val="NoSpacing"/>
        <w:jc w:val="both"/>
        <w:rPr>
          <w:szCs w:val="24"/>
        </w:rPr>
      </w:pPr>
      <w:r w:rsidRPr="00B14F31">
        <w:rPr>
          <w:i/>
          <w:szCs w:val="24"/>
        </w:rPr>
        <w:t>Mashayamombe &amp; Co</w:t>
      </w:r>
      <w:r w:rsidRPr="00B14F31">
        <w:rPr>
          <w:szCs w:val="24"/>
        </w:rPr>
        <w:t>, 1</w:t>
      </w:r>
      <w:r w:rsidRPr="00B14F31">
        <w:rPr>
          <w:szCs w:val="24"/>
          <w:vertAlign w:val="superscript"/>
        </w:rPr>
        <w:t>st</w:t>
      </w:r>
      <w:r w:rsidRPr="00B14F31">
        <w:rPr>
          <w:szCs w:val="24"/>
        </w:rPr>
        <w:t xml:space="preserve"> defendant’s legal practitioners</w:t>
      </w:r>
    </w:p>
    <w:p w:rsidR="00172380" w:rsidRPr="00FA5D69" w:rsidRDefault="00172380" w:rsidP="00172380">
      <w:pPr>
        <w:spacing w:line="360" w:lineRule="auto"/>
        <w:ind w:left="720"/>
        <w:jc w:val="both"/>
        <w:rPr>
          <w:rFonts w:ascii="Times New Roman" w:hAnsi="Times New Roman" w:cs="Times New Roman"/>
          <w:sz w:val="24"/>
          <w:szCs w:val="24"/>
        </w:rPr>
      </w:pPr>
    </w:p>
    <w:p w:rsidR="001D08C3" w:rsidRDefault="001D08C3"/>
    <w:sectPr w:rsidR="001D08C3" w:rsidSect="001D08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690" w:rsidRDefault="002C6690" w:rsidP="00821CEC">
      <w:pPr>
        <w:spacing w:after="0" w:line="240" w:lineRule="auto"/>
      </w:pPr>
      <w:r>
        <w:separator/>
      </w:r>
    </w:p>
  </w:endnote>
  <w:endnote w:type="continuationSeparator" w:id="1">
    <w:p w:rsidR="002C6690" w:rsidRDefault="002C6690" w:rsidP="00821C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F8" w:rsidRDefault="00BB14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F8" w:rsidRDefault="00BB14F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F8" w:rsidRDefault="00BB14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690" w:rsidRDefault="002C6690" w:rsidP="00821CEC">
      <w:pPr>
        <w:spacing w:after="0" w:line="240" w:lineRule="auto"/>
      </w:pPr>
      <w:r>
        <w:separator/>
      </w:r>
    </w:p>
  </w:footnote>
  <w:footnote w:type="continuationSeparator" w:id="1">
    <w:p w:rsidR="002C6690" w:rsidRDefault="002C6690" w:rsidP="00821C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F8" w:rsidRDefault="00BB14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42933"/>
      <w:docPartObj>
        <w:docPartGallery w:val="Page Numbers (Top of Page)"/>
        <w:docPartUnique/>
      </w:docPartObj>
    </w:sdtPr>
    <w:sdtEndPr>
      <w:rPr>
        <w:rFonts w:ascii="Times New Roman" w:hAnsi="Times New Roman" w:cs="Times New Roman"/>
        <w:sz w:val="24"/>
        <w:szCs w:val="24"/>
      </w:rPr>
    </w:sdtEndPr>
    <w:sdtContent>
      <w:p w:rsidR="00821CEC" w:rsidRPr="00821CEC" w:rsidRDefault="00B50453">
        <w:pPr>
          <w:pStyle w:val="Header"/>
          <w:jc w:val="right"/>
          <w:rPr>
            <w:rFonts w:ascii="Times New Roman" w:hAnsi="Times New Roman" w:cs="Times New Roman"/>
            <w:sz w:val="24"/>
            <w:szCs w:val="24"/>
          </w:rPr>
        </w:pPr>
        <w:r w:rsidRPr="00821CEC">
          <w:rPr>
            <w:rFonts w:ascii="Times New Roman" w:hAnsi="Times New Roman" w:cs="Times New Roman"/>
            <w:sz w:val="24"/>
            <w:szCs w:val="24"/>
          </w:rPr>
          <w:fldChar w:fldCharType="begin"/>
        </w:r>
        <w:r w:rsidR="00821CEC" w:rsidRPr="00821CEC">
          <w:rPr>
            <w:rFonts w:ascii="Times New Roman" w:hAnsi="Times New Roman" w:cs="Times New Roman"/>
            <w:sz w:val="24"/>
            <w:szCs w:val="24"/>
          </w:rPr>
          <w:instrText xml:space="preserve"> PAGE   \* MERGEFORMAT </w:instrText>
        </w:r>
        <w:r w:rsidRPr="00821CEC">
          <w:rPr>
            <w:rFonts w:ascii="Times New Roman" w:hAnsi="Times New Roman" w:cs="Times New Roman"/>
            <w:sz w:val="24"/>
            <w:szCs w:val="24"/>
          </w:rPr>
          <w:fldChar w:fldCharType="separate"/>
        </w:r>
        <w:r w:rsidR="00C3551B">
          <w:rPr>
            <w:rFonts w:ascii="Times New Roman" w:hAnsi="Times New Roman" w:cs="Times New Roman"/>
            <w:noProof/>
            <w:sz w:val="24"/>
            <w:szCs w:val="24"/>
          </w:rPr>
          <w:t>4</w:t>
        </w:r>
        <w:r w:rsidRPr="00821CEC">
          <w:rPr>
            <w:rFonts w:ascii="Times New Roman" w:hAnsi="Times New Roman" w:cs="Times New Roman"/>
            <w:sz w:val="24"/>
            <w:szCs w:val="24"/>
          </w:rPr>
          <w:fldChar w:fldCharType="end"/>
        </w:r>
      </w:p>
      <w:p w:rsidR="00821CEC" w:rsidRPr="00821CEC" w:rsidRDefault="00821CEC">
        <w:pPr>
          <w:pStyle w:val="Header"/>
          <w:jc w:val="right"/>
          <w:rPr>
            <w:rFonts w:ascii="Times New Roman" w:hAnsi="Times New Roman" w:cs="Times New Roman"/>
            <w:sz w:val="24"/>
            <w:szCs w:val="24"/>
          </w:rPr>
        </w:pPr>
        <w:r w:rsidRPr="00821CEC">
          <w:rPr>
            <w:rFonts w:ascii="Times New Roman" w:hAnsi="Times New Roman" w:cs="Times New Roman"/>
            <w:sz w:val="24"/>
            <w:szCs w:val="24"/>
          </w:rPr>
          <w:t>HB</w:t>
        </w:r>
        <w:r w:rsidR="00BB14F8">
          <w:rPr>
            <w:rFonts w:ascii="Times New Roman" w:hAnsi="Times New Roman" w:cs="Times New Roman"/>
            <w:sz w:val="24"/>
            <w:szCs w:val="24"/>
          </w:rPr>
          <w:t xml:space="preserve"> 101/21</w:t>
        </w:r>
      </w:p>
      <w:p w:rsidR="00821CEC" w:rsidRPr="00821CEC" w:rsidRDefault="00821CEC">
        <w:pPr>
          <w:pStyle w:val="Header"/>
          <w:jc w:val="right"/>
          <w:rPr>
            <w:rFonts w:ascii="Times New Roman" w:hAnsi="Times New Roman" w:cs="Times New Roman"/>
            <w:sz w:val="24"/>
            <w:szCs w:val="24"/>
          </w:rPr>
        </w:pPr>
        <w:r w:rsidRPr="00821CEC">
          <w:rPr>
            <w:rFonts w:ascii="Times New Roman" w:hAnsi="Times New Roman" w:cs="Times New Roman"/>
            <w:sz w:val="24"/>
            <w:szCs w:val="24"/>
          </w:rPr>
          <w:t>HC 1807/19</w:t>
        </w:r>
      </w:p>
      <w:p w:rsidR="00821CEC" w:rsidRPr="00821CEC" w:rsidRDefault="00BB14F8">
        <w:pPr>
          <w:pStyle w:val="Header"/>
          <w:jc w:val="right"/>
          <w:rPr>
            <w:rFonts w:ascii="Times New Roman" w:hAnsi="Times New Roman" w:cs="Times New Roman"/>
            <w:sz w:val="24"/>
            <w:szCs w:val="24"/>
          </w:rPr>
        </w:pPr>
        <w:r>
          <w:rPr>
            <w:rFonts w:ascii="Times New Roman" w:hAnsi="Times New Roman" w:cs="Times New Roman"/>
            <w:sz w:val="24"/>
            <w:szCs w:val="24"/>
          </w:rPr>
          <w:t xml:space="preserve">XREF </w:t>
        </w:r>
        <w:r w:rsidR="00821CEC" w:rsidRPr="00821CEC">
          <w:rPr>
            <w:rFonts w:ascii="Times New Roman" w:hAnsi="Times New Roman" w:cs="Times New Roman"/>
            <w:sz w:val="24"/>
            <w:szCs w:val="24"/>
          </w:rPr>
          <w:t>HC 1936/19</w:t>
        </w:r>
      </w:p>
      <w:p w:rsidR="00821CEC" w:rsidRPr="00821CEC" w:rsidRDefault="00821CEC">
        <w:pPr>
          <w:pStyle w:val="Header"/>
          <w:jc w:val="right"/>
          <w:rPr>
            <w:rFonts w:ascii="Times New Roman" w:hAnsi="Times New Roman" w:cs="Times New Roman"/>
            <w:sz w:val="24"/>
            <w:szCs w:val="24"/>
          </w:rPr>
        </w:pPr>
        <w:r w:rsidRPr="00821CEC">
          <w:rPr>
            <w:rFonts w:ascii="Times New Roman" w:hAnsi="Times New Roman" w:cs="Times New Roman"/>
            <w:sz w:val="24"/>
            <w:szCs w:val="24"/>
          </w:rPr>
          <w:t>XRE HC 2608/19</w:t>
        </w:r>
      </w:p>
    </w:sdtContent>
  </w:sdt>
  <w:p w:rsidR="00821CEC" w:rsidRPr="00821CEC" w:rsidRDefault="00821CEC">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F8" w:rsidRDefault="00BB14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34355"/>
    <w:multiLevelType w:val="hybridMultilevel"/>
    <w:tmpl w:val="C08C4314"/>
    <w:lvl w:ilvl="0" w:tplc="671E673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23A5"/>
    <w:rsid w:val="00086938"/>
    <w:rsid w:val="000B0CBA"/>
    <w:rsid w:val="000F3B94"/>
    <w:rsid w:val="001100AA"/>
    <w:rsid w:val="00172380"/>
    <w:rsid w:val="001D08C3"/>
    <w:rsid w:val="001E7B5E"/>
    <w:rsid w:val="002049F3"/>
    <w:rsid w:val="00245715"/>
    <w:rsid w:val="00273A11"/>
    <w:rsid w:val="002B369D"/>
    <w:rsid w:val="002C6690"/>
    <w:rsid w:val="00353A5A"/>
    <w:rsid w:val="00371690"/>
    <w:rsid w:val="00374A2D"/>
    <w:rsid w:val="003829EE"/>
    <w:rsid w:val="003878FF"/>
    <w:rsid w:val="00401A1B"/>
    <w:rsid w:val="004151E4"/>
    <w:rsid w:val="004830D6"/>
    <w:rsid w:val="004B6C42"/>
    <w:rsid w:val="00544932"/>
    <w:rsid w:val="0059671C"/>
    <w:rsid w:val="005C768A"/>
    <w:rsid w:val="00642462"/>
    <w:rsid w:val="00723D54"/>
    <w:rsid w:val="00780561"/>
    <w:rsid w:val="00790C16"/>
    <w:rsid w:val="007C5505"/>
    <w:rsid w:val="00821CEC"/>
    <w:rsid w:val="00894610"/>
    <w:rsid w:val="008E388E"/>
    <w:rsid w:val="00935074"/>
    <w:rsid w:val="0097512F"/>
    <w:rsid w:val="009D5497"/>
    <w:rsid w:val="009F0A4D"/>
    <w:rsid w:val="00A97786"/>
    <w:rsid w:val="00AB6443"/>
    <w:rsid w:val="00AC540E"/>
    <w:rsid w:val="00B015F2"/>
    <w:rsid w:val="00B04B8C"/>
    <w:rsid w:val="00B14F31"/>
    <w:rsid w:val="00B27957"/>
    <w:rsid w:val="00B50453"/>
    <w:rsid w:val="00BB14F8"/>
    <w:rsid w:val="00C3551B"/>
    <w:rsid w:val="00C839DF"/>
    <w:rsid w:val="00D07B1C"/>
    <w:rsid w:val="00D20C47"/>
    <w:rsid w:val="00DB5D77"/>
    <w:rsid w:val="00E023A5"/>
    <w:rsid w:val="00F56F71"/>
    <w:rsid w:val="00F63136"/>
    <w:rsid w:val="00F70869"/>
    <w:rsid w:val="00FA5D69"/>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3A5"/>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23A5"/>
    <w:pPr>
      <w:keepLines/>
      <w:spacing w:before="100" w:beforeAutospacing="1" w:after="100" w:afterAutospacing="1" w:line="240" w:lineRule="auto"/>
      <w:contextualSpacing/>
    </w:pPr>
    <w:rPr>
      <w:rFonts w:ascii="Times New Roman" w:hAnsi="Times New Roman"/>
      <w:sz w:val="24"/>
      <w:lang w:val="en-US"/>
    </w:rPr>
  </w:style>
  <w:style w:type="paragraph" w:customStyle="1" w:styleId="Default">
    <w:name w:val="Default"/>
    <w:rsid w:val="00E023A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023A5"/>
    <w:pPr>
      <w:ind w:left="720"/>
      <w:contextualSpacing/>
    </w:pPr>
  </w:style>
  <w:style w:type="paragraph" w:styleId="Header">
    <w:name w:val="header"/>
    <w:basedOn w:val="Normal"/>
    <w:link w:val="HeaderChar"/>
    <w:uiPriority w:val="99"/>
    <w:unhideWhenUsed/>
    <w:rsid w:val="00821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CEC"/>
  </w:style>
  <w:style w:type="paragraph" w:styleId="Footer">
    <w:name w:val="footer"/>
    <w:basedOn w:val="Normal"/>
    <w:link w:val="FooterChar"/>
    <w:uiPriority w:val="99"/>
    <w:semiHidden/>
    <w:unhideWhenUsed/>
    <w:rsid w:val="00821C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21CEC"/>
  </w:style>
</w:styles>
</file>

<file path=word/webSettings.xml><?xml version="1.0" encoding="utf-8"?>
<w:webSettings xmlns:r="http://schemas.openxmlformats.org/officeDocument/2006/relationships" xmlns:w="http://schemas.openxmlformats.org/wordprocessingml/2006/main">
  <w:divs>
    <w:div w:id="6512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4</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14</cp:revision>
  <dcterms:created xsi:type="dcterms:W3CDTF">2021-06-03T07:23:00Z</dcterms:created>
  <dcterms:modified xsi:type="dcterms:W3CDTF">2021-06-08T12:36:00Z</dcterms:modified>
</cp:coreProperties>
</file>