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277" w:rsidRPr="004708FE" w:rsidRDefault="00EB4277" w:rsidP="00EB4277">
      <w:pPr>
        <w:rPr>
          <w:rFonts w:ascii="Tahoma" w:hAnsi="Tahoma" w:cs="Tahoma"/>
          <w:b/>
          <w:sz w:val="24"/>
          <w:szCs w:val="24"/>
        </w:rPr>
      </w:pPr>
      <w:r w:rsidRPr="004708FE">
        <w:rPr>
          <w:rFonts w:ascii="Tahoma" w:hAnsi="Tahoma" w:cs="Tahoma"/>
          <w:b/>
          <w:sz w:val="24"/>
          <w:szCs w:val="24"/>
        </w:rPr>
        <w:t>IN THE LABOUR COURT OF ZIMBABWE      JUDGMENT NO. LC/H/</w:t>
      </w:r>
      <w:r w:rsidR="00807EA2">
        <w:rPr>
          <w:rFonts w:ascii="Tahoma" w:hAnsi="Tahoma" w:cs="Tahoma"/>
          <w:b/>
          <w:sz w:val="24"/>
          <w:szCs w:val="24"/>
        </w:rPr>
        <w:t>177</w:t>
      </w:r>
      <w:r>
        <w:rPr>
          <w:rFonts w:ascii="Tahoma" w:hAnsi="Tahoma" w:cs="Tahoma"/>
          <w:b/>
          <w:sz w:val="24"/>
          <w:szCs w:val="24"/>
        </w:rPr>
        <w:t>/2020</w:t>
      </w:r>
    </w:p>
    <w:p w:rsidR="00EB4277" w:rsidRDefault="00EB4277" w:rsidP="00EB4277">
      <w:pPr>
        <w:jc w:val="both"/>
        <w:rPr>
          <w:rFonts w:ascii="Tahoma" w:hAnsi="Tahoma" w:cs="Tahoma"/>
          <w:b/>
          <w:sz w:val="24"/>
          <w:szCs w:val="24"/>
        </w:rPr>
      </w:pPr>
      <w:r w:rsidRPr="004708FE">
        <w:rPr>
          <w:rFonts w:ascii="Tahoma" w:hAnsi="Tahoma" w:cs="Tahoma"/>
          <w:b/>
          <w:sz w:val="24"/>
          <w:szCs w:val="24"/>
        </w:rPr>
        <w:t>HARARE,</w:t>
      </w:r>
      <w:r>
        <w:rPr>
          <w:rFonts w:ascii="Tahoma" w:hAnsi="Tahoma" w:cs="Tahoma"/>
          <w:b/>
          <w:sz w:val="24"/>
          <w:szCs w:val="24"/>
        </w:rPr>
        <w:t xml:space="preserve"> 1 JULY 2020</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r w:rsidRPr="004708FE">
        <w:rPr>
          <w:rFonts w:ascii="Tahoma" w:hAnsi="Tahoma" w:cs="Tahoma"/>
          <w:b/>
          <w:sz w:val="24"/>
          <w:szCs w:val="24"/>
        </w:rPr>
        <w:t>CASE NO. LC/H/</w:t>
      </w:r>
      <w:r>
        <w:rPr>
          <w:rFonts w:ascii="Tahoma" w:hAnsi="Tahoma" w:cs="Tahoma"/>
          <w:b/>
          <w:sz w:val="24"/>
          <w:szCs w:val="24"/>
        </w:rPr>
        <w:t>APP/265/19</w:t>
      </w:r>
    </w:p>
    <w:p w:rsidR="00EB4277" w:rsidRPr="004708FE" w:rsidRDefault="00807EA2" w:rsidP="00EB4277">
      <w:pPr>
        <w:jc w:val="both"/>
        <w:rPr>
          <w:rFonts w:ascii="Tahoma" w:hAnsi="Tahoma" w:cs="Tahoma"/>
          <w:b/>
          <w:sz w:val="24"/>
          <w:szCs w:val="24"/>
        </w:rPr>
      </w:pPr>
      <w:r>
        <w:rPr>
          <w:rFonts w:ascii="Tahoma" w:hAnsi="Tahoma" w:cs="Tahoma"/>
          <w:b/>
          <w:sz w:val="24"/>
          <w:szCs w:val="24"/>
        </w:rPr>
        <w:t>AND 31 JULY2020</w:t>
      </w:r>
    </w:p>
    <w:p w:rsidR="00EB4277" w:rsidRDefault="00EB4277" w:rsidP="00EB4277">
      <w:pPr>
        <w:jc w:val="both"/>
        <w:rPr>
          <w:rFonts w:ascii="Tahoma" w:hAnsi="Tahoma" w:cs="Tahoma"/>
          <w:sz w:val="24"/>
          <w:szCs w:val="24"/>
        </w:rPr>
      </w:pPr>
      <w:r w:rsidRPr="004708FE">
        <w:rPr>
          <w:rFonts w:ascii="Tahoma" w:hAnsi="Tahoma" w:cs="Tahoma"/>
          <w:sz w:val="24"/>
          <w:szCs w:val="24"/>
        </w:rPr>
        <w:t>In the matter between:-</w:t>
      </w:r>
    </w:p>
    <w:p w:rsidR="00EB4277" w:rsidRPr="004708FE" w:rsidRDefault="00EB4277" w:rsidP="00EB4277">
      <w:pPr>
        <w:jc w:val="both"/>
        <w:rPr>
          <w:rFonts w:ascii="Tahoma" w:hAnsi="Tahoma" w:cs="Tahoma"/>
          <w:sz w:val="24"/>
          <w:szCs w:val="24"/>
        </w:rPr>
      </w:pPr>
    </w:p>
    <w:p w:rsidR="00EB4277" w:rsidRPr="004708FE" w:rsidRDefault="00EB4277" w:rsidP="00EB4277">
      <w:pPr>
        <w:jc w:val="both"/>
        <w:rPr>
          <w:rFonts w:ascii="Tahoma" w:hAnsi="Tahoma" w:cs="Tahoma"/>
          <w:b/>
          <w:sz w:val="24"/>
          <w:szCs w:val="24"/>
        </w:rPr>
      </w:pPr>
      <w:r>
        <w:rPr>
          <w:rFonts w:ascii="Tahoma" w:hAnsi="Tahoma" w:cs="Tahoma"/>
          <w:b/>
          <w:sz w:val="24"/>
          <w:szCs w:val="24"/>
        </w:rPr>
        <w:t>MUNYARADZI GARA</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Applicant</w:t>
      </w:r>
    </w:p>
    <w:p w:rsidR="00EB4277" w:rsidRPr="004708FE" w:rsidRDefault="00EB4277" w:rsidP="00EB4277">
      <w:pPr>
        <w:tabs>
          <w:tab w:val="left" w:pos="1995"/>
        </w:tabs>
        <w:jc w:val="both"/>
        <w:rPr>
          <w:rFonts w:ascii="Tahoma" w:hAnsi="Tahoma" w:cs="Tahoma"/>
          <w:sz w:val="24"/>
          <w:szCs w:val="24"/>
        </w:rPr>
      </w:pPr>
      <w:r w:rsidRPr="004708FE">
        <w:rPr>
          <w:rFonts w:ascii="Tahoma" w:hAnsi="Tahoma" w:cs="Tahoma"/>
          <w:sz w:val="24"/>
          <w:szCs w:val="24"/>
        </w:rPr>
        <w:t>And</w:t>
      </w:r>
      <w:r w:rsidRPr="004708FE">
        <w:rPr>
          <w:rFonts w:ascii="Tahoma" w:hAnsi="Tahoma" w:cs="Tahoma"/>
          <w:sz w:val="24"/>
          <w:szCs w:val="24"/>
        </w:rPr>
        <w:tab/>
      </w:r>
    </w:p>
    <w:p w:rsidR="00EB4277" w:rsidRDefault="00EB4277" w:rsidP="00EB4277">
      <w:pPr>
        <w:jc w:val="both"/>
        <w:rPr>
          <w:rFonts w:ascii="Tahoma" w:hAnsi="Tahoma" w:cs="Tahoma"/>
          <w:b/>
          <w:sz w:val="24"/>
          <w:szCs w:val="24"/>
        </w:rPr>
      </w:pPr>
      <w:r>
        <w:rPr>
          <w:rFonts w:ascii="Tahoma" w:hAnsi="Tahoma" w:cs="Tahoma"/>
          <w:b/>
          <w:sz w:val="24"/>
          <w:szCs w:val="24"/>
        </w:rPr>
        <w:t>VITAL LOGISTICS</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Pr="004708FE">
        <w:rPr>
          <w:rFonts w:ascii="Tahoma" w:hAnsi="Tahoma" w:cs="Tahoma"/>
          <w:b/>
          <w:sz w:val="24"/>
          <w:szCs w:val="24"/>
        </w:rPr>
        <w:tab/>
      </w:r>
      <w:r w:rsidRPr="004708FE">
        <w:rPr>
          <w:rFonts w:ascii="Tahoma" w:hAnsi="Tahoma" w:cs="Tahoma"/>
          <w:b/>
          <w:sz w:val="24"/>
          <w:szCs w:val="24"/>
        </w:rPr>
        <w:tab/>
      </w:r>
      <w:r>
        <w:rPr>
          <w:rFonts w:ascii="Tahoma" w:hAnsi="Tahoma" w:cs="Tahoma"/>
          <w:b/>
          <w:sz w:val="24"/>
          <w:szCs w:val="24"/>
        </w:rPr>
        <w:tab/>
        <w:t>1</w:t>
      </w:r>
      <w:r w:rsidRPr="00EB4277">
        <w:rPr>
          <w:rFonts w:ascii="Tahoma" w:hAnsi="Tahoma" w:cs="Tahoma"/>
          <w:b/>
          <w:sz w:val="24"/>
          <w:szCs w:val="24"/>
          <w:vertAlign w:val="superscript"/>
        </w:rPr>
        <w:t>st</w:t>
      </w:r>
      <w:r>
        <w:rPr>
          <w:rFonts w:ascii="Tahoma" w:hAnsi="Tahoma" w:cs="Tahoma"/>
          <w:b/>
          <w:sz w:val="24"/>
          <w:szCs w:val="24"/>
        </w:rPr>
        <w:t xml:space="preserve"> </w:t>
      </w:r>
      <w:r w:rsidRPr="004708FE">
        <w:rPr>
          <w:rFonts w:ascii="Tahoma" w:hAnsi="Tahoma" w:cs="Tahoma"/>
          <w:b/>
          <w:sz w:val="24"/>
          <w:szCs w:val="24"/>
        </w:rPr>
        <w:t>Respondent</w:t>
      </w:r>
    </w:p>
    <w:p w:rsidR="00EB4277" w:rsidRPr="00EB4277" w:rsidRDefault="00EB4277" w:rsidP="00EB4277">
      <w:pPr>
        <w:jc w:val="both"/>
        <w:rPr>
          <w:rFonts w:ascii="Tahoma" w:hAnsi="Tahoma" w:cs="Tahoma"/>
          <w:sz w:val="24"/>
          <w:szCs w:val="24"/>
        </w:rPr>
      </w:pPr>
      <w:r w:rsidRPr="00EB4277">
        <w:rPr>
          <w:rFonts w:ascii="Tahoma" w:hAnsi="Tahoma" w:cs="Tahoma"/>
          <w:sz w:val="24"/>
          <w:szCs w:val="24"/>
        </w:rPr>
        <w:t>And</w:t>
      </w:r>
    </w:p>
    <w:p w:rsidR="00EB4277" w:rsidRPr="004708FE" w:rsidRDefault="00EB4277" w:rsidP="00EB4277">
      <w:pPr>
        <w:jc w:val="both"/>
        <w:rPr>
          <w:rFonts w:ascii="Tahoma" w:hAnsi="Tahoma" w:cs="Tahoma"/>
          <w:b/>
          <w:sz w:val="24"/>
          <w:szCs w:val="24"/>
        </w:rPr>
      </w:pPr>
      <w:r>
        <w:rPr>
          <w:rFonts w:ascii="Tahoma" w:hAnsi="Tahoma" w:cs="Tahoma"/>
          <w:b/>
          <w:sz w:val="24"/>
          <w:szCs w:val="24"/>
        </w:rPr>
        <w:t>TOBIT</w:t>
      </w:r>
      <w:r w:rsidR="008F6543">
        <w:rPr>
          <w:rFonts w:ascii="Tahoma" w:hAnsi="Tahoma" w:cs="Tahoma"/>
          <w:b/>
          <w:sz w:val="24"/>
          <w:szCs w:val="24"/>
        </w:rPr>
        <w:t xml:space="preserve"> </w:t>
      </w:r>
      <w:r>
        <w:rPr>
          <w:rFonts w:ascii="Tahoma" w:hAnsi="Tahoma" w:cs="Tahoma"/>
          <w:b/>
          <w:sz w:val="24"/>
          <w:szCs w:val="24"/>
        </w:rPr>
        <w:t>MUPOTA</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2</w:t>
      </w:r>
      <w:r w:rsidRPr="00EB4277">
        <w:rPr>
          <w:rFonts w:ascii="Tahoma" w:hAnsi="Tahoma" w:cs="Tahoma"/>
          <w:b/>
          <w:sz w:val="24"/>
          <w:szCs w:val="24"/>
          <w:vertAlign w:val="superscript"/>
        </w:rPr>
        <w:t>nd</w:t>
      </w:r>
      <w:r>
        <w:rPr>
          <w:rFonts w:ascii="Tahoma" w:hAnsi="Tahoma" w:cs="Tahoma"/>
          <w:b/>
          <w:sz w:val="24"/>
          <w:szCs w:val="24"/>
        </w:rPr>
        <w:t xml:space="preserve"> Respondent</w:t>
      </w:r>
    </w:p>
    <w:p w:rsidR="00EB4277" w:rsidRPr="004708FE" w:rsidRDefault="00EB4277" w:rsidP="00EB4277">
      <w:pPr>
        <w:jc w:val="both"/>
        <w:rPr>
          <w:rFonts w:ascii="Tahoma" w:hAnsi="Tahoma" w:cs="Tahoma"/>
          <w:sz w:val="24"/>
          <w:szCs w:val="24"/>
        </w:rPr>
      </w:pPr>
      <w:r w:rsidRPr="004708FE">
        <w:rPr>
          <w:rFonts w:ascii="Tahoma" w:hAnsi="Tahoma" w:cs="Tahoma"/>
          <w:sz w:val="24"/>
          <w:szCs w:val="24"/>
        </w:rPr>
        <w:t xml:space="preserve">Before Honourable </w:t>
      </w:r>
      <w:r>
        <w:rPr>
          <w:rFonts w:ascii="Tahoma" w:hAnsi="Tahoma" w:cs="Tahoma"/>
          <w:sz w:val="24"/>
          <w:szCs w:val="24"/>
        </w:rPr>
        <w:t>B.T. Chivizhe</w:t>
      </w:r>
      <w:r w:rsidRPr="004708FE">
        <w:rPr>
          <w:rFonts w:ascii="Tahoma" w:hAnsi="Tahoma" w:cs="Tahoma"/>
          <w:sz w:val="24"/>
          <w:szCs w:val="24"/>
        </w:rPr>
        <w:t xml:space="preserve">, Judge                             </w:t>
      </w:r>
    </w:p>
    <w:p w:rsidR="00EB4277" w:rsidRPr="004708FE" w:rsidRDefault="00EB4277" w:rsidP="00EB4277">
      <w:pPr>
        <w:jc w:val="both"/>
        <w:rPr>
          <w:rFonts w:ascii="Tahoma" w:hAnsi="Tahoma" w:cs="Tahoma"/>
          <w:sz w:val="24"/>
          <w:szCs w:val="24"/>
        </w:rPr>
      </w:pPr>
      <w:r w:rsidRPr="004708FE">
        <w:rPr>
          <w:rFonts w:ascii="Tahoma" w:hAnsi="Tahoma" w:cs="Tahoma"/>
          <w:sz w:val="24"/>
          <w:szCs w:val="24"/>
        </w:rPr>
        <w:tab/>
      </w:r>
      <w:r w:rsidRPr="004708FE">
        <w:rPr>
          <w:rFonts w:ascii="Tahoma" w:hAnsi="Tahoma" w:cs="Tahoma"/>
          <w:sz w:val="24"/>
          <w:szCs w:val="24"/>
        </w:rPr>
        <w:tab/>
      </w:r>
      <w:r w:rsidRPr="004708FE">
        <w:rPr>
          <w:rFonts w:ascii="Tahoma" w:hAnsi="Tahoma" w:cs="Tahoma"/>
          <w:sz w:val="24"/>
          <w:szCs w:val="24"/>
        </w:rPr>
        <w:tab/>
      </w:r>
    </w:p>
    <w:p w:rsidR="00EB4277" w:rsidRDefault="00EB4277" w:rsidP="00EB4277">
      <w:pPr>
        <w:pStyle w:val="NoSpacing"/>
        <w:spacing w:line="360" w:lineRule="auto"/>
        <w:rPr>
          <w:rFonts w:ascii="Tahoma" w:hAnsi="Tahoma" w:cs="Tahoma"/>
          <w:b/>
          <w:sz w:val="24"/>
          <w:szCs w:val="24"/>
        </w:rPr>
      </w:pPr>
      <w:r>
        <w:rPr>
          <w:rFonts w:ascii="Tahoma" w:hAnsi="Tahoma" w:cs="Tahoma"/>
          <w:b/>
          <w:sz w:val="24"/>
          <w:szCs w:val="24"/>
        </w:rPr>
        <w:t>Applicant</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t>In default</w:t>
      </w:r>
      <w:r>
        <w:rPr>
          <w:rFonts w:ascii="Tahoma" w:hAnsi="Tahoma" w:cs="Tahoma"/>
          <w:b/>
          <w:sz w:val="24"/>
          <w:szCs w:val="24"/>
        </w:rPr>
        <w:tab/>
      </w:r>
      <w:r>
        <w:rPr>
          <w:rFonts w:ascii="Tahoma" w:hAnsi="Tahoma" w:cs="Tahoma"/>
          <w:b/>
          <w:sz w:val="24"/>
          <w:szCs w:val="24"/>
        </w:rPr>
        <w:tab/>
      </w:r>
      <w:r w:rsidRPr="008C4120">
        <w:rPr>
          <w:rFonts w:ascii="Tahoma" w:hAnsi="Tahoma" w:cs="Tahoma"/>
          <w:b/>
          <w:sz w:val="24"/>
          <w:szCs w:val="24"/>
        </w:rPr>
        <w:tab/>
      </w:r>
      <w:r w:rsidRPr="008C4120">
        <w:rPr>
          <w:rFonts w:ascii="Tahoma" w:hAnsi="Tahoma" w:cs="Tahoma"/>
          <w:b/>
          <w:sz w:val="24"/>
          <w:szCs w:val="24"/>
        </w:rPr>
        <w:tab/>
      </w:r>
    </w:p>
    <w:p w:rsidR="00EB4277" w:rsidRDefault="00EB4277" w:rsidP="00EB4277">
      <w:pPr>
        <w:pStyle w:val="NoSpacing"/>
        <w:spacing w:line="360" w:lineRule="auto"/>
        <w:rPr>
          <w:rFonts w:ascii="Tahoma" w:hAnsi="Tahoma" w:cs="Tahoma"/>
          <w:b/>
          <w:sz w:val="24"/>
          <w:szCs w:val="24"/>
        </w:rPr>
      </w:pPr>
      <w:r w:rsidRPr="008C4120">
        <w:rPr>
          <w:rFonts w:ascii="Tahoma" w:hAnsi="Tahoma" w:cs="Tahoma"/>
          <w:b/>
          <w:sz w:val="24"/>
          <w:szCs w:val="24"/>
        </w:rPr>
        <w:t xml:space="preserve">For </w:t>
      </w:r>
      <w:r>
        <w:rPr>
          <w:rFonts w:ascii="Tahoma" w:hAnsi="Tahoma" w:cs="Tahoma"/>
          <w:b/>
          <w:sz w:val="24"/>
          <w:szCs w:val="24"/>
        </w:rPr>
        <w:t>1</w:t>
      </w:r>
      <w:r w:rsidRPr="00EB4277">
        <w:rPr>
          <w:rFonts w:ascii="Tahoma" w:hAnsi="Tahoma" w:cs="Tahoma"/>
          <w:b/>
          <w:sz w:val="24"/>
          <w:szCs w:val="24"/>
          <w:vertAlign w:val="superscript"/>
        </w:rPr>
        <w:t>st</w:t>
      </w:r>
      <w:r>
        <w:rPr>
          <w:rFonts w:ascii="Tahoma" w:hAnsi="Tahoma" w:cs="Tahoma"/>
          <w:b/>
          <w:sz w:val="24"/>
          <w:szCs w:val="24"/>
        </w:rPr>
        <w:t xml:space="preserve"> </w:t>
      </w:r>
      <w:r w:rsidRPr="008C4120">
        <w:rPr>
          <w:rFonts w:ascii="Tahoma" w:hAnsi="Tahoma" w:cs="Tahoma"/>
          <w:b/>
          <w:sz w:val="24"/>
          <w:szCs w:val="24"/>
        </w:rPr>
        <w:t>Respondent</w:t>
      </w:r>
      <w:r>
        <w:rPr>
          <w:rFonts w:ascii="Tahoma" w:hAnsi="Tahoma" w:cs="Tahoma"/>
          <w:b/>
          <w:sz w:val="24"/>
          <w:szCs w:val="24"/>
        </w:rPr>
        <w:tab/>
        <w:t>Ms S.Mapanje (Legal Practitioner)</w:t>
      </w:r>
    </w:p>
    <w:p w:rsidR="00EB4277" w:rsidRPr="008C4120" w:rsidRDefault="00EB4277" w:rsidP="00EB4277">
      <w:pPr>
        <w:pStyle w:val="NoSpacing"/>
        <w:spacing w:line="360" w:lineRule="auto"/>
        <w:rPr>
          <w:rFonts w:ascii="Tahoma" w:hAnsi="Tahoma" w:cs="Tahoma"/>
          <w:b/>
          <w:sz w:val="24"/>
          <w:szCs w:val="24"/>
        </w:rPr>
      </w:pPr>
      <w:r>
        <w:rPr>
          <w:rFonts w:ascii="Tahoma" w:hAnsi="Tahoma" w:cs="Tahoma"/>
          <w:b/>
          <w:sz w:val="24"/>
          <w:szCs w:val="24"/>
        </w:rPr>
        <w:t>For 2</w:t>
      </w:r>
      <w:r w:rsidRPr="00EB4277">
        <w:rPr>
          <w:rFonts w:ascii="Tahoma" w:hAnsi="Tahoma" w:cs="Tahoma"/>
          <w:b/>
          <w:sz w:val="24"/>
          <w:szCs w:val="24"/>
          <w:vertAlign w:val="superscript"/>
        </w:rPr>
        <w:t>nd</w:t>
      </w:r>
      <w:r>
        <w:rPr>
          <w:rFonts w:ascii="Tahoma" w:hAnsi="Tahoma" w:cs="Tahoma"/>
          <w:b/>
          <w:sz w:val="24"/>
          <w:szCs w:val="24"/>
        </w:rPr>
        <w:t xml:space="preserve"> Respondent</w:t>
      </w:r>
      <w:r>
        <w:rPr>
          <w:rFonts w:ascii="Tahoma" w:hAnsi="Tahoma" w:cs="Tahoma"/>
          <w:b/>
          <w:sz w:val="24"/>
          <w:szCs w:val="24"/>
        </w:rPr>
        <w:tab/>
        <w:t>Mr T.T. Mafongoya (Legal Practitioner)</w:t>
      </w:r>
      <w:r>
        <w:rPr>
          <w:rFonts w:ascii="Tahoma" w:hAnsi="Tahoma" w:cs="Tahoma"/>
          <w:b/>
          <w:sz w:val="24"/>
          <w:szCs w:val="24"/>
        </w:rPr>
        <w:tab/>
      </w:r>
      <w:r w:rsidRPr="008C4120">
        <w:rPr>
          <w:rFonts w:ascii="Tahoma" w:hAnsi="Tahoma" w:cs="Tahoma"/>
          <w:b/>
          <w:sz w:val="24"/>
          <w:szCs w:val="24"/>
        </w:rPr>
        <w:tab/>
      </w:r>
    </w:p>
    <w:p w:rsidR="00EB4277" w:rsidRPr="004708FE" w:rsidRDefault="00EB4277" w:rsidP="00EB4277">
      <w:pPr>
        <w:jc w:val="both"/>
        <w:rPr>
          <w:rFonts w:ascii="Tahoma" w:hAnsi="Tahoma" w:cs="Tahoma"/>
          <w:b/>
          <w:sz w:val="24"/>
          <w:szCs w:val="24"/>
        </w:rPr>
      </w:pPr>
    </w:p>
    <w:p w:rsidR="00EB4277" w:rsidRDefault="00EB4277" w:rsidP="00EB4277">
      <w:pPr>
        <w:spacing w:line="360" w:lineRule="auto"/>
        <w:jc w:val="both"/>
        <w:rPr>
          <w:rFonts w:ascii="Tahoma" w:hAnsi="Tahoma" w:cs="Tahoma"/>
          <w:b/>
          <w:sz w:val="24"/>
          <w:szCs w:val="24"/>
        </w:rPr>
      </w:pPr>
      <w:r>
        <w:rPr>
          <w:rFonts w:ascii="Tahoma" w:hAnsi="Tahoma" w:cs="Tahoma"/>
          <w:b/>
          <w:sz w:val="24"/>
          <w:szCs w:val="24"/>
        </w:rPr>
        <w:t>CHIVIZHE</w:t>
      </w:r>
      <w:r w:rsidRPr="004708FE">
        <w:rPr>
          <w:rFonts w:ascii="Tahoma" w:hAnsi="Tahoma" w:cs="Tahoma"/>
          <w:b/>
          <w:sz w:val="24"/>
          <w:szCs w:val="24"/>
        </w:rPr>
        <w:t>, J:</w:t>
      </w:r>
    </w:p>
    <w:p w:rsidR="0049071E" w:rsidRPr="00EB4277" w:rsidRDefault="0049071E" w:rsidP="0049071E">
      <w:pPr>
        <w:spacing w:line="360" w:lineRule="auto"/>
        <w:ind w:firstLine="720"/>
        <w:jc w:val="both"/>
        <w:rPr>
          <w:rFonts w:ascii="Tahoma" w:hAnsi="Tahoma" w:cs="Tahoma"/>
          <w:sz w:val="24"/>
          <w:szCs w:val="24"/>
        </w:rPr>
      </w:pPr>
      <w:r w:rsidRPr="00EB4277">
        <w:rPr>
          <w:rFonts w:ascii="Tahoma" w:hAnsi="Tahoma" w:cs="Tahoma"/>
          <w:sz w:val="24"/>
          <w:szCs w:val="24"/>
        </w:rPr>
        <w:t>This is a ruling on preliminary points taken before me by the 1</w:t>
      </w:r>
      <w:r w:rsidRPr="00EB4277">
        <w:rPr>
          <w:rFonts w:ascii="Tahoma" w:hAnsi="Tahoma" w:cs="Tahoma"/>
          <w:sz w:val="24"/>
          <w:szCs w:val="24"/>
          <w:vertAlign w:val="superscript"/>
        </w:rPr>
        <w:t>st</w:t>
      </w:r>
      <w:r w:rsidRPr="00EB4277">
        <w:rPr>
          <w:rFonts w:ascii="Tahoma" w:hAnsi="Tahoma" w:cs="Tahoma"/>
          <w:sz w:val="24"/>
          <w:szCs w:val="24"/>
        </w:rPr>
        <w:t xml:space="preserve"> Respondent which points were opposed by the 2</w:t>
      </w:r>
      <w:r w:rsidRPr="00EB4277">
        <w:rPr>
          <w:rFonts w:ascii="Tahoma" w:hAnsi="Tahoma" w:cs="Tahoma"/>
          <w:sz w:val="24"/>
          <w:szCs w:val="24"/>
          <w:vertAlign w:val="superscript"/>
        </w:rPr>
        <w:t>nd</w:t>
      </w:r>
      <w:r w:rsidRPr="00EB4277">
        <w:rPr>
          <w:rFonts w:ascii="Tahoma" w:hAnsi="Tahoma" w:cs="Tahoma"/>
          <w:sz w:val="24"/>
          <w:szCs w:val="24"/>
        </w:rPr>
        <w:t xml:space="preserve"> Respondent. It is however necessary to set out initially the background to the matter.</w:t>
      </w:r>
    </w:p>
    <w:p w:rsidR="0049071E" w:rsidRPr="00EB4277" w:rsidRDefault="0049071E" w:rsidP="0049071E">
      <w:pPr>
        <w:spacing w:line="360" w:lineRule="auto"/>
        <w:ind w:firstLine="720"/>
        <w:jc w:val="both"/>
        <w:rPr>
          <w:rFonts w:ascii="Tahoma" w:hAnsi="Tahoma" w:cs="Tahoma"/>
          <w:b/>
          <w:sz w:val="24"/>
          <w:szCs w:val="24"/>
        </w:rPr>
      </w:pPr>
      <w:r w:rsidRPr="00EB4277">
        <w:rPr>
          <w:rFonts w:ascii="Tahoma" w:hAnsi="Tahoma" w:cs="Tahoma"/>
          <w:b/>
          <w:sz w:val="24"/>
          <w:szCs w:val="24"/>
        </w:rPr>
        <w:t>FACTUAL BACKGROUND</w:t>
      </w:r>
    </w:p>
    <w:p w:rsidR="0049071E" w:rsidRDefault="0049071E" w:rsidP="0049071E">
      <w:pPr>
        <w:spacing w:line="360" w:lineRule="auto"/>
        <w:ind w:firstLine="720"/>
        <w:jc w:val="both"/>
        <w:rPr>
          <w:rFonts w:ascii="Tahoma" w:hAnsi="Tahoma" w:cs="Tahoma"/>
          <w:sz w:val="24"/>
          <w:szCs w:val="24"/>
        </w:rPr>
      </w:pPr>
      <w:r w:rsidRPr="007B4569">
        <w:rPr>
          <w:rFonts w:ascii="Tahoma" w:hAnsi="Tahoma" w:cs="Tahoma"/>
          <w:sz w:val="24"/>
          <w:szCs w:val="24"/>
        </w:rPr>
        <w:t>The 2</w:t>
      </w:r>
      <w:r w:rsidRPr="007B4569">
        <w:rPr>
          <w:rFonts w:ascii="Tahoma" w:hAnsi="Tahoma" w:cs="Tahoma"/>
          <w:sz w:val="24"/>
          <w:szCs w:val="24"/>
          <w:vertAlign w:val="superscript"/>
        </w:rPr>
        <w:t>nd</w:t>
      </w:r>
      <w:r w:rsidRPr="007B4569">
        <w:rPr>
          <w:rFonts w:ascii="Tahoma" w:hAnsi="Tahoma" w:cs="Tahoma"/>
          <w:sz w:val="24"/>
          <w:szCs w:val="24"/>
        </w:rPr>
        <w:t xml:space="preserve"> Respondent was employed by the 1</w:t>
      </w:r>
      <w:r w:rsidRPr="007B4569">
        <w:rPr>
          <w:rFonts w:ascii="Tahoma" w:hAnsi="Tahoma" w:cs="Tahoma"/>
          <w:sz w:val="24"/>
          <w:szCs w:val="24"/>
          <w:vertAlign w:val="superscript"/>
        </w:rPr>
        <w:t>st</w:t>
      </w:r>
      <w:r w:rsidRPr="007B4569">
        <w:rPr>
          <w:rFonts w:ascii="Tahoma" w:hAnsi="Tahoma" w:cs="Tahoma"/>
          <w:sz w:val="24"/>
          <w:szCs w:val="24"/>
        </w:rPr>
        <w:t xml:space="preserve"> Respondent as a driver. He was engaged on the basis of fixed term contract which later was converted to an open ended contract. His employment was terminated at the end of 2017. He thereafter, on the basis of </w:t>
      </w:r>
      <w:r w:rsidRPr="007B4569">
        <w:rPr>
          <w:rFonts w:ascii="Tahoma" w:hAnsi="Tahoma" w:cs="Tahoma"/>
          <w:b/>
          <w:sz w:val="24"/>
          <w:szCs w:val="24"/>
        </w:rPr>
        <w:t xml:space="preserve">Section 63 (3a) </w:t>
      </w:r>
      <w:r w:rsidRPr="007B4569">
        <w:rPr>
          <w:rFonts w:ascii="Tahoma" w:hAnsi="Tahoma" w:cs="Tahoma"/>
          <w:sz w:val="24"/>
          <w:szCs w:val="24"/>
        </w:rPr>
        <w:t>of the</w:t>
      </w:r>
      <w:r w:rsidRPr="007B4569">
        <w:rPr>
          <w:rFonts w:ascii="Tahoma" w:hAnsi="Tahoma" w:cs="Tahoma"/>
          <w:b/>
          <w:sz w:val="24"/>
          <w:szCs w:val="24"/>
        </w:rPr>
        <w:t xml:space="preserve"> Labour Act [Cap 28:01]</w:t>
      </w:r>
      <w:r w:rsidRPr="007B4569">
        <w:rPr>
          <w:rFonts w:ascii="Tahoma" w:hAnsi="Tahoma" w:cs="Tahoma"/>
          <w:sz w:val="24"/>
          <w:szCs w:val="24"/>
        </w:rPr>
        <w:t xml:space="preserve"> referred a claim of unfair dismissal, non-payment of overtime, notice-pay, allowances, gratuity backpay, and compensation for loss of employment to the Designated Agent(Applicant in this case). Upon consideration of the evidence and the </w:t>
      </w:r>
      <w:r w:rsidRPr="007B4569">
        <w:rPr>
          <w:rFonts w:ascii="Tahoma" w:hAnsi="Tahoma" w:cs="Tahoma"/>
          <w:sz w:val="24"/>
          <w:szCs w:val="24"/>
        </w:rPr>
        <w:lastRenderedPageBreak/>
        <w:t>submissions of the parties the Applicant handed down a ruling in which he directed 1</w:t>
      </w:r>
      <w:r w:rsidRPr="007B4569">
        <w:rPr>
          <w:rFonts w:ascii="Tahoma" w:hAnsi="Tahoma" w:cs="Tahoma"/>
          <w:sz w:val="24"/>
          <w:szCs w:val="24"/>
          <w:vertAlign w:val="superscript"/>
        </w:rPr>
        <w:t>st</w:t>
      </w:r>
      <w:r w:rsidRPr="007B4569">
        <w:rPr>
          <w:rFonts w:ascii="Tahoma" w:hAnsi="Tahoma" w:cs="Tahoma"/>
          <w:sz w:val="24"/>
          <w:szCs w:val="24"/>
        </w:rPr>
        <w:t xml:space="preserve"> Respondent to pay 2</w:t>
      </w:r>
      <w:r w:rsidRPr="007B4569">
        <w:rPr>
          <w:rFonts w:ascii="Tahoma" w:hAnsi="Tahoma" w:cs="Tahoma"/>
          <w:sz w:val="24"/>
          <w:szCs w:val="24"/>
          <w:vertAlign w:val="superscript"/>
        </w:rPr>
        <w:t>nd</w:t>
      </w:r>
      <w:r w:rsidRPr="007B4569">
        <w:rPr>
          <w:rFonts w:ascii="Tahoma" w:hAnsi="Tahoma" w:cs="Tahoma"/>
          <w:sz w:val="24"/>
          <w:szCs w:val="24"/>
        </w:rPr>
        <w:t xml:space="preserve"> Respondent USD2189 in notice pay, gratuity and compensation for loss of employment. The 1</w:t>
      </w:r>
      <w:r w:rsidRPr="007B4569">
        <w:rPr>
          <w:rFonts w:ascii="Tahoma" w:hAnsi="Tahoma" w:cs="Tahoma"/>
          <w:sz w:val="24"/>
          <w:szCs w:val="24"/>
          <w:vertAlign w:val="superscript"/>
        </w:rPr>
        <w:t>st</w:t>
      </w:r>
      <w:r w:rsidRPr="007B4569">
        <w:rPr>
          <w:rFonts w:ascii="Tahoma" w:hAnsi="Tahoma" w:cs="Tahoma"/>
          <w:sz w:val="24"/>
          <w:szCs w:val="24"/>
        </w:rPr>
        <w:t xml:space="preserve"> Respondent was directed to pay the amount by the 31</w:t>
      </w:r>
      <w:r w:rsidRPr="007B4569">
        <w:rPr>
          <w:rFonts w:ascii="Tahoma" w:hAnsi="Tahoma" w:cs="Tahoma"/>
          <w:sz w:val="24"/>
          <w:szCs w:val="24"/>
          <w:vertAlign w:val="superscript"/>
        </w:rPr>
        <w:t>st</w:t>
      </w:r>
      <w:r w:rsidRPr="007B4569">
        <w:rPr>
          <w:rFonts w:ascii="Tahoma" w:hAnsi="Tahoma" w:cs="Tahoma"/>
          <w:sz w:val="24"/>
          <w:szCs w:val="24"/>
        </w:rPr>
        <w:t xml:space="preserve"> January, 2019. The 1</w:t>
      </w:r>
      <w:r w:rsidRPr="007B4569">
        <w:rPr>
          <w:rFonts w:ascii="Tahoma" w:hAnsi="Tahoma" w:cs="Tahoma"/>
          <w:sz w:val="24"/>
          <w:szCs w:val="24"/>
          <w:vertAlign w:val="superscript"/>
        </w:rPr>
        <w:t>st</w:t>
      </w:r>
      <w:r w:rsidRPr="007B4569">
        <w:rPr>
          <w:rFonts w:ascii="Tahoma" w:hAnsi="Tahoma" w:cs="Tahoma"/>
          <w:sz w:val="24"/>
          <w:szCs w:val="24"/>
        </w:rPr>
        <w:t xml:space="preserve"> Respondent having failed by the stipulated date to pay the </w:t>
      </w:r>
      <w:r>
        <w:rPr>
          <w:rFonts w:ascii="Tahoma" w:hAnsi="Tahoma" w:cs="Tahoma"/>
          <w:sz w:val="24"/>
          <w:szCs w:val="24"/>
        </w:rPr>
        <w:t>2</w:t>
      </w:r>
      <w:r w:rsidRPr="001C5EAD">
        <w:rPr>
          <w:rFonts w:ascii="Tahoma" w:hAnsi="Tahoma" w:cs="Tahoma"/>
          <w:sz w:val="24"/>
          <w:szCs w:val="24"/>
          <w:vertAlign w:val="superscript"/>
        </w:rPr>
        <w:t>nd</w:t>
      </w:r>
      <w:r>
        <w:rPr>
          <w:rFonts w:ascii="Tahoma" w:hAnsi="Tahoma" w:cs="Tahoma"/>
          <w:sz w:val="24"/>
          <w:szCs w:val="24"/>
        </w:rPr>
        <w:t xml:space="preserve"> Respondent by the stipulated date the Applicant,</w:t>
      </w:r>
      <w:r w:rsidRPr="007B4569">
        <w:rPr>
          <w:rFonts w:ascii="Tahoma" w:hAnsi="Tahoma" w:cs="Tahoma"/>
          <w:sz w:val="24"/>
          <w:szCs w:val="24"/>
        </w:rPr>
        <w:t xml:space="preserve"> on the basis of </w:t>
      </w:r>
      <w:r w:rsidRPr="007B4569">
        <w:rPr>
          <w:rFonts w:ascii="Tahoma" w:hAnsi="Tahoma" w:cs="Tahoma"/>
          <w:b/>
          <w:sz w:val="24"/>
          <w:szCs w:val="24"/>
        </w:rPr>
        <w:t>Section 93(5)(c)</w:t>
      </w:r>
      <w:r w:rsidRPr="007B4569">
        <w:rPr>
          <w:rFonts w:ascii="Tahoma" w:hAnsi="Tahoma" w:cs="Tahoma"/>
          <w:sz w:val="24"/>
          <w:szCs w:val="24"/>
        </w:rPr>
        <w:t xml:space="preserve"> of the </w:t>
      </w:r>
      <w:r w:rsidRPr="007B4569">
        <w:rPr>
          <w:rFonts w:ascii="Tahoma" w:hAnsi="Tahoma" w:cs="Tahoma"/>
          <w:b/>
          <w:sz w:val="24"/>
          <w:szCs w:val="24"/>
        </w:rPr>
        <w:t xml:space="preserve">Labour Act [Cap 28:01] </w:t>
      </w:r>
      <w:r w:rsidRPr="007B4569">
        <w:rPr>
          <w:rFonts w:ascii="Tahoma" w:hAnsi="Tahoma" w:cs="Tahoma"/>
          <w:sz w:val="24"/>
          <w:szCs w:val="24"/>
        </w:rPr>
        <w:t xml:space="preserve">as amended by </w:t>
      </w:r>
      <w:r w:rsidRPr="007B4569">
        <w:rPr>
          <w:rFonts w:ascii="Tahoma" w:hAnsi="Tahoma" w:cs="Tahoma"/>
          <w:b/>
          <w:sz w:val="24"/>
          <w:szCs w:val="24"/>
        </w:rPr>
        <w:t>Labour Amendment Act No 5 of 2015</w:t>
      </w:r>
      <w:r w:rsidRPr="007B4569">
        <w:rPr>
          <w:rFonts w:ascii="Tahoma" w:hAnsi="Tahoma" w:cs="Tahoma"/>
          <w:sz w:val="24"/>
          <w:szCs w:val="24"/>
        </w:rPr>
        <w:t>, filed an application for confirmation of his draft ruling with this court. The application was served on the 1</w:t>
      </w:r>
      <w:r w:rsidRPr="007B4569">
        <w:rPr>
          <w:rFonts w:ascii="Tahoma" w:hAnsi="Tahoma" w:cs="Tahoma"/>
          <w:sz w:val="24"/>
          <w:szCs w:val="24"/>
          <w:vertAlign w:val="superscript"/>
        </w:rPr>
        <w:t>st</w:t>
      </w:r>
      <w:r w:rsidRPr="007B4569">
        <w:rPr>
          <w:rFonts w:ascii="Tahoma" w:hAnsi="Tahoma" w:cs="Tahoma"/>
          <w:sz w:val="24"/>
          <w:szCs w:val="24"/>
        </w:rPr>
        <w:t xml:space="preserve"> and 2</w:t>
      </w:r>
      <w:r w:rsidRPr="007B4569">
        <w:rPr>
          <w:rFonts w:ascii="Tahoma" w:hAnsi="Tahoma" w:cs="Tahoma"/>
          <w:sz w:val="24"/>
          <w:szCs w:val="24"/>
          <w:vertAlign w:val="superscript"/>
        </w:rPr>
        <w:t>nd</w:t>
      </w:r>
      <w:r w:rsidRPr="007B4569">
        <w:rPr>
          <w:rFonts w:ascii="Tahoma" w:hAnsi="Tahoma" w:cs="Tahoma"/>
          <w:sz w:val="24"/>
          <w:szCs w:val="24"/>
        </w:rPr>
        <w:t xml:space="preserve"> Respondent. As the application was being filed out of time there was an accompanying application for condonation.</w:t>
      </w:r>
    </w:p>
    <w:p w:rsidR="0049071E" w:rsidRPr="007B4569" w:rsidRDefault="0049071E" w:rsidP="0049071E">
      <w:pPr>
        <w:spacing w:line="360" w:lineRule="auto"/>
        <w:ind w:firstLine="720"/>
        <w:jc w:val="both"/>
        <w:rPr>
          <w:rFonts w:ascii="Tahoma" w:hAnsi="Tahoma" w:cs="Tahoma"/>
          <w:sz w:val="24"/>
          <w:szCs w:val="24"/>
        </w:rPr>
      </w:pPr>
      <w:r w:rsidRPr="007B4569">
        <w:rPr>
          <w:rFonts w:ascii="Tahoma" w:hAnsi="Tahoma" w:cs="Tahoma"/>
          <w:sz w:val="24"/>
          <w:szCs w:val="24"/>
        </w:rPr>
        <w:t>The matter was set down for hearing on the 5</w:t>
      </w:r>
      <w:r w:rsidRPr="007B4569">
        <w:rPr>
          <w:rFonts w:ascii="Tahoma" w:hAnsi="Tahoma" w:cs="Tahoma"/>
          <w:sz w:val="24"/>
          <w:szCs w:val="24"/>
          <w:vertAlign w:val="superscript"/>
        </w:rPr>
        <w:t>th</w:t>
      </w:r>
      <w:r w:rsidRPr="007B4569">
        <w:rPr>
          <w:rFonts w:ascii="Tahoma" w:hAnsi="Tahoma" w:cs="Tahoma"/>
          <w:sz w:val="24"/>
          <w:szCs w:val="24"/>
        </w:rPr>
        <w:t xml:space="preserve"> of March, 2020. On that date appeared, the Applicant in person, Ms F. Takaendesa Human Resources Director for 1</w:t>
      </w:r>
      <w:r w:rsidRPr="007B4569">
        <w:rPr>
          <w:rFonts w:ascii="Tahoma" w:hAnsi="Tahoma" w:cs="Tahoma"/>
          <w:sz w:val="24"/>
          <w:szCs w:val="24"/>
          <w:vertAlign w:val="superscript"/>
        </w:rPr>
        <w:t>st</w:t>
      </w:r>
      <w:r w:rsidRPr="007B4569">
        <w:rPr>
          <w:rFonts w:ascii="Tahoma" w:hAnsi="Tahoma" w:cs="Tahoma"/>
          <w:sz w:val="24"/>
          <w:szCs w:val="24"/>
        </w:rPr>
        <w:t xml:space="preserve"> Respondent and Mr T. J. Mafongoya Legal Practitioner for 2</w:t>
      </w:r>
      <w:r w:rsidRPr="007B4569">
        <w:rPr>
          <w:rFonts w:ascii="Tahoma" w:hAnsi="Tahoma" w:cs="Tahoma"/>
          <w:sz w:val="24"/>
          <w:szCs w:val="24"/>
          <w:vertAlign w:val="superscript"/>
        </w:rPr>
        <w:t>nd</w:t>
      </w:r>
      <w:r w:rsidRPr="007B4569">
        <w:rPr>
          <w:rFonts w:ascii="Tahoma" w:hAnsi="Tahoma" w:cs="Tahoma"/>
          <w:sz w:val="24"/>
          <w:szCs w:val="24"/>
        </w:rPr>
        <w:t xml:space="preserve"> Respondent. The 1</w:t>
      </w:r>
      <w:r w:rsidRPr="007B4569">
        <w:rPr>
          <w:rFonts w:ascii="Tahoma" w:hAnsi="Tahoma" w:cs="Tahoma"/>
          <w:sz w:val="24"/>
          <w:szCs w:val="24"/>
          <w:vertAlign w:val="superscript"/>
        </w:rPr>
        <w:t>st</w:t>
      </w:r>
      <w:r w:rsidRPr="007B4569">
        <w:rPr>
          <w:rFonts w:ascii="Tahoma" w:hAnsi="Tahoma" w:cs="Tahoma"/>
          <w:sz w:val="24"/>
          <w:szCs w:val="24"/>
        </w:rPr>
        <w:t xml:space="preserve"> and 2</w:t>
      </w:r>
      <w:r w:rsidRPr="007B4569">
        <w:rPr>
          <w:rFonts w:ascii="Tahoma" w:hAnsi="Tahoma" w:cs="Tahoma"/>
          <w:sz w:val="24"/>
          <w:szCs w:val="24"/>
          <w:vertAlign w:val="superscript"/>
        </w:rPr>
        <w:t>nd</w:t>
      </w:r>
      <w:r w:rsidRPr="007B4569">
        <w:rPr>
          <w:rFonts w:ascii="Tahoma" w:hAnsi="Tahoma" w:cs="Tahoma"/>
          <w:sz w:val="24"/>
          <w:szCs w:val="24"/>
        </w:rPr>
        <w:t xml:space="preserve"> Respondent representatives having both indicated that they were not opposed to the granting of cond</w:t>
      </w:r>
      <w:r>
        <w:rPr>
          <w:rFonts w:ascii="Tahoma" w:hAnsi="Tahoma" w:cs="Tahoma"/>
          <w:sz w:val="24"/>
          <w:szCs w:val="24"/>
        </w:rPr>
        <w:t>onation the court duly extend</w:t>
      </w:r>
      <w:r w:rsidRPr="007B4569">
        <w:rPr>
          <w:rFonts w:ascii="Tahoma" w:hAnsi="Tahoma" w:cs="Tahoma"/>
          <w:sz w:val="24"/>
          <w:szCs w:val="24"/>
        </w:rPr>
        <w:t>ed condonation to the Applicant for late filing of the application for confirmation. The parties were thereafter allowed to present arguments. The Applicant made his submissions. The 1</w:t>
      </w:r>
      <w:r w:rsidRPr="007B4569">
        <w:rPr>
          <w:rFonts w:ascii="Tahoma" w:hAnsi="Tahoma" w:cs="Tahoma"/>
          <w:sz w:val="24"/>
          <w:szCs w:val="24"/>
          <w:vertAlign w:val="superscript"/>
        </w:rPr>
        <w:t>st</w:t>
      </w:r>
      <w:r w:rsidRPr="007B4569">
        <w:rPr>
          <w:rFonts w:ascii="Tahoma" w:hAnsi="Tahoma" w:cs="Tahoma"/>
          <w:sz w:val="24"/>
          <w:szCs w:val="24"/>
        </w:rPr>
        <w:t xml:space="preserve"> Respondent, as represented by Ms Takaendesa</w:t>
      </w:r>
      <w:r>
        <w:rPr>
          <w:rFonts w:ascii="Tahoma" w:hAnsi="Tahoma" w:cs="Tahoma"/>
          <w:sz w:val="24"/>
          <w:szCs w:val="24"/>
        </w:rPr>
        <w:t>,</w:t>
      </w:r>
      <w:r w:rsidRPr="007B4569">
        <w:rPr>
          <w:rFonts w:ascii="Tahoma" w:hAnsi="Tahoma" w:cs="Tahoma"/>
          <w:sz w:val="24"/>
          <w:szCs w:val="24"/>
        </w:rPr>
        <w:t xml:space="preserve"> submitted that it was opposed to the confirmation of the ruling. The reason was that 2</w:t>
      </w:r>
      <w:r w:rsidRPr="007B4569">
        <w:rPr>
          <w:rFonts w:ascii="Tahoma" w:hAnsi="Tahoma" w:cs="Tahoma"/>
          <w:sz w:val="24"/>
          <w:szCs w:val="24"/>
          <w:vertAlign w:val="superscript"/>
        </w:rPr>
        <w:t>nd</w:t>
      </w:r>
      <w:r w:rsidRPr="007B4569">
        <w:rPr>
          <w:rFonts w:ascii="Tahoma" w:hAnsi="Tahoma" w:cs="Tahoma"/>
          <w:sz w:val="24"/>
          <w:szCs w:val="24"/>
        </w:rPr>
        <w:t xml:space="preserve"> Respondent had been employed by a different company i.e. Spar Distribution Centre from 2010 to 2015 so it was 1</w:t>
      </w:r>
      <w:r w:rsidRPr="007B4569">
        <w:rPr>
          <w:rFonts w:ascii="Tahoma" w:hAnsi="Tahoma" w:cs="Tahoma"/>
          <w:sz w:val="24"/>
          <w:szCs w:val="24"/>
          <w:vertAlign w:val="superscript"/>
        </w:rPr>
        <w:t>st</w:t>
      </w:r>
      <w:r w:rsidRPr="007B4569">
        <w:rPr>
          <w:rFonts w:ascii="Tahoma" w:hAnsi="Tahoma" w:cs="Tahoma"/>
          <w:sz w:val="24"/>
          <w:szCs w:val="24"/>
        </w:rPr>
        <w:t xml:space="preserve"> Respondent position that it was not liable for payment of gratuity. The second ground of objection was that 2</w:t>
      </w:r>
      <w:r w:rsidRPr="007B4569">
        <w:rPr>
          <w:rFonts w:ascii="Tahoma" w:hAnsi="Tahoma" w:cs="Tahoma"/>
          <w:sz w:val="24"/>
          <w:szCs w:val="24"/>
          <w:vertAlign w:val="superscript"/>
        </w:rPr>
        <w:t>nd</w:t>
      </w:r>
      <w:r w:rsidRPr="007B4569">
        <w:rPr>
          <w:rFonts w:ascii="Tahoma" w:hAnsi="Tahoma" w:cs="Tahoma"/>
          <w:sz w:val="24"/>
          <w:szCs w:val="24"/>
        </w:rPr>
        <w:t xml:space="preserve"> Respondent had only been engaged </w:t>
      </w:r>
      <w:r>
        <w:rPr>
          <w:rFonts w:ascii="Tahoma" w:hAnsi="Tahoma" w:cs="Tahoma"/>
          <w:sz w:val="24"/>
          <w:szCs w:val="24"/>
        </w:rPr>
        <w:t>by 1</w:t>
      </w:r>
      <w:r w:rsidRPr="001C5EAD">
        <w:rPr>
          <w:rFonts w:ascii="Tahoma" w:hAnsi="Tahoma" w:cs="Tahoma"/>
          <w:sz w:val="24"/>
          <w:szCs w:val="24"/>
          <w:vertAlign w:val="superscript"/>
        </w:rPr>
        <w:t>st</w:t>
      </w:r>
      <w:r>
        <w:rPr>
          <w:rFonts w:ascii="Tahoma" w:hAnsi="Tahoma" w:cs="Tahoma"/>
          <w:sz w:val="24"/>
          <w:szCs w:val="24"/>
        </w:rPr>
        <w:t xml:space="preserve"> Respondent </w:t>
      </w:r>
      <w:r w:rsidRPr="007B4569">
        <w:rPr>
          <w:rFonts w:ascii="Tahoma" w:hAnsi="Tahoma" w:cs="Tahoma"/>
          <w:sz w:val="24"/>
          <w:szCs w:val="24"/>
        </w:rPr>
        <w:t>on the basis of fixed term contracts the last of which ran from 1</w:t>
      </w:r>
      <w:r w:rsidRPr="007B4569">
        <w:rPr>
          <w:rFonts w:ascii="Tahoma" w:hAnsi="Tahoma" w:cs="Tahoma"/>
          <w:sz w:val="24"/>
          <w:szCs w:val="24"/>
          <w:vertAlign w:val="superscript"/>
        </w:rPr>
        <w:t>st</w:t>
      </w:r>
      <w:r w:rsidRPr="007B4569">
        <w:rPr>
          <w:rFonts w:ascii="Tahoma" w:hAnsi="Tahoma" w:cs="Tahoma"/>
          <w:sz w:val="24"/>
          <w:szCs w:val="24"/>
        </w:rPr>
        <w:t xml:space="preserve"> may, 2016 to 31</w:t>
      </w:r>
      <w:r w:rsidRPr="007B4569">
        <w:rPr>
          <w:rFonts w:ascii="Tahoma" w:hAnsi="Tahoma" w:cs="Tahoma"/>
          <w:sz w:val="24"/>
          <w:szCs w:val="24"/>
          <w:vertAlign w:val="superscript"/>
        </w:rPr>
        <w:t>st</w:t>
      </w:r>
      <w:r w:rsidRPr="007B4569">
        <w:rPr>
          <w:rFonts w:ascii="Tahoma" w:hAnsi="Tahoma" w:cs="Tahoma"/>
          <w:sz w:val="24"/>
          <w:szCs w:val="24"/>
        </w:rPr>
        <w:t xml:space="preserve"> July, 2016. It was Ms Takaendesa submission a copy of that contract had been placed before Applicant.</w:t>
      </w:r>
    </w:p>
    <w:p w:rsidR="0049071E" w:rsidRPr="007B4569" w:rsidRDefault="0049071E" w:rsidP="0049071E">
      <w:pPr>
        <w:spacing w:line="360" w:lineRule="auto"/>
        <w:ind w:firstLine="720"/>
        <w:jc w:val="both"/>
        <w:rPr>
          <w:rFonts w:ascii="Tahoma" w:hAnsi="Tahoma" w:cs="Tahoma"/>
          <w:sz w:val="24"/>
          <w:szCs w:val="24"/>
        </w:rPr>
      </w:pPr>
      <w:r w:rsidRPr="007B4569">
        <w:rPr>
          <w:rFonts w:ascii="Tahoma" w:hAnsi="Tahoma" w:cs="Tahoma"/>
          <w:sz w:val="24"/>
          <w:szCs w:val="24"/>
        </w:rPr>
        <w:t>Mr Mafongoya, for 2</w:t>
      </w:r>
      <w:r w:rsidRPr="007B4569">
        <w:rPr>
          <w:rFonts w:ascii="Tahoma" w:hAnsi="Tahoma" w:cs="Tahoma"/>
          <w:sz w:val="24"/>
          <w:szCs w:val="24"/>
          <w:vertAlign w:val="superscript"/>
        </w:rPr>
        <w:t>nd</w:t>
      </w:r>
      <w:r w:rsidRPr="007B4569">
        <w:rPr>
          <w:rFonts w:ascii="Tahoma" w:hAnsi="Tahoma" w:cs="Tahoma"/>
          <w:sz w:val="24"/>
          <w:szCs w:val="24"/>
        </w:rPr>
        <w:t xml:space="preserve"> Respondent, countered the submissions by 1</w:t>
      </w:r>
      <w:r w:rsidRPr="007B4569">
        <w:rPr>
          <w:rFonts w:ascii="Tahoma" w:hAnsi="Tahoma" w:cs="Tahoma"/>
          <w:sz w:val="24"/>
          <w:szCs w:val="24"/>
          <w:vertAlign w:val="superscript"/>
        </w:rPr>
        <w:t>st</w:t>
      </w:r>
      <w:r w:rsidRPr="007B4569">
        <w:rPr>
          <w:rFonts w:ascii="Tahoma" w:hAnsi="Tahoma" w:cs="Tahoma"/>
          <w:sz w:val="24"/>
          <w:szCs w:val="24"/>
        </w:rPr>
        <w:t xml:space="preserve"> Respondent. It was his submission that the Applicant had duly considered the parties submissions and the evidence before arriving at his draft ruling. He had arrived at a finding that 2</w:t>
      </w:r>
      <w:r w:rsidRPr="007B4569">
        <w:rPr>
          <w:rFonts w:ascii="Tahoma" w:hAnsi="Tahoma" w:cs="Tahoma"/>
          <w:sz w:val="24"/>
          <w:szCs w:val="24"/>
          <w:vertAlign w:val="superscript"/>
        </w:rPr>
        <w:t>nd</w:t>
      </w:r>
      <w:r w:rsidRPr="007B4569">
        <w:rPr>
          <w:rFonts w:ascii="Tahoma" w:hAnsi="Tahoma" w:cs="Tahoma"/>
          <w:sz w:val="24"/>
          <w:szCs w:val="24"/>
        </w:rPr>
        <w:t xml:space="preserve"> Respondent had been employed by 1</w:t>
      </w:r>
      <w:r w:rsidRPr="007B4569">
        <w:rPr>
          <w:rFonts w:ascii="Tahoma" w:hAnsi="Tahoma" w:cs="Tahoma"/>
          <w:sz w:val="24"/>
          <w:szCs w:val="24"/>
          <w:vertAlign w:val="superscript"/>
        </w:rPr>
        <w:t>st</w:t>
      </w:r>
      <w:r w:rsidRPr="007B4569">
        <w:rPr>
          <w:rFonts w:ascii="Tahoma" w:hAnsi="Tahoma" w:cs="Tahoma"/>
          <w:sz w:val="24"/>
          <w:szCs w:val="24"/>
        </w:rPr>
        <w:t xml:space="preserve"> Respondent on a permanent basis hence 1</w:t>
      </w:r>
      <w:r w:rsidRPr="007B4569">
        <w:rPr>
          <w:rFonts w:ascii="Tahoma" w:hAnsi="Tahoma" w:cs="Tahoma"/>
          <w:sz w:val="24"/>
          <w:szCs w:val="24"/>
          <w:vertAlign w:val="superscript"/>
        </w:rPr>
        <w:t>st</w:t>
      </w:r>
      <w:r w:rsidRPr="007B4569">
        <w:rPr>
          <w:rFonts w:ascii="Tahoma" w:hAnsi="Tahoma" w:cs="Tahoma"/>
          <w:sz w:val="24"/>
          <w:szCs w:val="24"/>
        </w:rPr>
        <w:t xml:space="preserve"> Respondent was liable to pay the amounts as reflected in the draft ruli</w:t>
      </w:r>
      <w:r>
        <w:rPr>
          <w:rFonts w:ascii="Tahoma" w:hAnsi="Tahoma" w:cs="Tahoma"/>
          <w:sz w:val="24"/>
          <w:szCs w:val="24"/>
        </w:rPr>
        <w:t>ng. The Applicant had also made a formal finding</w:t>
      </w:r>
      <w:r w:rsidRPr="007B4569">
        <w:rPr>
          <w:rFonts w:ascii="Tahoma" w:hAnsi="Tahoma" w:cs="Tahoma"/>
          <w:sz w:val="24"/>
          <w:szCs w:val="24"/>
        </w:rPr>
        <w:t xml:space="preserve"> that 2</w:t>
      </w:r>
      <w:r w:rsidRPr="007B4569">
        <w:rPr>
          <w:rFonts w:ascii="Tahoma" w:hAnsi="Tahoma" w:cs="Tahoma"/>
          <w:sz w:val="24"/>
          <w:szCs w:val="24"/>
          <w:vertAlign w:val="superscript"/>
        </w:rPr>
        <w:t>nd</w:t>
      </w:r>
      <w:r w:rsidRPr="007B4569">
        <w:rPr>
          <w:rFonts w:ascii="Tahoma" w:hAnsi="Tahoma" w:cs="Tahoma"/>
          <w:sz w:val="24"/>
          <w:szCs w:val="24"/>
        </w:rPr>
        <w:t xml:space="preserve"> Respondent had been </w:t>
      </w:r>
      <w:r w:rsidRPr="007B4569">
        <w:rPr>
          <w:rFonts w:ascii="Tahoma" w:hAnsi="Tahoma" w:cs="Tahoma"/>
          <w:sz w:val="24"/>
          <w:szCs w:val="24"/>
        </w:rPr>
        <w:lastRenderedPageBreak/>
        <w:t>transferred from Spar Distribution Centre to 1</w:t>
      </w:r>
      <w:r w:rsidRPr="007B4569">
        <w:rPr>
          <w:rFonts w:ascii="Tahoma" w:hAnsi="Tahoma" w:cs="Tahoma"/>
          <w:sz w:val="24"/>
          <w:szCs w:val="24"/>
          <w:vertAlign w:val="superscript"/>
        </w:rPr>
        <w:t>st</w:t>
      </w:r>
      <w:r w:rsidRPr="007B4569">
        <w:rPr>
          <w:rFonts w:ascii="Tahoma" w:hAnsi="Tahoma" w:cs="Tahoma"/>
          <w:sz w:val="24"/>
          <w:szCs w:val="24"/>
        </w:rPr>
        <w:t xml:space="preserve"> Respondent. He made a further finding that on the basis of the evidence in the record 2</w:t>
      </w:r>
      <w:r w:rsidRPr="007B4569">
        <w:rPr>
          <w:rFonts w:ascii="Tahoma" w:hAnsi="Tahoma" w:cs="Tahoma"/>
          <w:sz w:val="24"/>
          <w:szCs w:val="24"/>
          <w:vertAlign w:val="superscript"/>
        </w:rPr>
        <w:t>nd</w:t>
      </w:r>
      <w:r w:rsidRPr="007B4569">
        <w:rPr>
          <w:rFonts w:ascii="Tahoma" w:hAnsi="Tahoma" w:cs="Tahoma"/>
          <w:sz w:val="24"/>
          <w:szCs w:val="24"/>
        </w:rPr>
        <w:t xml:space="preserve"> Respondent had started working for 1</w:t>
      </w:r>
      <w:r w:rsidRPr="007B4569">
        <w:rPr>
          <w:rFonts w:ascii="Tahoma" w:hAnsi="Tahoma" w:cs="Tahoma"/>
          <w:sz w:val="24"/>
          <w:szCs w:val="24"/>
          <w:vertAlign w:val="superscript"/>
        </w:rPr>
        <w:t>st</w:t>
      </w:r>
      <w:r w:rsidRPr="007B4569">
        <w:rPr>
          <w:rFonts w:ascii="Tahoma" w:hAnsi="Tahoma" w:cs="Tahoma"/>
          <w:sz w:val="24"/>
          <w:szCs w:val="24"/>
        </w:rPr>
        <w:t xml:space="preserve"> Respondent in 2010. 1</w:t>
      </w:r>
      <w:r w:rsidRPr="007B4569">
        <w:rPr>
          <w:rFonts w:ascii="Tahoma" w:hAnsi="Tahoma" w:cs="Tahoma"/>
          <w:sz w:val="24"/>
          <w:szCs w:val="24"/>
          <w:vertAlign w:val="superscript"/>
        </w:rPr>
        <w:t>st</w:t>
      </w:r>
      <w:r w:rsidRPr="007B4569">
        <w:rPr>
          <w:rFonts w:ascii="Tahoma" w:hAnsi="Tahoma" w:cs="Tahoma"/>
          <w:sz w:val="24"/>
          <w:szCs w:val="24"/>
        </w:rPr>
        <w:t xml:space="preserve"> Respondent was therefore liable to pay gratuity as calculated under the relevant N.E. C provisions. Mr Mafongoya submitted that in the circumstances the court ought to dismiss the 1</w:t>
      </w:r>
      <w:r w:rsidRPr="007B4569">
        <w:rPr>
          <w:rFonts w:ascii="Tahoma" w:hAnsi="Tahoma" w:cs="Tahoma"/>
          <w:sz w:val="24"/>
          <w:szCs w:val="24"/>
          <w:vertAlign w:val="superscript"/>
        </w:rPr>
        <w:t>st</w:t>
      </w:r>
      <w:r w:rsidRPr="007B4569">
        <w:rPr>
          <w:rFonts w:ascii="Tahoma" w:hAnsi="Tahoma" w:cs="Tahoma"/>
          <w:sz w:val="24"/>
          <w:szCs w:val="24"/>
        </w:rPr>
        <w:t xml:space="preserve"> Respondent grounds of objection.</w:t>
      </w:r>
    </w:p>
    <w:p w:rsidR="0049071E" w:rsidRPr="007B4569" w:rsidRDefault="0049071E" w:rsidP="0049071E">
      <w:pPr>
        <w:spacing w:line="360" w:lineRule="auto"/>
        <w:ind w:firstLine="720"/>
        <w:jc w:val="both"/>
        <w:rPr>
          <w:rFonts w:ascii="Tahoma" w:hAnsi="Tahoma" w:cs="Tahoma"/>
          <w:sz w:val="24"/>
          <w:szCs w:val="24"/>
        </w:rPr>
      </w:pPr>
      <w:r w:rsidRPr="007B4569">
        <w:rPr>
          <w:rFonts w:ascii="Tahoma" w:hAnsi="Tahoma" w:cs="Tahoma"/>
          <w:sz w:val="24"/>
          <w:szCs w:val="24"/>
        </w:rPr>
        <w:t>Ms Takaendesa, in reply, insisted that 1</w:t>
      </w:r>
      <w:r w:rsidRPr="007B4569">
        <w:rPr>
          <w:rFonts w:ascii="Tahoma" w:hAnsi="Tahoma" w:cs="Tahoma"/>
          <w:sz w:val="24"/>
          <w:szCs w:val="24"/>
          <w:vertAlign w:val="superscript"/>
        </w:rPr>
        <w:t>st</w:t>
      </w:r>
      <w:r w:rsidRPr="007B4569">
        <w:rPr>
          <w:rFonts w:ascii="Tahoma" w:hAnsi="Tahoma" w:cs="Tahoma"/>
          <w:sz w:val="24"/>
          <w:szCs w:val="24"/>
        </w:rPr>
        <w:t xml:space="preserve"> Respondent’s grounds of objection were valid. The application for confirmation of the draft ruling stood to be dismissed. It was 1</w:t>
      </w:r>
      <w:r w:rsidRPr="007B4569">
        <w:rPr>
          <w:rFonts w:ascii="Tahoma" w:hAnsi="Tahoma" w:cs="Tahoma"/>
          <w:sz w:val="24"/>
          <w:szCs w:val="24"/>
          <w:vertAlign w:val="superscript"/>
        </w:rPr>
        <w:t>st</w:t>
      </w:r>
      <w:r w:rsidRPr="007B4569">
        <w:rPr>
          <w:rFonts w:ascii="Tahoma" w:hAnsi="Tahoma" w:cs="Tahoma"/>
          <w:sz w:val="24"/>
          <w:szCs w:val="24"/>
        </w:rPr>
        <w:t xml:space="preserve"> Respondent position that 2</w:t>
      </w:r>
      <w:r w:rsidRPr="007B4569">
        <w:rPr>
          <w:rFonts w:ascii="Tahoma" w:hAnsi="Tahoma" w:cs="Tahoma"/>
          <w:sz w:val="24"/>
          <w:szCs w:val="24"/>
          <w:vertAlign w:val="superscript"/>
        </w:rPr>
        <w:t>nd</w:t>
      </w:r>
      <w:r w:rsidRPr="007B4569">
        <w:rPr>
          <w:rFonts w:ascii="Tahoma" w:hAnsi="Tahoma" w:cs="Tahoma"/>
          <w:sz w:val="24"/>
          <w:szCs w:val="24"/>
        </w:rPr>
        <w:t xml:space="preserve"> Respondent having been employed by Spar Distribution Centre between 2010-2015 it was Spar Distribution Centre which owed him gratuity. The Applicant had erred in the conclusion reached. </w:t>
      </w:r>
    </w:p>
    <w:p w:rsidR="0049071E" w:rsidRPr="00EB4277" w:rsidRDefault="0049071E" w:rsidP="0049071E">
      <w:pPr>
        <w:spacing w:line="360" w:lineRule="auto"/>
        <w:ind w:firstLine="720"/>
        <w:jc w:val="both"/>
        <w:rPr>
          <w:rFonts w:ascii="Tahoma" w:hAnsi="Tahoma" w:cs="Tahoma"/>
          <w:sz w:val="24"/>
          <w:szCs w:val="24"/>
        </w:rPr>
      </w:pPr>
      <w:r w:rsidRPr="007B4569">
        <w:rPr>
          <w:rFonts w:ascii="Tahoma" w:hAnsi="Tahoma" w:cs="Tahoma"/>
          <w:sz w:val="24"/>
          <w:szCs w:val="24"/>
        </w:rPr>
        <w:t>It became apparent to the court that there was a clear dispute of fact between the 1</w:t>
      </w:r>
      <w:r w:rsidRPr="007B4569">
        <w:rPr>
          <w:rFonts w:ascii="Tahoma" w:hAnsi="Tahoma" w:cs="Tahoma"/>
          <w:sz w:val="24"/>
          <w:szCs w:val="24"/>
          <w:vertAlign w:val="superscript"/>
        </w:rPr>
        <w:t>st</w:t>
      </w:r>
      <w:r w:rsidRPr="007B4569">
        <w:rPr>
          <w:rFonts w:ascii="Tahoma" w:hAnsi="Tahoma" w:cs="Tahoma"/>
          <w:sz w:val="24"/>
          <w:szCs w:val="24"/>
        </w:rPr>
        <w:t xml:space="preserve"> and 2</w:t>
      </w:r>
      <w:r w:rsidRPr="007B4569">
        <w:rPr>
          <w:rFonts w:ascii="Tahoma" w:hAnsi="Tahoma" w:cs="Tahoma"/>
          <w:sz w:val="24"/>
          <w:szCs w:val="24"/>
          <w:vertAlign w:val="superscript"/>
        </w:rPr>
        <w:t>nd</w:t>
      </w:r>
      <w:r w:rsidRPr="007B4569">
        <w:rPr>
          <w:rFonts w:ascii="Tahoma" w:hAnsi="Tahoma" w:cs="Tahoma"/>
          <w:sz w:val="24"/>
          <w:szCs w:val="24"/>
        </w:rPr>
        <w:t xml:space="preserve"> Respondent as to which entity employed 2</w:t>
      </w:r>
      <w:r w:rsidRPr="007B4569">
        <w:rPr>
          <w:rFonts w:ascii="Tahoma" w:hAnsi="Tahoma" w:cs="Tahoma"/>
          <w:sz w:val="24"/>
          <w:szCs w:val="24"/>
          <w:vertAlign w:val="superscript"/>
        </w:rPr>
        <w:t>nd</w:t>
      </w:r>
      <w:r w:rsidRPr="007B4569">
        <w:rPr>
          <w:rFonts w:ascii="Tahoma" w:hAnsi="Tahoma" w:cs="Tahoma"/>
          <w:sz w:val="24"/>
          <w:szCs w:val="24"/>
        </w:rPr>
        <w:t xml:space="preserve"> Respondent for the period 2010 to 2015 and was therefore liable to pay gratuity. It was also not very apparent the nature of the relationship between 1</w:t>
      </w:r>
      <w:r w:rsidRPr="007B4569">
        <w:rPr>
          <w:rFonts w:ascii="Tahoma" w:hAnsi="Tahoma" w:cs="Tahoma"/>
          <w:sz w:val="24"/>
          <w:szCs w:val="24"/>
          <w:vertAlign w:val="superscript"/>
        </w:rPr>
        <w:t>st</w:t>
      </w:r>
      <w:r w:rsidRPr="007B4569">
        <w:rPr>
          <w:rFonts w:ascii="Tahoma" w:hAnsi="Tahoma" w:cs="Tahoma"/>
          <w:sz w:val="24"/>
          <w:szCs w:val="24"/>
        </w:rPr>
        <w:t xml:space="preserve"> Respondent- Vital Logistics and Spar Distribution Centre w</w:t>
      </w:r>
      <w:r>
        <w:rPr>
          <w:rFonts w:ascii="Tahoma" w:hAnsi="Tahoma" w:cs="Tahoma"/>
          <w:sz w:val="24"/>
          <w:szCs w:val="24"/>
        </w:rPr>
        <w:t>as it a holding company| subsidiary company</w:t>
      </w:r>
      <w:r w:rsidRPr="007B4569">
        <w:rPr>
          <w:rFonts w:ascii="Tahoma" w:hAnsi="Tahoma" w:cs="Tahoma"/>
          <w:sz w:val="24"/>
          <w:szCs w:val="24"/>
        </w:rPr>
        <w:t xml:space="preserve"> 2</w:t>
      </w:r>
      <w:r w:rsidRPr="007B4569">
        <w:rPr>
          <w:rFonts w:ascii="Tahoma" w:hAnsi="Tahoma" w:cs="Tahoma"/>
          <w:sz w:val="24"/>
          <w:szCs w:val="24"/>
          <w:vertAlign w:val="superscript"/>
        </w:rPr>
        <w:t>nd</w:t>
      </w:r>
      <w:r w:rsidRPr="007B4569">
        <w:rPr>
          <w:rFonts w:ascii="Tahoma" w:hAnsi="Tahoma" w:cs="Tahoma"/>
          <w:sz w:val="24"/>
          <w:szCs w:val="24"/>
        </w:rPr>
        <w:t xml:space="preserve"> Respondent had been transferred and if so the terms of such transfer. This information was necessary before the court could </w:t>
      </w:r>
      <w:r>
        <w:rPr>
          <w:rFonts w:ascii="Tahoma" w:hAnsi="Tahoma" w:cs="Tahoma"/>
          <w:sz w:val="24"/>
          <w:szCs w:val="24"/>
        </w:rPr>
        <w:t xml:space="preserve">proceed to </w:t>
      </w:r>
      <w:r w:rsidRPr="007B4569">
        <w:rPr>
          <w:rFonts w:ascii="Tahoma" w:hAnsi="Tahoma" w:cs="Tahoma"/>
          <w:sz w:val="24"/>
          <w:szCs w:val="24"/>
        </w:rPr>
        <w:t>test the correctness of the Applicant’s ruling in regards the issue of gratuity. The parties were</w:t>
      </w:r>
      <w:r>
        <w:rPr>
          <w:rFonts w:ascii="Tahoma" w:hAnsi="Tahoma" w:cs="Tahoma"/>
          <w:sz w:val="24"/>
          <w:szCs w:val="24"/>
        </w:rPr>
        <w:t xml:space="preserve"> for that reason</w:t>
      </w:r>
      <w:r w:rsidRPr="007B4569">
        <w:rPr>
          <w:rFonts w:ascii="Tahoma" w:hAnsi="Tahoma" w:cs="Tahoma"/>
          <w:sz w:val="24"/>
          <w:szCs w:val="24"/>
        </w:rPr>
        <w:t xml:space="preserve"> directed to file supplementary heads to address the issue of the relationship between 1</w:t>
      </w:r>
      <w:r w:rsidRPr="007B4569">
        <w:rPr>
          <w:rFonts w:ascii="Tahoma" w:hAnsi="Tahoma" w:cs="Tahoma"/>
          <w:sz w:val="24"/>
          <w:szCs w:val="24"/>
          <w:vertAlign w:val="superscript"/>
        </w:rPr>
        <w:t>st</w:t>
      </w:r>
      <w:r w:rsidRPr="007B4569">
        <w:rPr>
          <w:rFonts w:ascii="Tahoma" w:hAnsi="Tahoma" w:cs="Tahoma"/>
          <w:sz w:val="24"/>
          <w:szCs w:val="24"/>
        </w:rPr>
        <w:t xml:space="preserve"> and 2</w:t>
      </w:r>
      <w:r w:rsidRPr="007B4569">
        <w:rPr>
          <w:rFonts w:ascii="Tahoma" w:hAnsi="Tahoma" w:cs="Tahoma"/>
          <w:sz w:val="24"/>
          <w:szCs w:val="24"/>
          <w:vertAlign w:val="superscript"/>
        </w:rPr>
        <w:t>nd</w:t>
      </w:r>
      <w:r w:rsidRPr="007B4569">
        <w:rPr>
          <w:rFonts w:ascii="Tahoma" w:hAnsi="Tahoma" w:cs="Tahoma"/>
          <w:sz w:val="24"/>
          <w:szCs w:val="24"/>
        </w:rPr>
        <w:t xml:space="preserve"> Respondents </w:t>
      </w:r>
      <w:r>
        <w:rPr>
          <w:rFonts w:ascii="Tahoma" w:hAnsi="Tahoma" w:cs="Tahoma"/>
          <w:sz w:val="24"/>
          <w:szCs w:val="24"/>
        </w:rPr>
        <w:t>and which entity was liable to pay the gratuity claim</w:t>
      </w:r>
      <w:r w:rsidRPr="007B4569">
        <w:rPr>
          <w:rFonts w:ascii="Tahoma" w:hAnsi="Tahoma" w:cs="Tahoma"/>
          <w:sz w:val="24"/>
          <w:szCs w:val="24"/>
        </w:rPr>
        <w:t xml:space="preserve"> by 2</w:t>
      </w:r>
      <w:r w:rsidRPr="007B4569">
        <w:rPr>
          <w:rFonts w:ascii="Tahoma" w:hAnsi="Tahoma" w:cs="Tahoma"/>
          <w:sz w:val="24"/>
          <w:szCs w:val="24"/>
          <w:vertAlign w:val="superscript"/>
        </w:rPr>
        <w:t>nd</w:t>
      </w:r>
      <w:r w:rsidRPr="007B4569">
        <w:rPr>
          <w:rFonts w:ascii="Tahoma" w:hAnsi="Tahoma" w:cs="Tahoma"/>
          <w:sz w:val="24"/>
          <w:szCs w:val="24"/>
        </w:rPr>
        <w:t xml:space="preserve"> Respondent before the Applicant. The parties were thus directed to file Supplementary Head of Arguments, in the case of 2</w:t>
      </w:r>
      <w:r w:rsidRPr="007B4569">
        <w:rPr>
          <w:rFonts w:ascii="Tahoma" w:hAnsi="Tahoma" w:cs="Tahoma"/>
          <w:sz w:val="24"/>
          <w:szCs w:val="24"/>
          <w:vertAlign w:val="superscript"/>
        </w:rPr>
        <w:t>nd</w:t>
      </w:r>
      <w:r w:rsidRPr="007B4569">
        <w:rPr>
          <w:rFonts w:ascii="Tahoma" w:hAnsi="Tahoma" w:cs="Tahoma"/>
          <w:sz w:val="24"/>
          <w:szCs w:val="24"/>
        </w:rPr>
        <w:t xml:space="preserve"> Respondent </w:t>
      </w:r>
      <w:r>
        <w:rPr>
          <w:rFonts w:ascii="Tahoma" w:hAnsi="Tahoma" w:cs="Tahoma"/>
          <w:sz w:val="24"/>
          <w:szCs w:val="24"/>
        </w:rPr>
        <w:t xml:space="preserve">at the latest </w:t>
      </w:r>
      <w:r w:rsidRPr="007B4569">
        <w:rPr>
          <w:rFonts w:ascii="Tahoma" w:hAnsi="Tahoma" w:cs="Tahoma"/>
          <w:sz w:val="24"/>
          <w:szCs w:val="24"/>
        </w:rPr>
        <w:t>by 13</w:t>
      </w:r>
      <w:r w:rsidRPr="007B4569">
        <w:rPr>
          <w:rFonts w:ascii="Tahoma" w:hAnsi="Tahoma" w:cs="Tahoma"/>
          <w:sz w:val="24"/>
          <w:szCs w:val="24"/>
          <w:vertAlign w:val="superscript"/>
        </w:rPr>
        <w:t>th</w:t>
      </w:r>
      <w:r w:rsidRPr="007B4569">
        <w:rPr>
          <w:rFonts w:ascii="Tahoma" w:hAnsi="Tahoma" w:cs="Tahoma"/>
          <w:sz w:val="24"/>
          <w:szCs w:val="24"/>
        </w:rPr>
        <w:t xml:space="preserve"> of March, 2020 and in the case of 1</w:t>
      </w:r>
      <w:r w:rsidRPr="007B4569">
        <w:rPr>
          <w:rFonts w:ascii="Tahoma" w:hAnsi="Tahoma" w:cs="Tahoma"/>
          <w:sz w:val="24"/>
          <w:szCs w:val="24"/>
          <w:vertAlign w:val="superscript"/>
        </w:rPr>
        <w:t>st</w:t>
      </w:r>
      <w:r w:rsidRPr="007B4569">
        <w:rPr>
          <w:rFonts w:ascii="Tahoma" w:hAnsi="Tahoma" w:cs="Tahoma"/>
          <w:sz w:val="24"/>
          <w:szCs w:val="24"/>
        </w:rPr>
        <w:t xml:space="preserve"> Respondent by 20</w:t>
      </w:r>
      <w:r w:rsidRPr="007B4569">
        <w:rPr>
          <w:rFonts w:ascii="Tahoma" w:hAnsi="Tahoma" w:cs="Tahoma"/>
          <w:sz w:val="24"/>
          <w:szCs w:val="24"/>
          <w:vertAlign w:val="superscript"/>
        </w:rPr>
        <w:t>th</w:t>
      </w:r>
      <w:r w:rsidRPr="007B4569">
        <w:rPr>
          <w:rFonts w:ascii="Tahoma" w:hAnsi="Tahoma" w:cs="Tahoma"/>
          <w:sz w:val="24"/>
          <w:szCs w:val="24"/>
        </w:rPr>
        <w:t xml:space="preserve"> March, 2020. The 2</w:t>
      </w:r>
      <w:r w:rsidRPr="007B4569">
        <w:rPr>
          <w:rFonts w:ascii="Tahoma" w:hAnsi="Tahoma" w:cs="Tahoma"/>
          <w:sz w:val="24"/>
          <w:szCs w:val="24"/>
          <w:vertAlign w:val="superscript"/>
        </w:rPr>
        <w:t>nd</w:t>
      </w:r>
      <w:r w:rsidRPr="007B4569">
        <w:rPr>
          <w:rFonts w:ascii="Tahoma" w:hAnsi="Tahoma" w:cs="Tahoma"/>
          <w:sz w:val="24"/>
          <w:szCs w:val="24"/>
        </w:rPr>
        <w:t xml:space="preserve"> Respondent duly filed his Supplementary </w:t>
      </w:r>
      <w:r w:rsidR="00807EA2">
        <w:rPr>
          <w:rFonts w:ascii="Tahoma" w:hAnsi="Tahoma" w:cs="Tahoma"/>
          <w:sz w:val="24"/>
          <w:szCs w:val="24"/>
        </w:rPr>
        <w:t>Heads of Arguments on 13</w:t>
      </w:r>
      <w:r w:rsidR="00807EA2" w:rsidRPr="00807EA2">
        <w:rPr>
          <w:rFonts w:ascii="Tahoma" w:hAnsi="Tahoma" w:cs="Tahoma"/>
          <w:sz w:val="24"/>
          <w:szCs w:val="24"/>
          <w:vertAlign w:val="superscript"/>
        </w:rPr>
        <w:t>th</w:t>
      </w:r>
      <w:r w:rsidR="00807EA2">
        <w:rPr>
          <w:rFonts w:ascii="Tahoma" w:hAnsi="Tahoma" w:cs="Tahoma"/>
          <w:sz w:val="24"/>
          <w:szCs w:val="24"/>
        </w:rPr>
        <w:t xml:space="preserve"> of March.</w:t>
      </w:r>
      <w:r w:rsidRPr="007B4569">
        <w:rPr>
          <w:rFonts w:ascii="Tahoma" w:hAnsi="Tahoma" w:cs="Tahoma"/>
          <w:sz w:val="24"/>
          <w:szCs w:val="24"/>
        </w:rPr>
        <w:t xml:space="preserve"> The 1</w:t>
      </w:r>
      <w:r w:rsidRPr="007B4569">
        <w:rPr>
          <w:rFonts w:ascii="Tahoma" w:hAnsi="Tahoma" w:cs="Tahoma"/>
          <w:sz w:val="24"/>
          <w:szCs w:val="24"/>
          <w:vertAlign w:val="superscript"/>
        </w:rPr>
        <w:t>st</w:t>
      </w:r>
      <w:r w:rsidRPr="007B4569">
        <w:rPr>
          <w:rFonts w:ascii="Tahoma" w:hAnsi="Tahoma" w:cs="Tahoma"/>
          <w:sz w:val="24"/>
          <w:szCs w:val="24"/>
        </w:rPr>
        <w:t xml:space="preserve"> Respondent did not file the Heads of Argument.</w:t>
      </w:r>
    </w:p>
    <w:p w:rsidR="0049071E" w:rsidRPr="00EB4277" w:rsidRDefault="0049071E" w:rsidP="0049071E">
      <w:pPr>
        <w:spacing w:line="360" w:lineRule="auto"/>
        <w:ind w:firstLine="720"/>
        <w:jc w:val="both"/>
        <w:rPr>
          <w:rFonts w:ascii="Tahoma" w:hAnsi="Tahoma" w:cs="Tahoma"/>
          <w:sz w:val="24"/>
          <w:szCs w:val="24"/>
        </w:rPr>
      </w:pPr>
      <w:r w:rsidRPr="007B4569">
        <w:rPr>
          <w:rFonts w:ascii="Tahoma" w:hAnsi="Tahoma" w:cs="Tahoma"/>
          <w:sz w:val="24"/>
          <w:szCs w:val="24"/>
        </w:rPr>
        <w:t>On 16</w:t>
      </w:r>
      <w:r w:rsidRPr="007B4569">
        <w:rPr>
          <w:rFonts w:ascii="Tahoma" w:hAnsi="Tahoma" w:cs="Tahoma"/>
          <w:sz w:val="24"/>
          <w:szCs w:val="24"/>
          <w:vertAlign w:val="superscript"/>
        </w:rPr>
        <w:t>th</w:t>
      </w:r>
      <w:r w:rsidRPr="007B4569">
        <w:rPr>
          <w:rFonts w:ascii="Tahoma" w:hAnsi="Tahoma" w:cs="Tahoma"/>
          <w:sz w:val="24"/>
          <w:szCs w:val="24"/>
        </w:rPr>
        <w:t xml:space="preserve"> of June 2020 Messrs Lunga and Associates authored a letter addressed to Applicant and copied to the court. It was indicated therein that they had been instructed to assume agency on behalf of 1</w:t>
      </w:r>
      <w:r w:rsidRPr="007B4569">
        <w:rPr>
          <w:rFonts w:ascii="Tahoma" w:hAnsi="Tahoma" w:cs="Tahoma"/>
          <w:sz w:val="24"/>
          <w:szCs w:val="24"/>
          <w:vertAlign w:val="superscript"/>
        </w:rPr>
        <w:t>st</w:t>
      </w:r>
      <w:r w:rsidRPr="007B4569">
        <w:rPr>
          <w:rFonts w:ascii="Tahoma" w:hAnsi="Tahoma" w:cs="Tahoma"/>
          <w:sz w:val="24"/>
          <w:szCs w:val="24"/>
        </w:rPr>
        <w:t xml:space="preserve"> Respondent. They indicated that their client had not been served with the application by the Applicant as </w:t>
      </w:r>
      <w:r>
        <w:rPr>
          <w:rFonts w:ascii="Tahoma" w:hAnsi="Tahoma" w:cs="Tahoma"/>
          <w:sz w:val="24"/>
          <w:szCs w:val="24"/>
        </w:rPr>
        <w:t xml:space="preserve">required by the Rules. This was </w:t>
      </w:r>
      <w:r w:rsidRPr="007B4569">
        <w:rPr>
          <w:rFonts w:ascii="Tahoma" w:hAnsi="Tahoma" w:cs="Tahoma"/>
          <w:sz w:val="24"/>
          <w:szCs w:val="24"/>
        </w:rPr>
        <w:t xml:space="preserve">evidenced by the record. As a result they had not </w:t>
      </w:r>
      <w:r w:rsidRPr="007B4569">
        <w:rPr>
          <w:rFonts w:ascii="Tahoma" w:hAnsi="Tahoma" w:cs="Tahoma"/>
          <w:sz w:val="24"/>
          <w:szCs w:val="24"/>
        </w:rPr>
        <w:lastRenderedPageBreak/>
        <w:t>filed any Notice of Opposition. It was indicated that in the absence</w:t>
      </w:r>
      <w:r>
        <w:rPr>
          <w:rFonts w:ascii="Tahoma" w:hAnsi="Tahoma" w:cs="Tahoma"/>
          <w:sz w:val="24"/>
          <w:szCs w:val="24"/>
        </w:rPr>
        <w:t xml:space="preserve"> of proof</w:t>
      </w:r>
      <w:r w:rsidRPr="007B4569">
        <w:rPr>
          <w:rFonts w:ascii="Tahoma" w:hAnsi="Tahoma" w:cs="Tahoma"/>
          <w:sz w:val="24"/>
          <w:szCs w:val="24"/>
        </w:rPr>
        <w:t xml:space="preserve"> of service of the application on their client they were unable to file Notice of Opposition or the Supplementary Heads of Arguments as directed by the court. They were thus directing Applicant to serve the application within 48 Hours to enable them to file the Notice of Opposition and the Heads Of Argument. Messrs Mafongoya and Matapura who are Legal Practitioners representing 2</w:t>
      </w:r>
      <w:r w:rsidRPr="007B4569">
        <w:rPr>
          <w:rFonts w:ascii="Tahoma" w:hAnsi="Tahoma" w:cs="Tahoma"/>
          <w:sz w:val="24"/>
          <w:szCs w:val="24"/>
          <w:vertAlign w:val="superscript"/>
        </w:rPr>
        <w:t>nd</w:t>
      </w:r>
      <w:r>
        <w:rPr>
          <w:rFonts w:ascii="Tahoma" w:hAnsi="Tahoma" w:cs="Tahoma"/>
          <w:sz w:val="24"/>
          <w:szCs w:val="24"/>
        </w:rPr>
        <w:t xml:space="preserve"> Respondent filed their own</w:t>
      </w:r>
      <w:r w:rsidRPr="007B4569">
        <w:rPr>
          <w:rFonts w:ascii="Tahoma" w:hAnsi="Tahoma" w:cs="Tahoma"/>
          <w:sz w:val="24"/>
          <w:szCs w:val="24"/>
        </w:rPr>
        <w:t xml:space="preserve"> response to the letter from Messrs Lunga and Associates. They objected to the tone of the letter which was meant </w:t>
      </w:r>
      <w:r>
        <w:rPr>
          <w:rFonts w:ascii="Tahoma" w:hAnsi="Tahoma" w:cs="Tahoma"/>
          <w:sz w:val="24"/>
          <w:szCs w:val="24"/>
        </w:rPr>
        <w:t>to mislead the court. It was their</w:t>
      </w:r>
      <w:r w:rsidRPr="007B4569">
        <w:rPr>
          <w:rFonts w:ascii="Tahoma" w:hAnsi="Tahoma" w:cs="Tahoma"/>
          <w:sz w:val="24"/>
          <w:szCs w:val="24"/>
        </w:rPr>
        <w:t xml:space="preserve"> submission that the 1</w:t>
      </w:r>
      <w:r w:rsidRPr="007B4569">
        <w:rPr>
          <w:rFonts w:ascii="Tahoma" w:hAnsi="Tahoma" w:cs="Tahoma"/>
          <w:sz w:val="24"/>
          <w:szCs w:val="24"/>
          <w:vertAlign w:val="superscript"/>
        </w:rPr>
        <w:t>st</w:t>
      </w:r>
      <w:r w:rsidRPr="007B4569">
        <w:rPr>
          <w:rFonts w:ascii="Tahoma" w:hAnsi="Tahoma" w:cs="Tahoma"/>
          <w:sz w:val="24"/>
          <w:szCs w:val="24"/>
        </w:rPr>
        <w:t xml:space="preserve"> Respondent had clearly been served</w:t>
      </w:r>
      <w:r>
        <w:rPr>
          <w:rFonts w:ascii="Tahoma" w:hAnsi="Tahoma" w:cs="Tahoma"/>
          <w:sz w:val="24"/>
          <w:szCs w:val="24"/>
        </w:rPr>
        <w:t xml:space="preserve"> with the application. This was the reason why Mrs Takaendesa</w:t>
      </w:r>
      <w:r w:rsidRPr="007B4569">
        <w:rPr>
          <w:rFonts w:ascii="Tahoma" w:hAnsi="Tahoma" w:cs="Tahoma"/>
          <w:sz w:val="24"/>
          <w:szCs w:val="24"/>
        </w:rPr>
        <w:t xml:space="preserve"> had even appeared at the initial hearing. The 2nd Respondent </w:t>
      </w:r>
      <w:r>
        <w:rPr>
          <w:rFonts w:ascii="Tahoma" w:hAnsi="Tahoma" w:cs="Tahoma"/>
          <w:sz w:val="24"/>
          <w:szCs w:val="24"/>
        </w:rPr>
        <w:t>also invited the court to censure</w:t>
      </w:r>
      <w:r w:rsidRPr="007B4569">
        <w:rPr>
          <w:rFonts w:ascii="Tahoma" w:hAnsi="Tahoma" w:cs="Tahoma"/>
          <w:sz w:val="24"/>
          <w:szCs w:val="24"/>
        </w:rPr>
        <w:t xml:space="preserve"> the 1</w:t>
      </w:r>
      <w:r w:rsidRPr="007B4569">
        <w:rPr>
          <w:rFonts w:ascii="Tahoma" w:hAnsi="Tahoma" w:cs="Tahoma"/>
          <w:sz w:val="24"/>
          <w:szCs w:val="24"/>
          <w:vertAlign w:val="superscript"/>
        </w:rPr>
        <w:t>st</w:t>
      </w:r>
      <w:r w:rsidRPr="007B4569">
        <w:rPr>
          <w:rFonts w:ascii="Tahoma" w:hAnsi="Tahoma" w:cs="Tahoma"/>
          <w:sz w:val="24"/>
          <w:szCs w:val="24"/>
        </w:rPr>
        <w:t xml:space="preserve"> Respondent</w:t>
      </w:r>
      <w:r>
        <w:rPr>
          <w:rFonts w:ascii="Tahoma" w:hAnsi="Tahoma" w:cs="Tahoma"/>
          <w:sz w:val="24"/>
          <w:szCs w:val="24"/>
        </w:rPr>
        <w:t>’s</w:t>
      </w:r>
      <w:r w:rsidRPr="007B4569">
        <w:rPr>
          <w:rFonts w:ascii="Tahoma" w:hAnsi="Tahoma" w:cs="Tahoma"/>
          <w:sz w:val="24"/>
          <w:szCs w:val="24"/>
        </w:rPr>
        <w:t xml:space="preserve"> Legal Practitioners</w:t>
      </w:r>
      <w:r>
        <w:rPr>
          <w:rFonts w:ascii="Tahoma" w:hAnsi="Tahoma" w:cs="Tahoma"/>
          <w:sz w:val="24"/>
          <w:szCs w:val="24"/>
        </w:rPr>
        <w:t xml:space="preserve"> for the attempt to mislead the court</w:t>
      </w:r>
      <w:r w:rsidRPr="007B4569">
        <w:rPr>
          <w:rFonts w:ascii="Tahoma" w:hAnsi="Tahoma" w:cs="Tahoma"/>
          <w:sz w:val="24"/>
          <w:szCs w:val="24"/>
        </w:rPr>
        <w:t>. Upon receipt of both letters the court directed the set down of the matter.</w:t>
      </w:r>
    </w:p>
    <w:p w:rsidR="0049071E" w:rsidRPr="00EB4277" w:rsidRDefault="0049071E" w:rsidP="0049071E">
      <w:pPr>
        <w:spacing w:line="360" w:lineRule="auto"/>
        <w:ind w:firstLine="720"/>
        <w:jc w:val="both"/>
        <w:rPr>
          <w:rFonts w:ascii="Tahoma" w:hAnsi="Tahoma" w:cs="Tahoma"/>
          <w:sz w:val="24"/>
          <w:szCs w:val="24"/>
        </w:rPr>
      </w:pPr>
      <w:r w:rsidRPr="00EB4277">
        <w:rPr>
          <w:rFonts w:ascii="Tahoma" w:hAnsi="Tahoma" w:cs="Tahoma"/>
          <w:sz w:val="24"/>
          <w:szCs w:val="24"/>
        </w:rPr>
        <w:t>The matter was reset for hearing on the 1</w:t>
      </w:r>
      <w:r w:rsidRPr="00EB4277">
        <w:rPr>
          <w:rFonts w:ascii="Tahoma" w:hAnsi="Tahoma" w:cs="Tahoma"/>
          <w:sz w:val="24"/>
          <w:szCs w:val="24"/>
          <w:vertAlign w:val="superscript"/>
        </w:rPr>
        <w:t>st</w:t>
      </w:r>
      <w:r w:rsidRPr="00EB4277">
        <w:rPr>
          <w:rFonts w:ascii="Tahoma" w:hAnsi="Tahoma" w:cs="Tahoma"/>
          <w:sz w:val="24"/>
          <w:szCs w:val="24"/>
        </w:rPr>
        <w:t xml:space="preserve"> of July, 2020. On the date of hearing</w:t>
      </w:r>
      <w:r>
        <w:rPr>
          <w:rFonts w:ascii="Tahoma" w:hAnsi="Tahoma" w:cs="Tahoma"/>
          <w:sz w:val="24"/>
          <w:szCs w:val="24"/>
        </w:rPr>
        <w:t>,</w:t>
      </w:r>
      <w:r w:rsidRPr="00EB4277">
        <w:rPr>
          <w:rFonts w:ascii="Tahoma" w:hAnsi="Tahoma" w:cs="Tahoma"/>
          <w:sz w:val="24"/>
          <w:szCs w:val="24"/>
        </w:rPr>
        <w:t xml:space="preserve"> Ms Mapange</w:t>
      </w:r>
      <w:r>
        <w:rPr>
          <w:rFonts w:ascii="Tahoma" w:hAnsi="Tahoma" w:cs="Tahoma"/>
          <w:sz w:val="24"/>
          <w:szCs w:val="24"/>
        </w:rPr>
        <w:t>,</w:t>
      </w:r>
      <w:r w:rsidRPr="00EB4277">
        <w:rPr>
          <w:rFonts w:ascii="Tahoma" w:hAnsi="Tahoma" w:cs="Tahoma"/>
          <w:sz w:val="24"/>
          <w:szCs w:val="24"/>
        </w:rPr>
        <w:t xml:space="preserve"> for the 1</w:t>
      </w:r>
      <w:r w:rsidRPr="00EB4277">
        <w:rPr>
          <w:rFonts w:ascii="Tahoma" w:hAnsi="Tahoma" w:cs="Tahoma"/>
          <w:sz w:val="24"/>
          <w:szCs w:val="24"/>
          <w:vertAlign w:val="superscript"/>
        </w:rPr>
        <w:t>st</w:t>
      </w:r>
      <w:r w:rsidRPr="00EB4277">
        <w:rPr>
          <w:rFonts w:ascii="Tahoma" w:hAnsi="Tahoma" w:cs="Tahoma"/>
          <w:sz w:val="24"/>
          <w:szCs w:val="24"/>
        </w:rPr>
        <w:t xml:space="preserve"> Respondent, then raised preliminary points. It was her submission that as the points were points of law they could be raised at any stage of the proceedings. The preliminary points were as follows;</w:t>
      </w:r>
    </w:p>
    <w:p w:rsidR="0049071E" w:rsidRPr="00E721BA" w:rsidRDefault="0049071E" w:rsidP="0049071E">
      <w:pPr>
        <w:pStyle w:val="ListParagraph"/>
        <w:numPr>
          <w:ilvl w:val="0"/>
          <w:numId w:val="1"/>
        </w:numPr>
        <w:jc w:val="both"/>
        <w:rPr>
          <w:rFonts w:ascii="Tahoma" w:hAnsi="Tahoma" w:cs="Tahoma"/>
        </w:rPr>
      </w:pPr>
      <w:r w:rsidRPr="00E721BA">
        <w:rPr>
          <w:rFonts w:ascii="Tahoma" w:hAnsi="Tahoma" w:cs="Tahoma"/>
        </w:rPr>
        <w:t>There had been no service of the application on the 1</w:t>
      </w:r>
      <w:r w:rsidRPr="00E721BA">
        <w:rPr>
          <w:rFonts w:ascii="Tahoma" w:hAnsi="Tahoma" w:cs="Tahoma"/>
          <w:vertAlign w:val="superscript"/>
        </w:rPr>
        <w:t>st</w:t>
      </w:r>
      <w:r w:rsidRPr="00E721BA">
        <w:rPr>
          <w:rFonts w:ascii="Tahoma" w:hAnsi="Tahoma" w:cs="Tahoma"/>
        </w:rPr>
        <w:t xml:space="preserve"> Respondent. In the absence of proof of service on the 1</w:t>
      </w:r>
      <w:r w:rsidRPr="00E721BA">
        <w:rPr>
          <w:rFonts w:ascii="Tahoma" w:hAnsi="Tahoma" w:cs="Tahoma"/>
          <w:vertAlign w:val="superscript"/>
        </w:rPr>
        <w:t>st</w:t>
      </w:r>
      <w:r w:rsidRPr="00E721BA">
        <w:rPr>
          <w:rFonts w:ascii="Tahoma" w:hAnsi="Tahoma" w:cs="Tahoma"/>
        </w:rPr>
        <w:t xml:space="preserve"> Respondent the proceedings before the court were consequently invalid.</w:t>
      </w:r>
    </w:p>
    <w:p w:rsidR="0049071E" w:rsidRPr="00E721BA" w:rsidRDefault="0049071E" w:rsidP="0049071E">
      <w:pPr>
        <w:pStyle w:val="ListParagraph"/>
        <w:numPr>
          <w:ilvl w:val="0"/>
          <w:numId w:val="1"/>
        </w:numPr>
        <w:jc w:val="both"/>
        <w:rPr>
          <w:rFonts w:ascii="Tahoma" w:hAnsi="Tahoma" w:cs="Tahoma"/>
        </w:rPr>
      </w:pPr>
      <w:r w:rsidRPr="00E721BA">
        <w:rPr>
          <w:rFonts w:ascii="Tahoma" w:hAnsi="Tahoma" w:cs="Tahoma"/>
        </w:rPr>
        <w:t>That the 1</w:t>
      </w:r>
      <w:r w:rsidRPr="00E721BA">
        <w:rPr>
          <w:rFonts w:ascii="Tahoma" w:hAnsi="Tahoma" w:cs="Tahoma"/>
          <w:vertAlign w:val="superscript"/>
        </w:rPr>
        <w:t>st</w:t>
      </w:r>
      <w:r w:rsidRPr="00E721BA">
        <w:rPr>
          <w:rFonts w:ascii="Tahoma" w:hAnsi="Tahoma" w:cs="Tahoma"/>
        </w:rPr>
        <w:t xml:space="preserve"> Respondent cited not being a legal persona the application before the court was invalid.</w:t>
      </w:r>
    </w:p>
    <w:p w:rsidR="0049071E" w:rsidRPr="00E721BA" w:rsidRDefault="0049071E" w:rsidP="0049071E">
      <w:pPr>
        <w:pStyle w:val="ListParagraph"/>
        <w:numPr>
          <w:ilvl w:val="0"/>
          <w:numId w:val="1"/>
        </w:numPr>
        <w:jc w:val="both"/>
        <w:rPr>
          <w:rFonts w:ascii="Tahoma" w:hAnsi="Tahoma" w:cs="Tahoma"/>
        </w:rPr>
      </w:pPr>
      <w:r w:rsidRPr="00E721BA">
        <w:rPr>
          <w:rFonts w:ascii="Tahoma" w:hAnsi="Tahoma" w:cs="Tahoma"/>
        </w:rPr>
        <w:t xml:space="preserve">The Applicant being a Designated Agent has no powers to issue a draft ruling </w:t>
      </w:r>
      <w:r>
        <w:rPr>
          <w:rFonts w:ascii="Tahoma" w:hAnsi="Tahoma" w:cs="Tahoma"/>
        </w:rPr>
        <w:t xml:space="preserve">and </w:t>
      </w:r>
      <w:r w:rsidRPr="00E721BA">
        <w:rPr>
          <w:rFonts w:ascii="Tahoma" w:hAnsi="Tahoma" w:cs="Tahoma"/>
        </w:rPr>
        <w:t>refer it for confirmation before the Labour Court.</w:t>
      </w:r>
    </w:p>
    <w:p w:rsidR="0049071E" w:rsidRPr="008C502A" w:rsidRDefault="0049071E" w:rsidP="0049071E">
      <w:pPr>
        <w:spacing w:line="360" w:lineRule="auto"/>
        <w:ind w:firstLine="720"/>
        <w:jc w:val="both"/>
        <w:rPr>
          <w:rFonts w:ascii="Tahoma" w:hAnsi="Tahoma" w:cs="Tahoma"/>
          <w:sz w:val="24"/>
          <w:szCs w:val="24"/>
        </w:rPr>
      </w:pPr>
      <w:r w:rsidRPr="008C502A">
        <w:rPr>
          <w:rFonts w:ascii="Tahoma" w:hAnsi="Tahoma" w:cs="Tahoma"/>
          <w:sz w:val="24"/>
          <w:szCs w:val="24"/>
        </w:rPr>
        <w:t>Mr Mafongoya, for the 2</w:t>
      </w:r>
      <w:r w:rsidRPr="008C502A">
        <w:rPr>
          <w:rFonts w:ascii="Tahoma" w:hAnsi="Tahoma" w:cs="Tahoma"/>
          <w:sz w:val="24"/>
          <w:szCs w:val="24"/>
          <w:vertAlign w:val="superscript"/>
        </w:rPr>
        <w:t>nd</w:t>
      </w:r>
      <w:r w:rsidRPr="008C502A">
        <w:rPr>
          <w:rFonts w:ascii="Tahoma" w:hAnsi="Tahoma" w:cs="Tahoma"/>
          <w:sz w:val="24"/>
          <w:szCs w:val="24"/>
        </w:rPr>
        <w:t xml:space="preserve"> Respondent in reply urged the court to dismiss all preliminary points. In relation to the third preliminary point he submitted that the point had clearly been overtaken by events. The Constitutional court had in the previous week issued its decision in the matter of</w:t>
      </w:r>
      <w:r w:rsidRPr="008C502A">
        <w:rPr>
          <w:rFonts w:ascii="Tahoma" w:hAnsi="Tahoma" w:cs="Tahoma"/>
          <w:b/>
          <w:sz w:val="24"/>
          <w:szCs w:val="24"/>
        </w:rPr>
        <w:t xml:space="preserve"> Zimoco Trading as Isoquant vs Darikwa CCZ |2020. </w:t>
      </w:r>
      <w:r w:rsidRPr="008C502A">
        <w:rPr>
          <w:rFonts w:ascii="Tahoma" w:hAnsi="Tahoma" w:cs="Tahoma"/>
          <w:sz w:val="24"/>
          <w:szCs w:val="24"/>
        </w:rPr>
        <w:t>It was now the position of the law</w:t>
      </w:r>
      <w:r w:rsidRPr="008C502A">
        <w:rPr>
          <w:rFonts w:ascii="Tahoma" w:hAnsi="Tahoma" w:cs="Tahoma"/>
          <w:b/>
          <w:sz w:val="24"/>
          <w:szCs w:val="24"/>
        </w:rPr>
        <w:t xml:space="preserve"> </w:t>
      </w:r>
      <w:r w:rsidRPr="008C502A">
        <w:rPr>
          <w:rFonts w:ascii="Tahoma" w:hAnsi="Tahoma" w:cs="Tahoma"/>
          <w:sz w:val="24"/>
          <w:szCs w:val="24"/>
        </w:rPr>
        <w:t>on the basis of this decision that Design</w:t>
      </w:r>
      <w:r>
        <w:rPr>
          <w:rFonts w:ascii="Tahoma" w:hAnsi="Tahoma" w:cs="Tahoma"/>
          <w:sz w:val="24"/>
          <w:szCs w:val="24"/>
        </w:rPr>
        <w:t>ated Agents, after failing to re</w:t>
      </w:r>
      <w:r w:rsidRPr="008C502A">
        <w:rPr>
          <w:rFonts w:ascii="Tahoma" w:hAnsi="Tahoma" w:cs="Tahoma"/>
          <w:sz w:val="24"/>
          <w:szCs w:val="24"/>
        </w:rPr>
        <w:t xml:space="preserve">dress a dispute, and upon issuance of a Certificate of No Settlement, are empowered to draw up a draft ruling which draft ruling can </w:t>
      </w:r>
      <w:r>
        <w:rPr>
          <w:rFonts w:ascii="Tahoma" w:hAnsi="Tahoma" w:cs="Tahoma"/>
          <w:sz w:val="24"/>
          <w:szCs w:val="24"/>
        </w:rPr>
        <w:t xml:space="preserve">then </w:t>
      </w:r>
      <w:r w:rsidRPr="008C502A">
        <w:rPr>
          <w:rFonts w:ascii="Tahoma" w:hAnsi="Tahoma" w:cs="Tahoma"/>
          <w:sz w:val="24"/>
          <w:szCs w:val="24"/>
        </w:rPr>
        <w:t xml:space="preserve">be referred to the Labour Court under </w:t>
      </w:r>
      <w:r w:rsidRPr="008C502A">
        <w:rPr>
          <w:rFonts w:ascii="Tahoma" w:hAnsi="Tahoma" w:cs="Tahoma"/>
          <w:b/>
          <w:sz w:val="24"/>
          <w:szCs w:val="24"/>
        </w:rPr>
        <w:t>Section 93(5)(c)</w:t>
      </w:r>
      <w:r w:rsidRPr="008C502A">
        <w:rPr>
          <w:rFonts w:ascii="Tahoma" w:hAnsi="Tahoma" w:cs="Tahoma"/>
          <w:sz w:val="24"/>
          <w:szCs w:val="24"/>
        </w:rPr>
        <w:t xml:space="preserve"> </w:t>
      </w:r>
      <w:r w:rsidRPr="008C502A">
        <w:rPr>
          <w:rFonts w:ascii="Tahoma" w:hAnsi="Tahoma" w:cs="Tahoma"/>
          <w:sz w:val="24"/>
          <w:szCs w:val="24"/>
        </w:rPr>
        <w:lastRenderedPageBreak/>
        <w:t xml:space="preserve">of the </w:t>
      </w:r>
      <w:r w:rsidRPr="008C502A">
        <w:rPr>
          <w:rFonts w:ascii="Tahoma" w:hAnsi="Tahoma" w:cs="Tahoma"/>
          <w:b/>
          <w:sz w:val="24"/>
          <w:szCs w:val="24"/>
        </w:rPr>
        <w:t>Labour Act [Cap 28:01]</w:t>
      </w:r>
      <w:r w:rsidRPr="008C502A">
        <w:rPr>
          <w:rFonts w:ascii="Tahoma" w:hAnsi="Tahoma" w:cs="Tahoma"/>
          <w:sz w:val="24"/>
          <w:szCs w:val="24"/>
        </w:rPr>
        <w:t xml:space="preserve">. The preliminary point not having any basis at law clearly stood to be dismissed. </w:t>
      </w:r>
    </w:p>
    <w:p w:rsidR="0049071E" w:rsidRPr="008C502A" w:rsidRDefault="0049071E" w:rsidP="0049071E">
      <w:pPr>
        <w:spacing w:line="360" w:lineRule="auto"/>
        <w:ind w:firstLine="720"/>
        <w:jc w:val="both"/>
        <w:rPr>
          <w:rFonts w:ascii="Tahoma" w:hAnsi="Tahoma" w:cs="Tahoma"/>
          <w:sz w:val="24"/>
          <w:szCs w:val="24"/>
        </w:rPr>
      </w:pPr>
      <w:r w:rsidRPr="008C502A">
        <w:rPr>
          <w:rFonts w:ascii="Tahoma" w:hAnsi="Tahoma" w:cs="Tahoma"/>
          <w:sz w:val="24"/>
          <w:szCs w:val="24"/>
        </w:rPr>
        <w:t>In regards the second preliminary point it was 2</w:t>
      </w:r>
      <w:r w:rsidRPr="008C502A">
        <w:rPr>
          <w:rFonts w:ascii="Tahoma" w:hAnsi="Tahoma" w:cs="Tahoma"/>
          <w:sz w:val="24"/>
          <w:szCs w:val="24"/>
          <w:vertAlign w:val="superscript"/>
        </w:rPr>
        <w:t>nd</w:t>
      </w:r>
      <w:r w:rsidRPr="008C502A">
        <w:rPr>
          <w:rFonts w:ascii="Tahoma" w:hAnsi="Tahoma" w:cs="Tahoma"/>
          <w:sz w:val="24"/>
          <w:szCs w:val="24"/>
        </w:rPr>
        <w:t xml:space="preserve"> Respondent contention that the point also stood to be dismissed. The record clearly showed that the 1</w:t>
      </w:r>
      <w:r w:rsidRPr="008C502A">
        <w:rPr>
          <w:rFonts w:ascii="Tahoma" w:hAnsi="Tahoma" w:cs="Tahoma"/>
          <w:sz w:val="24"/>
          <w:szCs w:val="24"/>
          <w:vertAlign w:val="superscript"/>
        </w:rPr>
        <w:t>st</w:t>
      </w:r>
      <w:r w:rsidRPr="008C502A">
        <w:rPr>
          <w:rFonts w:ascii="Tahoma" w:hAnsi="Tahoma" w:cs="Tahoma"/>
          <w:sz w:val="24"/>
          <w:szCs w:val="24"/>
        </w:rPr>
        <w:t xml:space="preserve"> Respondent had at all times held itself to be Vital Logistics. The 1</w:t>
      </w:r>
      <w:r w:rsidRPr="008C502A">
        <w:rPr>
          <w:rFonts w:ascii="Tahoma" w:hAnsi="Tahoma" w:cs="Tahoma"/>
          <w:sz w:val="24"/>
          <w:szCs w:val="24"/>
          <w:vertAlign w:val="superscript"/>
        </w:rPr>
        <w:t>st</w:t>
      </w:r>
      <w:r w:rsidRPr="008C502A">
        <w:rPr>
          <w:rFonts w:ascii="Tahoma" w:hAnsi="Tahoma" w:cs="Tahoma"/>
          <w:sz w:val="24"/>
          <w:szCs w:val="24"/>
        </w:rPr>
        <w:t xml:space="preserve"> Respondent had also not taken the point before the Applicant. Even if the 1</w:t>
      </w:r>
      <w:r w:rsidRPr="008C502A">
        <w:rPr>
          <w:rFonts w:ascii="Tahoma" w:hAnsi="Tahoma" w:cs="Tahoma"/>
          <w:sz w:val="24"/>
          <w:szCs w:val="24"/>
          <w:vertAlign w:val="superscript"/>
        </w:rPr>
        <w:t>st</w:t>
      </w:r>
      <w:r w:rsidRPr="008C502A">
        <w:rPr>
          <w:rFonts w:ascii="Tahoma" w:hAnsi="Tahoma" w:cs="Tahoma"/>
          <w:sz w:val="24"/>
          <w:szCs w:val="24"/>
        </w:rPr>
        <w:t xml:space="preserve"> Respondent was entitled to raise the point as a point of law the court however had powers to grant an application to amend the citation.</w:t>
      </w:r>
      <w:r>
        <w:rPr>
          <w:rFonts w:ascii="Tahoma" w:hAnsi="Tahoma" w:cs="Tahoma"/>
          <w:sz w:val="24"/>
          <w:szCs w:val="24"/>
        </w:rPr>
        <w:t xml:space="preserve"> The</w:t>
      </w:r>
      <w:r w:rsidRPr="008C502A">
        <w:rPr>
          <w:rFonts w:ascii="Tahoma" w:hAnsi="Tahoma" w:cs="Tahoma"/>
          <w:sz w:val="24"/>
          <w:szCs w:val="24"/>
        </w:rPr>
        <w:t xml:space="preserve"> 2</w:t>
      </w:r>
      <w:r w:rsidRPr="008C502A">
        <w:rPr>
          <w:rFonts w:ascii="Tahoma" w:hAnsi="Tahoma" w:cs="Tahoma"/>
          <w:sz w:val="24"/>
          <w:szCs w:val="24"/>
          <w:vertAlign w:val="superscript"/>
        </w:rPr>
        <w:t>nd</w:t>
      </w:r>
      <w:r w:rsidRPr="008C502A">
        <w:rPr>
          <w:rFonts w:ascii="Tahoma" w:hAnsi="Tahoma" w:cs="Tahoma"/>
          <w:sz w:val="24"/>
          <w:szCs w:val="24"/>
        </w:rPr>
        <w:t xml:space="preserve"> Respondent was therefore applying to amend the 1</w:t>
      </w:r>
      <w:r w:rsidRPr="008C502A">
        <w:rPr>
          <w:rFonts w:ascii="Tahoma" w:hAnsi="Tahoma" w:cs="Tahoma"/>
          <w:sz w:val="24"/>
          <w:szCs w:val="24"/>
          <w:vertAlign w:val="superscript"/>
        </w:rPr>
        <w:t>st</w:t>
      </w:r>
      <w:r w:rsidRPr="008C502A">
        <w:rPr>
          <w:rFonts w:ascii="Tahoma" w:hAnsi="Tahoma" w:cs="Tahoma"/>
          <w:sz w:val="24"/>
          <w:szCs w:val="24"/>
        </w:rPr>
        <w:t xml:space="preserve"> Respondent citation by the insertion of (Pvt) and (Ltd) after Vital Logistics. It was submitted that 1</w:t>
      </w:r>
      <w:r w:rsidRPr="008C502A">
        <w:rPr>
          <w:rFonts w:ascii="Tahoma" w:hAnsi="Tahoma" w:cs="Tahoma"/>
          <w:sz w:val="24"/>
          <w:szCs w:val="24"/>
          <w:vertAlign w:val="superscript"/>
        </w:rPr>
        <w:t>st</w:t>
      </w:r>
      <w:r w:rsidRPr="008C502A">
        <w:rPr>
          <w:rFonts w:ascii="Tahoma" w:hAnsi="Tahoma" w:cs="Tahoma"/>
          <w:sz w:val="24"/>
          <w:szCs w:val="24"/>
        </w:rPr>
        <w:t xml:space="preserve"> Respondent would not suffer any prejudice were the amendment to be granted by the court.</w:t>
      </w:r>
    </w:p>
    <w:p w:rsidR="0049071E" w:rsidRPr="008C502A" w:rsidRDefault="0049071E" w:rsidP="0049071E">
      <w:pPr>
        <w:spacing w:line="360" w:lineRule="auto"/>
        <w:ind w:firstLine="720"/>
        <w:jc w:val="both"/>
        <w:rPr>
          <w:rFonts w:ascii="Tahoma" w:hAnsi="Tahoma" w:cs="Tahoma"/>
          <w:sz w:val="24"/>
          <w:szCs w:val="24"/>
        </w:rPr>
      </w:pPr>
      <w:r w:rsidRPr="008C502A">
        <w:rPr>
          <w:rFonts w:ascii="Tahoma" w:hAnsi="Tahoma" w:cs="Tahoma"/>
          <w:sz w:val="24"/>
          <w:szCs w:val="24"/>
        </w:rPr>
        <w:t>It was Mr Mafongoya’s further submission that the first point in limine also stood to be dismissed. The record showed that on 1</w:t>
      </w:r>
      <w:r w:rsidRPr="008C502A">
        <w:rPr>
          <w:rFonts w:ascii="Tahoma" w:hAnsi="Tahoma" w:cs="Tahoma"/>
          <w:sz w:val="24"/>
          <w:szCs w:val="24"/>
          <w:vertAlign w:val="superscript"/>
        </w:rPr>
        <w:t>st</w:t>
      </w:r>
      <w:r w:rsidRPr="008C502A">
        <w:rPr>
          <w:rFonts w:ascii="Tahoma" w:hAnsi="Tahoma" w:cs="Tahoma"/>
          <w:sz w:val="24"/>
          <w:szCs w:val="24"/>
        </w:rPr>
        <w:t xml:space="preserve"> of March 2020 1</w:t>
      </w:r>
      <w:r w:rsidRPr="008C502A">
        <w:rPr>
          <w:rFonts w:ascii="Tahoma" w:hAnsi="Tahoma" w:cs="Tahoma"/>
          <w:sz w:val="24"/>
          <w:szCs w:val="24"/>
          <w:vertAlign w:val="superscript"/>
        </w:rPr>
        <w:t>st</w:t>
      </w:r>
      <w:r w:rsidRPr="008C502A">
        <w:rPr>
          <w:rFonts w:ascii="Tahoma" w:hAnsi="Tahoma" w:cs="Tahoma"/>
          <w:sz w:val="24"/>
          <w:szCs w:val="24"/>
        </w:rPr>
        <w:t xml:space="preserve"> Respondent was represented by Ms Takaendesa, Human Resources Director. Her attendance on that date clearly indicated that 1</w:t>
      </w:r>
      <w:r w:rsidRPr="008C502A">
        <w:rPr>
          <w:rFonts w:ascii="Tahoma" w:hAnsi="Tahoma" w:cs="Tahoma"/>
          <w:sz w:val="24"/>
          <w:szCs w:val="24"/>
          <w:vertAlign w:val="superscript"/>
        </w:rPr>
        <w:t>st</w:t>
      </w:r>
      <w:r w:rsidRPr="008C502A">
        <w:rPr>
          <w:rFonts w:ascii="Tahoma" w:hAnsi="Tahoma" w:cs="Tahoma"/>
          <w:sz w:val="24"/>
          <w:szCs w:val="24"/>
        </w:rPr>
        <w:t xml:space="preserve"> Respondent had in fact been served with the application. The 1</w:t>
      </w:r>
      <w:r w:rsidRPr="008C502A">
        <w:rPr>
          <w:rFonts w:ascii="Tahoma" w:hAnsi="Tahoma" w:cs="Tahoma"/>
          <w:sz w:val="24"/>
          <w:szCs w:val="24"/>
          <w:vertAlign w:val="superscript"/>
        </w:rPr>
        <w:t>st</w:t>
      </w:r>
      <w:r w:rsidRPr="008C502A">
        <w:rPr>
          <w:rFonts w:ascii="Tahoma" w:hAnsi="Tahoma" w:cs="Tahoma"/>
          <w:sz w:val="24"/>
          <w:szCs w:val="24"/>
        </w:rPr>
        <w:t xml:space="preserve"> Respondent could not be allowed to now claim it was not served in such circumstances. Mr Mafongoya also dismissed the attempt by Ms Mapange for 1</w:t>
      </w:r>
      <w:r w:rsidRPr="008C502A">
        <w:rPr>
          <w:rFonts w:ascii="Tahoma" w:hAnsi="Tahoma" w:cs="Tahoma"/>
          <w:sz w:val="24"/>
          <w:szCs w:val="24"/>
          <w:vertAlign w:val="superscript"/>
        </w:rPr>
        <w:t>st</w:t>
      </w:r>
      <w:r>
        <w:rPr>
          <w:rFonts w:ascii="Tahoma" w:hAnsi="Tahoma" w:cs="Tahoma"/>
          <w:sz w:val="24"/>
          <w:szCs w:val="24"/>
        </w:rPr>
        <w:t xml:space="preserve"> Respondent to suggest</w:t>
      </w:r>
      <w:r w:rsidRPr="008C502A">
        <w:rPr>
          <w:rFonts w:ascii="Tahoma" w:hAnsi="Tahoma" w:cs="Tahoma"/>
          <w:sz w:val="24"/>
          <w:szCs w:val="24"/>
        </w:rPr>
        <w:t xml:space="preserve"> that she had been served with application in this case on the 26</w:t>
      </w:r>
      <w:r w:rsidRPr="008C502A">
        <w:rPr>
          <w:rFonts w:ascii="Tahoma" w:hAnsi="Tahoma" w:cs="Tahoma"/>
          <w:sz w:val="24"/>
          <w:szCs w:val="24"/>
          <w:vertAlign w:val="superscript"/>
        </w:rPr>
        <w:t>th</w:t>
      </w:r>
      <w:r w:rsidRPr="008C502A">
        <w:rPr>
          <w:rFonts w:ascii="Tahoma" w:hAnsi="Tahoma" w:cs="Tahoma"/>
          <w:sz w:val="24"/>
          <w:szCs w:val="24"/>
        </w:rPr>
        <w:t xml:space="preserve"> of June, 2020. It was clear the service that she was referring</w:t>
      </w:r>
      <w:r>
        <w:rPr>
          <w:rFonts w:ascii="Tahoma" w:hAnsi="Tahoma" w:cs="Tahoma"/>
          <w:sz w:val="24"/>
          <w:szCs w:val="24"/>
        </w:rPr>
        <w:t xml:space="preserve"> pertained</w:t>
      </w:r>
      <w:r w:rsidRPr="008C502A">
        <w:rPr>
          <w:rFonts w:ascii="Tahoma" w:hAnsi="Tahoma" w:cs="Tahoma"/>
          <w:sz w:val="24"/>
          <w:szCs w:val="24"/>
        </w:rPr>
        <w:t xml:space="preserve"> to a different matter. Mr Mafongoya called for censure of Ms Mapange for her unprofessional conduct in this regard.</w:t>
      </w:r>
    </w:p>
    <w:p w:rsidR="0049071E" w:rsidRPr="008C502A" w:rsidRDefault="0049071E" w:rsidP="0049071E">
      <w:pPr>
        <w:spacing w:line="360" w:lineRule="auto"/>
        <w:ind w:firstLine="720"/>
        <w:jc w:val="both"/>
        <w:rPr>
          <w:rFonts w:ascii="Tahoma" w:hAnsi="Tahoma" w:cs="Tahoma"/>
          <w:sz w:val="24"/>
          <w:szCs w:val="24"/>
        </w:rPr>
      </w:pPr>
      <w:r w:rsidRPr="008C502A">
        <w:rPr>
          <w:rFonts w:ascii="Tahoma" w:hAnsi="Tahoma" w:cs="Tahoma"/>
          <w:sz w:val="24"/>
          <w:szCs w:val="24"/>
        </w:rPr>
        <w:t xml:space="preserve">Ms Mapange, in reply insisted that, the second point was a valid objection. There being no legal person known as Vital Logistics the point ought to be upheld by the court. She referred to </w:t>
      </w:r>
      <w:r w:rsidRPr="008C502A">
        <w:rPr>
          <w:rFonts w:ascii="Tahoma" w:hAnsi="Tahoma" w:cs="Tahoma"/>
          <w:b/>
          <w:sz w:val="24"/>
          <w:szCs w:val="24"/>
        </w:rPr>
        <w:t>JDM Agro Consult and Marketing (Pvt)Ltd and another HC | 513|06</w:t>
      </w:r>
      <w:r w:rsidRPr="008C502A">
        <w:rPr>
          <w:rFonts w:ascii="Tahoma" w:hAnsi="Tahoma" w:cs="Tahoma"/>
          <w:sz w:val="24"/>
          <w:szCs w:val="24"/>
        </w:rPr>
        <w:t>. After the bearing both parties filed authorities in support o</w:t>
      </w:r>
      <w:r>
        <w:rPr>
          <w:rFonts w:ascii="Tahoma" w:hAnsi="Tahoma" w:cs="Tahoma"/>
          <w:sz w:val="24"/>
          <w:szCs w:val="24"/>
        </w:rPr>
        <w:t>f</w:t>
      </w:r>
      <w:r w:rsidRPr="008C502A">
        <w:rPr>
          <w:rFonts w:ascii="Tahoma" w:hAnsi="Tahoma" w:cs="Tahoma"/>
          <w:sz w:val="24"/>
          <w:szCs w:val="24"/>
        </w:rPr>
        <w:t xml:space="preserve"> their diverse positions.</w:t>
      </w:r>
    </w:p>
    <w:p w:rsidR="0049071E" w:rsidRDefault="0049071E" w:rsidP="0049071E">
      <w:pPr>
        <w:spacing w:line="360" w:lineRule="auto"/>
        <w:ind w:firstLine="720"/>
        <w:jc w:val="both"/>
        <w:rPr>
          <w:rFonts w:ascii="Tahoma" w:hAnsi="Tahoma" w:cs="Tahoma"/>
          <w:sz w:val="24"/>
          <w:szCs w:val="24"/>
        </w:rPr>
      </w:pPr>
      <w:r w:rsidRPr="008C502A">
        <w:rPr>
          <w:rFonts w:ascii="Tahoma" w:hAnsi="Tahoma" w:cs="Tahoma"/>
          <w:sz w:val="24"/>
          <w:szCs w:val="24"/>
        </w:rPr>
        <w:t>It behoves the court to address the 2</w:t>
      </w:r>
      <w:r w:rsidRPr="008C502A">
        <w:rPr>
          <w:rFonts w:ascii="Tahoma" w:hAnsi="Tahoma" w:cs="Tahoma"/>
          <w:sz w:val="24"/>
          <w:szCs w:val="24"/>
          <w:vertAlign w:val="superscript"/>
        </w:rPr>
        <w:t>nd</w:t>
      </w:r>
      <w:r w:rsidRPr="008C502A">
        <w:rPr>
          <w:rFonts w:ascii="Tahoma" w:hAnsi="Tahoma" w:cs="Tahoma"/>
          <w:sz w:val="24"/>
          <w:szCs w:val="24"/>
        </w:rPr>
        <w:t xml:space="preserve"> preliminary point first as it has the potential of being dispositive of the matter should the court find that the point is with merit.</w:t>
      </w:r>
    </w:p>
    <w:p w:rsidR="0049071E" w:rsidRPr="008C502A" w:rsidRDefault="0049071E" w:rsidP="0049071E">
      <w:pPr>
        <w:spacing w:line="360" w:lineRule="auto"/>
        <w:ind w:firstLine="720"/>
        <w:jc w:val="both"/>
        <w:rPr>
          <w:rFonts w:ascii="Tahoma" w:hAnsi="Tahoma" w:cs="Tahoma"/>
          <w:sz w:val="24"/>
          <w:szCs w:val="24"/>
        </w:rPr>
      </w:pPr>
    </w:p>
    <w:p w:rsidR="0049071E" w:rsidRPr="00E721BA" w:rsidRDefault="0049071E" w:rsidP="0049071E">
      <w:pPr>
        <w:spacing w:line="360" w:lineRule="auto"/>
        <w:ind w:firstLine="720"/>
        <w:jc w:val="both"/>
        <w:rPr>
          <w:rFonts w:ascii="Tahoma" w:hAnsi="Tahoma" w:cs="Tahoma"/>
          <w:b/>
          <w:sz w:val="24"/>
          <w:szCs w:val="24"/>
        </w:rPr>
      </w:pPr>
      <w:r w:rsidRPr="00E721BA">
        <w:rPr>
          <w:rFonts w:ascii="Tahoma" w:hAnsi="Tahoma" w:cs="Tahoma"/>
          <w:b/>
          <w:sz w:val="24"/>
          <w:szCs w:val="24"/>
        </w:rPr>
        <w:lastRenderedPageBreak/>
        <w:t>WHETHER THE 1</w:t>
      </w:r>
      <w:r w:rsidRPr="00E721BA">
        <w:rPr>
          <w:rFonts w:ascii="Tahoma" w:hAnsi="Tahoma" w:cs="Tahoma"/>
          <w:b/>
          <w:sz w:val="24"/>
          <w:szCs w:val="24"/>
          <w:vertAlign w:val="superscript"/>
        </w:rPr>
        <w:t>ST</w:t>
      </w:r>
      <w:r w:rsidRPr="00E721BA">
        <w:rPr>
          <w:rFonts w:ascii="Tahoma" w:hAnsi="Tahoma" w:cs="Tahoma"/>
          <w:b/>
          <w:sz w:val="24"/>
          <w:szCs w:val="24"/>
        </w:rPr>
        <w:t xml:space="preserve"> RESPONDENT HAS BEEN PROPERLY CITED</w:t>
      </w:r>
    </w:p>
    <w:p w:rsidR="0049071E" w:rsidRPr="0078421E" w:rsidRDefault="0049071E" w:rsidP="0049071E">
      <w:pPr>
        <w:spacing w:line="360" w:lineRule="auto"/>
        <w:ind w:firstLine="720"/>
        <w:jc w:val="both"/>
        <w:rPr>
          <w:rFonts w:ascii="Tahoma" w:hAnsi="Tahoma" w:cs="Tahoma"/>
          <w:sz w:val="24"/>
          <w:szCs w:val="24"/>
        </w:rPr>
      </w:pPr>
      <w:r w:rsidRPr="0078421E">
        <w:rPr>
          <w:rFonts w:ascii="Tahoma" w:hAnsi="Tahoma" w:cs="Tahoma"/>
          <w:sz w:val="24"/>
          <w:szCs w:val="24"/>
        </w:rPr>
        <w:t>The 1</w:t>
      </w:r>
      <w:r w:rsidRPr="0078421E">
        <w:rPr>
          <w:rFonts w:ascii="Tahoma" w:hAnsi="Tahoma" w:cs="Tahoma"/>
          <w:sz w:val="24"/>
          <w:szCs w:val="24"/>
          <w:vertAlign w:val="superscript"/>
        </w:rPr>
        <w:t>st</w:t>
      </w:r>
      <w:r w:rsidRPr="0078421E">
        <w:rPr>
          <w:rFonts w:ascii="Tahoma" w:hAnsi="Tahoma" w:cs="Tahoma"/>
          <w:sz w:val="24"/>
          <w:szCs w:val="24"/>
        </w:rPr>
        <w:t xml:space="preserve"> Respondent made a submission that having been cited as Vital Logistics as opposed to Vital Logistics (Pvt) Ltd the proceedings before this court are </w:t>
      </w:r>
      <w:r>
        <w:rPr>
          <w:rFonts w:ascii="Tahoma" w:hAnsi="Tahoma" w:cs="Tahoma"/>
          <w:sz w:val="24"/>
          <w:szCs w:val="24"/>
        </w:rPr>
        <w:t xml:space="preserve">a </w:t>
      </w:r>
      <w:r w:rsidRPr="0078421E">
        <w:rPr>
          <w:rFonts w:ascii="Tahoma" w:hAnsi="Tahoma" w:cs="Tahoma"/>
          <w:sz w:val="24"/>
          <w:szCs w:val="24"/>
        </w:rPr>
        <w:t>nullity for want of proper description. The 1</w:t>
      </w:r>
      <w:r w:rsidRPr="0078421E">
        <w:rPr>
          <w:rFonts w:ascii="Tahoma" w:hAnsi="Tahoma" w:cs="Tahoma"/>
          <w:sz w:val="24"/>
          <w:szCs w:val="24"/>
          <w:vertAlign w:val="superscript"/>
        </w:rPr>
        <w:t>st</w:t>
      </w:r>
      <w:r w:rsidRPr="0078421E">
        <w:rPr>
          <w:rFonts w:ascii="Tahoma" w:hAnsi="Tahoma" w:cs="Tahoma"/>
          <w:sz w:val="24"/>
          <w:szCs w:val="24"/>
        </w:rPr>
        <w:t xml:space="preserve"> Respondent relied on the authority of</w:t>
      </w:r>
      <w:r w:rsidRPr="0078421E">
        <w:rPr>
          <w:rFonts w:ascii="Tahoma" w:hAnsi="Tahoma" w:cs="Tahoma"/>
          <w:b/>
          <w:sz w:val="24"/>
          <w:szCs w:val="24"/>
        </w:rPr>
        <w:t xml:space="preserve"> JDM Agro Consult and Marketing (Pvt) Ltd v the Editor, the Herald 2007(2)ZLR 71(H).</w:t>
      </w:r>
    </w:p>
    <w:p w:rsidR="0049071E" w:rsidRPr="0078421E" w:rsidRDefault="0049071E" w:rsidP="0049071E">
      <w:pPr>
        <w:spacing w:line="360" w:lineRule="auto"/>
        <w:ind w:firstLine="720"/>
        <w:jc w:val="both"/>
        <w:rPr>
          <w:rFonts w:ascii="Tahoma" w:hAnsi="Tahoma" w:cs="Tahoma"/>
          <w:sz w:val="24"/>
          <w:szCs w:val="24"/>
        </w:rPr>
      </w:pPr>
      <w:r w:rsidRPr="0078421E">
        <w:rPr>
          <w:rFonts w:ascii="Tahoma" w:hAnsi="Tahoma" w:cs="Tahoma"/>
          <w:sz w:val="24"/>
          <w:szCs w:val="24"/>
        </w:rPr>
        <w:t>In</w:t>
      </w:r>
      <w:r w:rsidRPr="0078421E">
        <w:rPr>
          <w:rFonts w:ascii="Tahoma" w:hAnsi="Tahoma" w:cs="Tahoma"/>
          <w:b/>
          <w:sz w:val="24"/>
          <w:szCs w:val="24"/>
        </w:rPr>
        <w:t xml:space="preserve"> JDM Agro Consult and Marketing matter Gowora J</w:t>
      </w:r>
      <w:r w:rsidRPr="0078421E">
        <w:rPr>
          <w:rFonts w:ascii="Tahoma" w:hAnsi="Tahoma" w:cs="Tahoma"/>
          <w:sz w:val="24"/>
          <w:szCs w:val="24"/>
        </w:rPr>
        <w:t xml:space="preserve"> </w:t>
      </w:r>
      <w:r>
        <w:rPr>
          <w:rFonts w:ascii="Tahoma" w:hAnsi="Tahoma" w:cs="Tahoma"/>
          <w:sz w:val="24"/>
          <w:szCs w:val="24"/>
        </w:rPr>
        <w:t xml:space="preserve">(as she then was) </w:t>
      </w:r>
      <w:r w:rsidRPr="0078421E">
        <w:rPr>
          <w:rFonts w:ascii="Tahoma" w:hAnsi="Tahoma" w:cs="Tahoma"/>
          <w:sz w:val="24"/>
          <w:szCs w:val="24"/>
        </w:rPr>
        <w:t xml:space="preserve">in placing reliance on an earlier decision in </w:t>
      </w:r>
      <w:r w:rsidRPr="0078421E">
        <w:rPr>
          <w:rFonts w:ascii="Tahoma" w:hAnsi="Tahoma" w:cs="Tahoma"/>
          <w:b/>
          <w:sz w:val="24"/>
          <w:szCs w:val="24"/>
        </w:rPr>
        <w:t>Gariya Safaris (Pvt) Ltd vs Van Wyk</w:t>
      </w:r>
      <w:r w:rsidRPr="0078421E">
        <w:rPr>
          <w:rFonts w:ascii="Tahoma" w:hAnsi="Tahoma" w:cs="Tahoma"/>
          <w:sz w:val="24"/>
          <w:szCs w:val="24"/>
        </w:rPr>
        <w:t xml:space="preserve"> reached the conclusion that the 2</w:t>
      </w:r>
      <w:r w:rsidRPr="0078421E">
        <w:rPr>
          <w:rFonts w:ascii="Tahoma" w:hAnsi="Tahoma" w:cs="Tahoma"/>
          <w:sz w:val="24"/>
          <w:szCs w:val="24"/>
          <w:vertAlign w:val="superscript"/>
        </w:rPr>
        <w:t>nd</w:t>
      </w:r>
      <w:r w:rsidRPr="0078421E">
        <w:rPr>
          <w:rFonts w:ascii="Tahoma" w:hAnsi="Tahoma" w:cs="Tahoma"/>
          <w:sz w:val="24"/>
          <w:szCs w:val="24"/>
        </w:rPr>
        <w:t xml:space="preserve"> defendant in the matter had been improperly cited she found that.</w:t>
      </w:r>
      <w:r>
        <w:rPr>
          <w:rFonts w:ascii="Tahoma" w:hAnsi="Tahoma" w:cs="Tahoma"/>
          <w:sz w:val="24"/>
          <w:szCs w:val="24"/>
        </w:rPr>
        <w:t xml:space="preserve"> She found that i</w:t>
      </w:r>
      <w:r w:rsidRPr="0078421E">
        <w:rPr>
          <w:rFonts w:ascii="Tahoma" w:hAnsi="Tahoma" w:cs="Tahoma"/>
          <w:sz w:val="24"/>
          <w:szCs w:val="24"/>
        </w:rPr>
        <w:t>n the form</w:t>
      </w:r>
      <w:r>
        <w:rPr>
          <w:rFonts w:ascii="Tahoma" w:hAnsi="Tahoma" w:cs="Tahoma"/>
          <w:sz w:val="24"/>
          <w:szCs w:val="24"/>
        </w:rPr>
        <w:t xml:space="preserve"> in which</w:t>
      </w:r>
      <w:r w:rsidRPr="0078421E">
        <w:rPr>
          <w:rFonts w:ascii="Tahoma" w:hAnsi="Tahoma" w:cs="Tahoma"/>
          <w:sz w:val="24"/>
          <w:szCs w:val="24"/>
        </w:rPr>
        <w:t xml:space="preserve"> 2</w:t>
      </w:r>
      <w:r w:rsidRPr="0078421E">
        <w:rPr>
          <w:rFonts w:ascii="Tahoma" w:hAnsi="Tahoma" w:cs="Tahoma"/>
          <w:sz w:val="24"/>
          <w:szCs w:val="24"/>
          <w:vertAlign w:val="superscript"/>
        </w:rPr>
        <w:t>nd</w:t>
      </w:r>
      <w:r w:rsidRPr="0078421E">
        <w:rPr>
          <w:rFonts w:ascii="Tahoma" w:hAnsi="Tahoma" w:cs="Tahoma"/>
          <w:sz w:val="24"/>
          <w:szCs w:val="24"/>
        </w:rPr>
        <w:t xml:space="preserve"> Respondent had been cited it was not a natural or legal persona</w:t>
      </w:r>
      <w:r>
        <w:rPr>
          <w:rFonts w:ascii="Tahoma" w:hAnsi="Tahoma" w:cs="Tahoma"/>
          <w:sz w:val="24"/>
          <w:szCs w:val="24"/>
        </w:rPr>
        <w:t>. T</w:t>
      </w:r>
      <w:r w:rsidRPr="0078421E">
        <w:rPr>
          <w:rFonts w:ascii="Tahoma" w:hAnsi="Tahoma" w:cs="Tahoma"/>
          <w:sz w:val="24"/>
          <w:szCs w:val="24"/>
        </w:rPr>
        <w:t>he citation was therefore irregular.</w:t>
      </w:r>
    </w:p>
    <w:p w:rsidR="0049071E" w:rsidRDefault="0049071E" w:rsidP="0049071E">
      <w:pPr>
        <w:spacing w:line="360" w:lineRule="auto"/>
        <w:ind w:firstLine="720"/>
        <w:jc w:val="both"/>
        <w:rPr>
          <w:rFonts w:ascii="Tahoma" w:hAnsi="Tahoma" w:cs="Tahoma"/>
          <w:sz w:val="24"/>
          <w:szCs w:val="24"/>
        </w:rPr>
      </w:pPr>
      <w:r w:rsidRPr="0078421E">
        <w:rPr>
          <w:rFonts w:ascii="Tahoma" w:hAnsi="Tahoma" w:cs="Tahoma"/>
          <w:sz w:val="24"/>
          <w:szCs w:val="24"/>
        </w:rPr>
        <w:t xml:space="preserve">The same reasoning was also followed by the Supreme Court in </w:t>
      </w:r>
      <w:r w:rsidRPr="0078421E">
        <w:rPr>
          <w:rFonts w:ascii="Tahoma" w:hAnsi="Tahoma" w:cs="Tahoma"/>
          <w:b/>
          <w:sz w:val="24"/>
          <w:szCs w:val="24"/>
        </w:rPr>
        <w:t xml:space="preserve">Fadzayi John vs Delta Beverages SC 40|17 </w:t>
      </w:r>
      <w:r w:rsidRPr="0078421E">
        <w:rPr>
          <w:rFonts w:ascii="Tahoma" w:hAnsi="Tahoma" w:cs="Tahoma"/>
          <w:sz w:val="24"/>
          <w:szCs w:val="24"/>
        </w:rPr>
        <w:t>in a matter which is on all fours with the present case. In Fadzayi John the case Respondent had been cited as Delta Beverages instead of Delta Beverages (Pvt) Ltd. The Supreme Court in placing reliance</w:t>
      </w:r>
      <w:r>
        <w:rPr>
          <w:rFonts w:ascii="Tahoma" w:hAnsi="Tahoma" w:cs="Tahoma"/>
          <w:sz w:val="24"/>
          <w:szCs w:val="24"/>
        </w:rPr>
        <w:t xml:space="preserve"> once again</w:t>
      </w:r>
      <w:r w:rsidRPr="0078421E">
        <w:rPr>
          <w:rFonts w:ascii="Tahoma" w:hAnsi="Tahoma" w:cs="Tahoma"/>
          <w:sz w:val="24"/>
          <w:szCs w:val="24"/>
        </w:rPr>
        <w:t xml:space="preserve"> on Gariya Safaris case stated as follows;</w:t>
      </w:r>
    </w:p>
    <w:p w:rsidR="0049071E" w:rsidRPr="00972BFC" w:rsidRDefault="0049071E" w:rsidP="0049071E">
      <w:pPr>
        <w:spacing w:line="360" w:lineRule="auto"/>
        <w:jc w:val="both"/>
        <w:rPr>
          <w:rFonts w:ascii="Tahoma" w:hAnsi="Tahoma" w:cs="Tahoma"/>
          <w:i/>
        </w:rPr>
      </w:pPr>
      <w:r>
        <w:rPr>
          <w:rFonts w:ascii="Tahoma" w:hAnsi="Tahoma" w:cs="Tahoma"/>
          <w:sz w:val="24"/>
          <w:szCs w:val="24"/>
        </w:rPr>
        <w:t>“</w:t>
      </w:r>
      <w:r>
        <w:rPr>
          <w:rFonts w:ascii="Tahoma" w:hAnsi="Tahoma" w:cs="Tahoma"/>
          <w:sz w:val="24"/>
          <w:szCs w:val="24"/>
        </w:rPr>
        <w:tab/>
      </w:r>
      <w:r>
        <w:rPr>
          <w:rFonts w:ascii="Tahoma" w:hAnsi="Tahoma" w:cs="Tahoma"/>
          <w:i/>
        </w:rPr>
        <w:t xml:space="preserve">In Gariya Safaris (Pvt) Ltd v Van Wyk </w:t>
      </w:r>
      <w:r>
        <w:rPr>
          <w:rFonts w:ascii="Tahoma" w:hAnsi="Tahoma" w:cs="Tahoma"/>
        </w:rPr>
        <w:t xml:space="preserve"> it was stated as follows:</w:t>
      </w:r>
      <w:r>
        <w:rPr>
          <w:rFonts w:ascii="Tahoma" w:hAnsi="Tahoma" w:cs="Tahoma"/>
          <w:i/>
        </w:rPr>
        <w:t xml:space="preserve"> </w:t>
      </w:r>
    </w:p>
    <w:p w:rsidR="0049071E" w:rsidRDefault="0049071E" w:rsidP="0049071E">
      <w:pPr>
        <w:spacing w:line="360" w:lineRule="auto"/>
        <w:ind w:left="360" w:firstLine="75"/>
        <w:jc w:val="both"/>
        <w:rPr>
          <w:rFonts w:ascii="Tahoma" w:hAnsi="Tahoma" w:cs="Tahoma"/>
          <w:sz w:val="24"/>
          <w:szCs w:val="24"/>
        </w:rPr>
      </w:pPr>
      <w:r>
        <w:rPr>
          <w:rFonts w:ascii="Tahoma" w:hAnsi="Tahoma" w:cs="Tahoma"/>
          <w:sz w:val="24"/>
          <w:szCs w:val="24"/>
        </w:rPr>
        <w:t>“</w:t>
      </w:r>
      <w:r>
        <w:rPr>
          <w:rFonts w:ascii="Tahoma" w:hAnsi="Tahoma" w:cs="Tahoma"/>
        </w:rPr>
        <w:t xml:space="preserve">A summons has legal force and effect when it is issued by the plaintiff against an existing legal or natural person. If there is no legal or natural person answering to the names written in the summons as being those of the defendant, the summons is null and void </w:t>
      </w:r>
      <w:r>
        <w:rPr>
          <w:rFonts w:ascii="Tahoma" w:hAnsi="Tahoma" w:cs="Tahoma"/>
          <w:i/>
        </w:rPr>
        <w:t>ab initio.</w:t>
      </w:r>
      <w:r>
        <w:rPr>
          <w:rFonts w:ascii="Tahoma" w:hAnsi="Tahoma" w:cs="Tahoma"/>
          <w:sz w:val="24"/>
          <w:szCs w:val="24"/>
        </w:rPr>
        <w:t>”</w:t>
      </w:r>
    </w:p>
    <w:p w:rsidR="0049071E" w:rsidRDefault="0049071E" w:rsidP="0049071E">
      <w:pPr>
        <w:spacing w:line="360" w:lineRule="auto"/>
        <w:ind w:left="360" w:firstLine="360"/>
        <w:jc w:val="both"/>
        <w:rPr>
          <w:rFonts w:ascii="Tahoma" w:hAnsi="Tahoma" w:cs="Tahoma"/>
          <w:sz w:val="24"/>
          <w:szCs w:val="24"/>
        </w:rPr>
      </w:pPr>
      <w:r>
        <w:rPr>
          <w:rFonts w:ascii="Tahoma" w:hAnsi="Tahoma" w:cs="Tahoma"/>
        </w:rPr>
        <w:t>In this case the applicant cited a non-existent respondent. Thus in the same vein the application was a nullity.</w:t>
      </w:r>
      <w:r>
        <w:rPr>
          <w:rFonts w:ascii="Tahoma" w:hAnsi="Tahoma" w:cs="Tahoma"/>
          <w:sz w:val="24"/>
          <w:szCs w:val="24"/>
        </w:rPr>
        <w:t>”</w:t>
      </w:r>
    </w:p>
    <w:p w:rsidR="0049071E" w:rsidRPr="00A21B3E" w:rsidRDefault="0049071E" w:rsidP="00A21B3E">
      <w:pPr>
        <w:spacing w:line="360" w:lineRule="auto"/>
        <w:ind w:firstLine="360"/>
        <w:rPr>
          <w:rFonts w:ascii="Tahoma" w:hAnsi="Tahoma" w:cs="Tahoma"/>
          <w:b/>
          <w:sz w:val="24"/>
          <w:szCs w:val="24"/>
        </w:rPr>
      </w:pPr>
      <w:r w:rsidRPr="00262000">
        <w:rPr>
          <w:rFonts w:ascii="Tahoma" w:hAnsi="Tahoma" w:cs="Tahoma"/>
          <w:sz w:val="24"/>
          <w:szCs w:val="24"/>
        </w:rPr>
        <w:t>On the basis of the authorities it appears the position is settled that where the Applicant has cited a non-existent Respondent then the proceedings are a nullity as result. The 2</w:t>
      </w:r>
      <w:r w:rsidRPr="00262000">
        <w:rPr>
          <w:rFonts w:ascii="Tahoma" w:hAnsi="Tahoma" w:cs="Tahoma"/>
          <w:sz w:val="24"/>
          <w:szCs w:val="24"/>
          <w:vertAlign w:val="superscript"/>
        </w:rPr>
        <w:t>nd</w:t>
      </w:r>
      <w:r w:rsidRPr="00262000">
        <w:rPr>
          <w:rFonts w:ascii="Tahoma" w:hAnsi="Tahoma" w:cs="Tahoma"/>
          <w:sz w:val="24"/>
          <w:szCs w:val="24"/>
        </w:rPr>
        <w:t xml:space="preserve"> Respondent has however argued that </w:t>
      </w:r>
      <w:r>
        <w:rPr>
          <w:rFonts w:ascii="Tahoma" w:hAnsi="Tahoma" w:cs="Tahoma"/>
          <w:sz w:val="24"/>
          <w:szCs w:val="24"/>
        </w:rPr>
        <w:t>a company can still be sued using its trading name</w:t>
      </w:r>
      <w:r w:rsidRPr="00262000">
        <w:rPr>
          <w:rFonts w:ascii="Tahoma" w:hAnsi="Tahoma" w:cs="Tahoma"/>
          <w:sz w:val="24"/>
          <w:szCs w:val="24"/>
        </w:rPr>
        <w:t>. He has placed reliance on several authorities</w:t>
      </w:r>
      <w:r>
        <w:rPr>
          <w:rFonts w:ascii="Tahoma" w:hAnsi="Tahoma" w:cs="Tahoma"/>
          <w:sz w:val="24"/>
          <w:szCs w:val="24"/>
        </w:rPr>
        <w:t xml:space="preserve"> including </w:t>
      </w:r>
      <w:r>
        <w:rPr>
          <w:rFonts w:ascii="Tahoma" w:hAnsi="Tahoma" w:cs="Tahoma"/>
          <w:b/>
          <w:sz w:val="24"/>
          <w:szCs w:val="24"/>
        </w:rPr>
        <w:t>Chinyakata vs Crystal Cabs and Another HH660|2015</w:t>
      </w:r>
      <w:r w:rsidRPr="00262000">
        <w:rPr>
          <w:rFonts w:ascii="Tahoma" w:hAnsi="Tahoma" w:cs="Tahoma"/>
          <w:sz w:val="24"/>
          <w:szCs w:val="24"/>
        </w:rPr>
        <w:t xml:space="preserve">. He has also attempted to distinguish the JDM case on the basis that that case related to a summons matter </w:t>
      </w:r>
      <w:r w:rsidRPr="00262000">
        <w:rPr>
          <w:rFonts w:ascii="Tahoma" w:hAnsi="Tahoma" w:cs="Tahoma"/>
          <w:sz w:val="24"/>
          <w:szCs w:val="24"/>
        </w:rPr>
        <w:lastRenderedPageBreak/>
        <w:t>and this court is not a court of first instance; that the issue was never raised before the Designated Agent; that the evidence in the record such as</w:t>
      </w:r>
      <w:r>
        <w:rPr>
          <w:rFonts w:ascii="Tahoma" w:hAnsi="Tahoma" w:cs="Tahoma"/>
          <w:sz w:val="24"/>
          <w:szCs w:val="24"/>
        </w:rPr>
        <w:t xml:space="preserve"> the</w:t>
      </w:r>
      <w:r w:rsidRPr="00262000">
        <w:rPr>
          <w:rFonts w:ascii="Tahoma" w:hAnsi="Tahoma" w:cs="Tahoma"/>
          <w:sz w:val="24"/>
          <w:szCs w:val="24"/>
        </w:rPr>
        <w:t xml:space="preserve"> correspondence| payslips reflect that 1</w:t>
      </w:r>
      <w:r w:rsidRPr="00262000">
        <w:rPr>
          <w:rFonts w:ascii="Tahoma" w:hAnsi="Tahoma" w:cs="Tahoma"/>
          <w:sz w:val="24"/>
          <w:szCs w:val="24"/>
          <w:vertAlign w:val="superscript"/>
        </w:rPr>
        <w:t>st</w:t>
      </w:r>
      <w:r w:rsidRPr="00262000">
        <w:rPr>
          <w:rFonts w:ascii="Tahoma" w:hAnsi="Tahoma" w:cs="Tahoma"/>
          <w:sz w:val="24"/>
          <w:szCs w:val="24"/>
        </w:rPr>
        <w:t xml:space="preserve"> Respondent had held itself out as Vital Logistics. It would appear to me that in the light of </w:t>
      </w:r>
      <w:r w:rsidRPr="00262000">
        <w:rPr>
          <w:rFonts w:ascii="Tahoma" w:hAnsi="Tahoma" w:cs="Tahoma"/>
          <w:b/>
          <w:sz w:val="24"/>
          <w:szCs w:val="24"/>
        </w:rPr>
        <w:t>Fadzayi John Vs Delta Beverages</w:t>
      </w:r>
      <w:r w:rsidRPr="00262000">
        <w:rPr>
          <w:rFonts w:ascii="Tahoma" w:hAnsi="Tahoma" w:cs="Tahoma"/>
          <w:sz w:val="24"/>
          <w:szCs w:val="24"/>
        </w:rPr>
        <w:t xml:space="preserve"> matter </w:t>
      </w:r>
      <w:r>
        <w:rPr>
          <w:rFonts w:ascii="Tahoma" w:hAnsi="Tahoma" w:cs="Tahoma"/>
          <w:sz w:val="24"/>
          <w:szCs w:val="24"/>
        </w:rPr>
        <w:t>a definitive</w:t>
      </w:r>
      <w:r w:rsidRPr="00262000">
        <w:rPr>
          <w:rFonts w:ascii="Tahoma" w:hAnsi="Tahoma" w:cs="Tahoma"/>
          <w:sz w:val="24"/>
          <w:szCs w:val="24"/>
        </w:rPr>
        <w:t xml:space="preserve"> position has been </w:t>
      </w:r>
      <w:r w:rsidR="00A21B3E">
        <w:rPr>
          <w:rFonts w:ascii="Tahoma" w:hAnsi="Tahoma" w:cs="Tahoma"/>
          <w:sz w:val="24"/>
          <w:szCs w:val="24"/>
        </w:rPr>
        <w:t xml:space="preserve">reached </w:t>
      </w:r>
      <w:r w:rsidR="00A21B3E" w:rsidRPr="00262000">
        <w:rPr>
          <w:rFonts w:ascii="Tahoma" w:hAnsi="Tahoma" w:cs="Tahoma"/>
          <w:sz w:val="24"/>
          <w:szCs w:val="24"/>
        </w:rPr>
        <w:t>at</w:t>
      </w:r>
      <w:r w:rsidRPr="00262000">
        <w:rPr>
          <w:rFonts w:ascii="Tahoma" w:hAnsi="Tahoma" w:cs="Tahoma"/>
          <w:sz w:val="24"/>
          <w:szCs w:val="24"/>
        </w:rPr>
        <w:t xml:space="preserve"> the Supreme Court. The decisions that 2</w:t>
      </w:r>
      <w:r w:rsidRPr="00262000">
        <w:rPr>
          <w:rFonts w:ascii="Tahoma" w:hAnsi="Tahoma" w:cs="Tahoma"/>
          <w:sz w:val="24"/>
          <w:szCs w:val="24"/>
          <w:vertAlign w:val="superscript"/>
        </w:rPr>
        <w:t>nd</w:t>
      </w:r>
      <w:r w:rsidRPr="00262000">
        <w:rPr>
          <w:rFonts w:ascii="Tahoma" w:hAnsi="Tahoma" w:cs="Tahoma"/>
          <w:sz w:val="24"/>
          <w:szCs w:val="24"/>
        </w:rPr>
        <w:t xml:space="preserve"> Respondent has sought to place reliance on </w:t>
      </w:r>
      <w:r w:rsidR="00A21B3E">
        <w:rPr>
          <w:rFonts w:ascii="Tahoma" w:hAnsi="Tahoma" w:cs="Tahoma"/>
          <w:sz w:val="24"/>
          <w:szCs w:val="24"/>
        </w:rPr>
        <w:t xml:space="preserve">which </w:t>
      </w:r>
      <w:r>
        <w:rPr>
          <w:rFonts w:ascii="Tahoma" w:hAnsi="Tahoma" w:cs="Tahoma"/>
          <w:sz w:val="24"/>
          <w:szCs w:val="24"/>
        </w:rPr>
        <w:t>ar</w:t>
      </w:r>
      <w:r w:rsidRPr="00262000">
        <w:rPr>
          <w:rFonts w:ascii="Tahoma" w:hAnsi="Tahoma" w:cs="Tahoma"/>
          <w:sz w:val="24"/>
          <w:szCs w:val="24"/>
        </w:rPr>
        <w:t>e emanating from the High Court were clearly overtaken. It is therefore apparent that no application by the 2</w:t>
      </w:r>
      <w:r w:rsidRPr="00262000">
        <w:rPr>
          <w:rFonts w:ascii="Tahoma" w:hAnsi="Tahoma" w:cs="Tahoma"/>
          <w:sz w:val="24"/>
          <w:szCs w:val="24"/>
          <w:vertAlign w:val="superscript"/>
        </w:rPr>
        <w:t>nd</w:t>
      </w:r>
      <w:r w:rsidRPr="00262000">
        <w:rPr>
          <w:rFonts w:ascii="Tahoma" w:hAnsi="Tahoma" w:cs="Tahoma"/>
          <w:sz w:val="24"/>
          <w:szCs w:val="24"/>
        </w:rPr>
        <w:t xml:space="preserve"> Respondent in this case to amend the application can cure the defect as the notice is a nullity. It also appears absurd for the 2</w:t>
      </w:r>
      <w:r w:rsidRPr="00262000">
        <w:rPr>
          <w:rFonts w:ascii="Tahoma" w:hAnsi="Tahoma" w:cs="Tahoma"/>
          <w:sz w:val="24"/>
          <w:szCs w:val="24"/>
          <w:vertAlign w:val="superscript"/>
        </w:rPr>
        <w:t>nd</w:t>
      </w:r>
      <w:r w:rsidRPr="00262000">
        <w:rPr>
          <w:rFonts w:ascii="Tahoma" w:hAnsi="Tahoma" w:cs="Tahoma"/>
          <w:sz w:val="24"/>
          <w:szCs w:val="24"/>
        </w:rPr>
        <w:t xml:space="preserve"> Respondent to be makin</w:t>
      </w:r>
      <w:bookmarkStart w:id="0" w:name="_GoBack"/>
      <w:bookmarkEnd w:id="0"/>
      <w:r w:rsidRPr="00262000">
        <w:rPr>
          <w:rFonts w:ascii="Tahoma" w:hAnsi="Tahoma" w:cs="Tahoma"/>
          <w:sz w:val="24"/>
          <w:szCs w:val="24"/>
        </w:rPr>
        <w:t>g the application for amendment of the citation. It is common cause that the application in this matter was filed by the Designated Agent. He as the Applicant is the one who ought to be making the application to amend assuming he</w:t>
      </w:r>
      <w:r w:rsidR="00807EA2">
        <w:rPr>
          <w:rFonts w:ascii="Tahoma" w:hAnsi="Tahoma" w:cs="Tahoma"/>
          <w:sz w:val="24"/>
          <w:szCs w:val="24"/>
        </w:rPr>
        <w:t xml:space="preserve"> was</w:t>
      </w:r>
      <w:r w:rsidR="00A21B3E">
        <w:rPr>
          <w:rFonts w:ascii="Tahoma" w:hAnsi="Tahoma" w:cs="Tahoma"/>
          <w:sz w:val="24"/>
          <w:szCs w:val="24"/>
        </w:rPr>
        <w:t xml:space="preserve"> at law</w:t>
      </w:r>
      <w:r w:rsidR="00807EA2">
        <w:rPr>
          <w:rFonts w:ascii="Tahoma" w:hAnsi="Tahoma" w:cs="Tahoma"/>
          <w:sz w:val="24"/>
          <w:szCs w:val="24"/>
        </w:rPr>
        <w:t xml:space="preserve"> </w:t>
      </w:r>
      <w:r w:rsidR="00E467BE" w:rsidRPr="00262000">
        <w:rPr>
          <w:rFonts w:ascii="Tahoma" w:hAnsi="Tahoma" w:cs="Tahoma"/>
          <w:sz w:val="24"/>
          <w:szCs w:val="24"/>
        </w:rPr>
        <w:t xml:space="preserve">entitled </w:t>
      </w:r>
      <w:r w:rsidR="00E467BE">
        <w:rPr>
          <w:rFonts w:ascii="Tahoma" w:hAnsi="Tahoma" w:cs="Tahoma"/>
          <w:sz w:val="24"/>
          <w:szCs w:val="24"/>
        </w:rPr>
        <w:t>to</w:t>
      </w:r>
      <w:r w:rsidRPr="00262000">
        <w:rPr>
          <w:rFonts w:ascii="Tahoma" w:hAnsi="Tahoma" w:cs="Tahoma"/>
          <w:sz w:val="24"/>
          <w:szCs w:val="24"/>
        </w:rPr>
        <w:t xml:space="preserve"> do so</w:t>
      </w:r>
      <w:r w:rsidR="00807EA2">
        <w:rPr>
          <w:rFonts w:ascii="Tahoma" w:hAnsi="Tahoma" w:cs="Tahoma"/>
          <w:sz w:val="24"/>
          <w:szCs w:val="24"/>
        </w:rPr>
        <w:t>.  Unfortunately not even he can make the application to amend a nullity.</w:t>
      </w:r>
    </w:p>
    <w:p w:rsidR="0049071E" w:rsidRPr="00262000" w:rsidRDefault="0049071E" w:rsidP="0049071E">
      <w:pPr>
        <w:spacing w:line="360" w:lineRule="auto"/>
        <w:ind w:firstLine="360"/>
        <w:rPr>
          <w:rFonts w:ascii="Tahoma" w:hAnsi="Tahoma" w:cs="Tahoma"/>
          <w:sz w:val="24"/>
          <w:szCs w:val="24"/>
        </w:rPr>
      </w:pPr>
      <w:r w:rsidRPr="00262000">
        <w:rPr>
          <w:rFonts w:ascii="Tahoma" w:hAnsi="Tahoma" w:cs="Tahoma"/>
          <w:sz w:val="24"/>
          <w:szCs w:val="24"/>
        </w:rPr>
        <w:t>In the circumstances the point in limine clearly ought to be upheld. It is accordingly ordered as follows;</w:t>
      </w:r>
    </w:p>
    <w:p w:rsidR="0049071E" w:rsidRPr="00EE60FF" w:rsidRDefault="0049071E" w:rsidP="0049071E">
      <w:pPr>
        <w:pStyle w:val="ListParagraph"/>
        <w:numPr>
          <w:ilvl w:val="0"/>
          <w:numId w:val="2"/>
        </w:numPr>
        <w:spacing w:line="360" w:lineRule="auto"/>
        <w:rPr>
          <w:rFonts w:ascii="Tahoma" w:hAnsi="Tahoma" w:cs="Tahoma"/>
        </w:rPr>
      </w:pPr>
      <w:r w:rsidRPr="00EE60FF">
        <w:rPr>
          <w:rFonts w:ascii="Tahoma" w:hAnsi="Tahoma" w:cs="Tahoma"/>
        </w:rPr>
        <w:t>The 2</w:t>
      </w:r>
      <w:r w:rsidRPr="00EE60FF">
        <w:rPr>
          <w:rFonts w:ascii="Tahoma" w:hAnsi="Tahoma" w:cs="Tahoma"/>
          <w:vertAlign w:val="superscript"/>
        </w:rPr>
        <w:t>nd</w:t>
      </w:r>
      <w:r w:rsidRPr="00EE60FF">
        <w:rPr>
          <w:rFonts w:ascii="Tahoma" w:hAnsi="Tahoma" w:cs="Tahoma"/>
        </w:rPr>
        <w:t xml:space="preserve"> point in limine is </w:t>
      </w:r>
      <w:r w:rsidR="00807EA2" w:rsidRPr="00EE60FF">
        <w:rPr>
          <w:rFonts w:ascii="Tahoma" w:hAnsi="Tahoma" w:cs="Tahoma"/>
        </w:rPr>
        <w:t>upheld.</w:t>
      </w:r>
    </w:p>
    <w:p w:rsidR="0049071E" w:rsidRDefault="0049071E" w:rsidP="0049071E">
      <w:pPr>
        <w:pStyle w:val="ListParagraph"/>
        <w:numPr>
          <w:ilvl w:val="0"/>
          <w:numId w:val="2"/>
        </w:numPr>
        <w:spacing w:line="360" w:lineRule="auto"/>
        <w:rPr>
          <w:rFonts w:ascii="Tahoma" w:hAnsi="Tahoma" w:cs="Tahoma"/>
        </w:rPr>
      </w:pPr>
      <w:r w:rsidRPr="00EE60FF">
        <w:rPr>
          <w:rFonts w:ascii="Tahoma" w:hAnsi="Tahoma" w:cs="Tahoma"/>
        </w:rPr>
        <w:t xml:space="preserve">The </w:t>
      </w:r>
      <w:r>
        <w:rPr>
          <w:rFonts w:ascii="Tahoma" w:hAnsi="Tahoma" w:cs="Tahoma"/>
        </w:rPr>
        <w:t>1</w:t>
      </w:r>
      <w:r w:rsidRPr="00972BFC">
        <w:rPr>
          <w:rFonts w:ascii="Tahoma" w:hAnsi="Tahoma" w:cs="Tahoma"/>
          <w:vertAlign w:val="superscript"/>
        </w:rPr>
        <w:t>st</w:t>
      </w:r>
      <w:r>
        <w:rPr>
          <w:rFonts w:ascii="Tahoma" w:hAnsi="Tahoma" w:cs="Tahoma"/>
        </w:rPr>
        <w:t xml:space="preserve"> Respondent, not being a natural or legal persona, the application is hereby struck off the roll for improper citation.</w:t>
      </w:r>
    </w:p>
    <w:p w:rsidR="0049071E" w:rsidRPr="00EE60FF" w:rsidRDefault="0049071E" w:rsidP="0049071E">
      <w:pPr>
        <w:pStyle w:val="ListParagraph"/>
        <w:numPr>
          <w:ilvl w:val="0"/>
          <w:numId w:val="2"/>
        </w:numPr>
        <w:spacing w:line="360" w:lineRule="auto"/>
        <w:rPr>
          <w:rFonts w:ascii="Tahoma" w:hAnsi="Tahoma" w:cs="Tahoma"/>
        </w:rPr>
      </w:pPr>
      <w:r>
        <w:rPr>
          <w:rFonts w:ascii="Tahoma" w:hAnsi="Tahoma" w:cs="Tahoma"/>
        </w:rPr>
        <w:t>There is no order as to costs.</w:t>
      </w:r>
    </w:p>
    <w:p w:rsidR="00B425DE" w:rsidRDefault="00B425DE" w:rsidP="006969BD"/>
    <w:p w:rsidR="0006763D" w:rsidRDefault="0006763D" w:rsidP="006969BD">
      <w:r>
        <w:t xml:space="preserve"> </w:t>
      </w:r>
    </w:p>
    <w:p w:rsidR="00886D50" w:rsidRDefault="00886D50"/>
    <w:p w:rsidR="00EA55F2" w:rsidRDefault="00EA55F2"/>
    <w:sectPr w:rsidR="00EA55F2" w:rsidSect="00EB4277">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368" w:rsidRDefault="00FE7368" w:rsidP="00EB4277">
      <w:pPr>
        <w:spacing w:after="0" w:line="240" w:lineRule="auto"/>
      </w:pPr>
      <w:r>
        <w:separator/>
      </w:r>
    </w:p>
  </w:endnote>
  <w:endnote w:type="continuationSeparator" w:id="0">
    <w:p w:rsidR="00FE7368" w:rsidRDefault="00FE7368" w:rsidP="00EB4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527866"/>
      <w:docPartObj>
        <w:docPartGallery w:val="Page Numbers (Bottom of Page)"/>
        <w:docPartUnique/>
      </w:docPartObj>
    </w:sdtPr>
    <w:sdtEndPr>
      <w:rPr>
        <w:noProof/>
      </w:rPr>
    </w:sdtEndPr>
    <w:sdtContent>
      <w:p w:rsidR="00EB4277" w:rsidRDefault="00EF5918">
        <w:pPr>
          <w:pStyle w:val="Footer"/>
          <w:jc w:val="center"/>
        </w:pPr>
        <w:r>
          <w:fldChar w:fldCharType="begin"/>
        </w:r>
        <w:r w:rsidR="00EB4277">
          <w:instrText xml:space="preserve"> PAGE   \* MERGEFORMAT </w:instrText>
        </w:r>
        <w:r>
          <w:fldChar w:fldCharType="separate"/>
        </w:r>
        <w:r w:rsidR="005D2978">
          <w:rPr>
            <w:noProof/>
          </w:rPr>
          <w:t>7</w:t>
        </w:r>
        <w:r>
          <w:rPr>
            <w:noProof/>
          </w:rPr>
          <w:fldChar w:fldCharType="end"/>
        </w:r>
      </w:p>
    </w:sdtContent>
  </w:sdt>
  <w:p w:rsidR="00EB4277" w:rsidRDefault="00EB42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368" w:rsidRDefault="00FE7368" w:rsidP="00EB4277">
      <w:pPr>
        <w:spacing w:after="0" w:line="240" w:lineRule="auto"/>
      </w:pPr>
      <w:r>
        <w:separator/>
      </w:r>
    </w:p>
  </w:footnote>
  <w:footnote w:type="continuationSeparator" w:id="0">
    <w:p w:rsidR="00FE7368" w:rsidRDefault="00FE7368" w:rsidP="00EB4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277" w:rsidRPr="00EB4277" w:rsidRDefault="00807EA2">
    <w:pPr>
      <w:pStyle w:val="Header"/>
      <w:rPr>
        <w:rFonts w:ascii="Tahoma" w:hAnsi="Tahoma" w:cs="Tahoma"/>
        <w:sz w:val="24"/>
        <w:szCs w:val="24"/>
      </w:rPr>
    </w:pPr>
    <w:r>
      <w:rPr>
        <w:rFonts w:ascii="Tahoma" w:hAnsi="Tahoma" w:cs="Tahoma"/>
        <w:sz w:val="24"/>
        <w:szCs w:val="24"/>
      </w:rPr>
      <w:tab/>
    </w:r>
    <w:r>
      <w:rPr>
        <w:rFonts w:ascii="Tahoma" w:hAnsi="Tahoma" w:cs="Tahoma"/>
        <w:sz w:val="24"/>
        <w:szCs w:val="24"/>
      </w:rPr>
      <w:tab/>
      <w:t>JUDGMENT NO. LC/H/177</w:t>
    </w:r>
    <w:r w:rsidR="00EB4277">
      <w:rPr>
        <w:rFonts w:ascii="Tahoma" w:hAnsi="Tahoma" w:cs="Tahoma"/>
        <w:sz w:val="24"/>
        <w:szCs w:val="24"/>
      </w:rPr>
      <w:t>/2020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C00F8"/>
    <w:multiLevelType w:val="hybridMultilevel"/>
    <w:tmpl w:val="0C9866EC"/>
    <w:lvl w:ilvl="0" w:tplc="BF20E5A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50BA2C24"/>
    <w:multiLevelType w:val="hybridMultilevel"/>
    <w:tmpl w:val="4CF232A0"/>
    <w:lvl w:ilvl="0" w:tplc="DC7861C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A55F2"/>
    <w:rsid w:val="0006763D"/>
    <w:rsid w:val="001D6D57"/>
    <w:rsid w:val="00261E43"/>
    <w:rsid w:val="002F32C2"/>
    <w:rsid w:val="004172B2"/>
    <w:rsid w:val="004659A8"/>
    <w:rsid w:val="0049071E"/>
    <w:rsid w:val="00547B73"/>
    <w:rsid w:val="005D2978"/>
    <w:rsid w:val="006223B8"/>
    <w:rsid w:val="006969BD"/>
    <w:rsid w:val="0078421E"/>
    <w:rsid w:val="007B4569"/>
    <w:rsid w:val="007C3DAD"/>
    <w:rsid w:val="00807EA2"/>
    <w:rsid w:val="00815CD2"/>
    <w:rsid w:val="00886D50"/>
    <w:rsid w:val="008C502A"/>
    <w:rsid w:val="008F6543"/>
    <w:rsid w:val="00901D04"/>
    <w:rsid w:val="009B3835"/>
    <w:rsid w:val="009E0F76"/>
    <w:rsid w:val="00A21B3E"/>
    <w:rsid w:val="00A86585"/>
    <w:rsid w:val="00B049AF"/>
    <w:rsid w:val="00B425DE"/>
    <w:rsid w:val="00B74F4D"/>
    <w:rsid w:val="00CE1225"/>
    <w:rsid w:val="00D513C9"/>
    <w:rsid w:val="00D60FB8"/>
    <w:rsid w:val="00D831A9"/>
    <w:rsid w:val="00E467BE"/>
    <w:rsid w:val="00E721BA"/>
    <w:rsid w:val="00E859CF"/>
    <w:rsid w:val="00EA55F2"/>
    <w:rsid w:val="00EB4277"/>
    <w:rsid w:val="00EE60FF"/>
    <w:rsid w:val="00EF5918"/>
    <w:rsid w:val="00F03747"/>
    <w:rsid w:val="00F24476"/>
    <w:rsid w:val="00FE73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F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9BD"/>
    <w:pPr>
      <w:ind w:left="720"/>
      <w:contextualSpacing/>
    </w:pPr>
  </w:style>
  <w:style w:type="paragraph" w:styleId="NoSpacing">
    <w:name w:val="No Spacing"/>
    <w:uiPriority w:val="1"/>
    <w:qFormat/>
    <w:rsid w:val="00EB4277"/>
    <w:pPr>
      <w:spacing w:after="0" w:line="240" w:lineRule="auto"/>
    </w:pPr>
    <w:rPr>
      <w:rFonts w:eastAsiaTheme="minorHAnsi"/>
      <w:lang w:eastAsia="en-US"/>
    </w:rPr>
  </w:style>
  <w:style w:type="paragraph" w:styleId="Header">
    <w:name w:val="header"/>
    <w:basedOn w:val="Normal"/>
    <w:link w:val="HeaderChar"/>
    <w:uiPriority w:val="99"/>
    <w:unhideWhenUsed/>
    <w:rsid w:val="00EB4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277"/>
  </w:style>
  <w:style w:type="paragraph" w:styleId="Footer">
    <w:name w:val="footer"/>
    <w:basedOn w:val="Normal"/>
    <w:link w:val="FooterChar"/>
    <w:uiPriority w:val="99"/>
    <w:unhideWhenUsed/>
    <w:rsid w:val="00EB4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277"/>
  </w:style>
  <w:style w:type="paragraph" w:styleId="BalloonText">
    <w:name w:val="Balloon Text"/>
    <w:basedOn w:val="Normal"/>
    <w:link w:val="BalloonTextChar"/>
    <w:uiPriority w:val="99"/>
    <w:semiHidden/>
    <w:unhideWhenUsed/>
    <w:rsid w:val="008F6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9BD"/>
    <w:pPr>
      <w:ind w:left="720"/>
      <w:contextualSpacing/>
    </w:pPr>
  </w:style>
  <w:style w:type="paragraph" w:styleId="NoSpacing">
    <w:name w:val="No Spacing"/>
    <w:uiPriority w:val="1"/>
    <w:qFormat/>
    <w:rsid w:val="00EB4277"/>
    <w:pPr>
      <w:spacing w:after="0" w:line="240" w:lineRule="auto"/>
    </w:pPr>
    <w:rPr>
      <w:rFonts w:eastAsiaTheme="minorHAnsi"/>
      <w:lang w:eastAsia="en-US"/>
    </w:rPr>
  </w:style>
  <w:style w:type="paragraph" w:styleId="Header">
    <w:name w:val="header"/>
    <w:basedOn w:val="Normal"/>
    <w:link w:val="HeaderChar"/>
    <w:uiPriority w:val="99"/>
    <w:unhideWhenUsed/>
    <w:rsid w:val="00EB4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277"/>
  </w:style>
  <w:style w:type="paragraph" w:styleId="Footer">
    <w:name w:val="footer"/>
    <w:basedOn w:val="Normal"/>
    <w:link w:val="FooterChar"/>
    <w:uiPriority w:val="99"/>
    <w:unhideWhenUsed/>
    <w:rsid w:val="00EB4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277"/>
  </w:style>
  <w:style w:type="paragraph" w:styleId="BalloonText">
    <w:name w:val="Balloon Text"/>
    <w:basedOn w:val="Normal"/>
    <w:link w:val="BalloonTextChar"/>
    <w:uiPriority w:val="99"/>
    <w:semiHidden/>
    <w:unhideWhenUsed/>
    <w:rsid w:val="008F6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9857</TotalTime>
  <Pages>1</Pages>
  <Words>2078</Words>
  <Characters>11846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BTC_2</dc:creator>
  <cp:lastModifiedBy>library</cp:lastModifiedBy>
  <cp:revision>7</cp:revision>
  <cp:lastPrinted>2020-07-29T11:19:00Z</cp:lastPrinted>
  <dcterms:created xsi:type="dcterms:W3CDTF">2020-07-22T10:29:00Z</dcterms:created>
  <dcterms:modified xsi:type="dcterms:W3CDTF">2020-08-05T06:54:00Z</dcterms:modified>
</cp:coreProperties>
</file>