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0B41C" w14:textId="77777777" w:rsidR="00143EAF" w:rsidRDefault="00000000">
      <w:pPr>
        <w:spacing w:after="0" w:line="259" w:lineRule="auto"/>
        <w:ind w:left="0" w:firstLine="0"/>
        <w:jc w:val="left"/>
      </w:pPr>
      <w:r>
        <w:rPr>
          <w:b/>
        </w:rPr>
        <w:t xml:space="preserve"> </w:t>
      </w:r>
    </w:p>
    <w:p w14:paraId="36BA5453" w14:textId="7FE3C63B" w:rsidR="00143EAF" w:rsidRDefault="00000000">
      <w:pPr>
        <w:tabs>
          <w:tab w:val="center" w:pos="6684"/>
        </w:tabs>
        <w:spacing w:after="3" w:line="259" w:lineRule="auto"/>
        <w:ind w:left="-15" w:firstLine="0"/>
        <w:jc w:val="left"/>
      </w:pPr>
      <w:r>
        <w:rPr>
          <w:b/>
        </w:rPr>
        <w:t xml:space="preserve">IN THE LABOUR COURT OF ZIMBABWE </w:t>
      </w:r>
      <w:r>
        <w:rPr>
          <w:b/>
        </w:rPr>
        <w:tab/>
        <w:t xml:space="preserve">          JUDGMENT, NO LC/H/</w:t>
      </w:r>
      <w:r w:rsidR="00F60BCE">
        <w:rPr>
          <w:b/>
        </w:rPr>
        <w:t>114/26</w:t>
      </w:r>
    </w:p>
    <w:p w14:paraId="2541D48D" w14:textId="77777777" w:rsidR="00143EAF" w:rsidRDefault="00000000">
      <w:pPr>
        <w:spacing w:after="0" w:line="259" w:lineRule="auto"/>
        <w:ind w:left="0" w:firstLine="0"/>
        <w:jc w:val="left"/>
      </w:pPr>
      <w:r>
        <w:rPr>
          <w:b/>
        </w:rPr>
        <w:t xml:space="preserve"> </w:t>
      </w:r>
    </w:p>
    <w:p w14:paraId="6983DFAA" w14:textId="77777777" w:rsidR="00143EAF" w:rsidRDefault="00000000">
      <w:pPr>
        <w:spacing w:after="3" w:line="259" w:lineRule="auto"/>
        <w:ind w:left="-5" w:right="1423"/>
      </w:pPr>
      <w:r>
        <w:rPr>
          <w:b/>
        </w:rPr>
        <w:t xml:space="preserve">HELD AT HARARE                                                             CASE NO LC/H/26/26 </w:t>
      </w:r>
    </w:p>
    <w:p w14:paraId="032870AD" w14:textId="77777777" w:rsidR="00143EAF" w:rsidRDefault="00000000">
      <w:pPr>
        <w:spacing w:after="0" w:line="259" w:lineRule="auto"/>
        <w:ind w:left="0" w:firstLine="0"/>
        <w:jc w:val="left"/>
      </w:pPr>
      <w:r>
        <w:rPr>
          <w:b/>
        </w:rPr>
        <w:t xml:space="preserve"> </w:t>
      </w:r>
    </w:p>
    <w:p w14:paraId="41775040" w14:textId="77777777" w:rsidR="00143EAF" w:rsidRDefault="00000000">
      <w:pPr>
        <w:spacing w:after="3" w:line="259" w:lineRule="auto"/>
        <w:ind w:left="-5" w:right="1423"/>
      </w:pPr>
      <w:r>
        <w:rPr>
          <w:b/>
        </w:rPr>
        <w:t xml:space="preserve">05 MARCH 2026 &amp; 13 MARCH 2026 </w:t>
      </w:r>
    </w:p>
    <w:p w14:paraId="194E71F5" w14:textId="77777777" w:rsidR="00143EAF" w:rsidRDefault="00000000">
      <w:pPr>
        <w:spacing w:after="0" w:line="259" w:lineRule="auto"/>
        <w:ind w:left="0" w:firstLine="0"/>
        <w:jc w:val="left"/>
      </w:pPr>
      <w:r>
        <w:rPr>
          <w:b/>
        </w:rPr>
        <w:t xml:space="preserve">                             </w:t>
      </w:r>
    </w:p>
    <w:p w14:paraId="71769227" w14:textId="77777777" w:rsidR="00143EAF" w:rsidRDefault="00000000">
      <w:pPr>
        <w:spacing w:after="0" w:line="259" w:lineRule="auto"/>
        <w:ind w:left="0" w:right="-35" w:firstLine="0"/>
      </w:pPr>
      <w:r>
        <w:rPr>
          <w:b/>
        </w:rPr>
        <w:t xml:space="preserve">                                                                                                                                                                               </w:t>
      </w:r>
    </w:p>
    <w:p w14:paraId="6CD1CD50" w14:textId="77777777" w:rsidR="00143EAF" w:rsidRDefault="00000000">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47BE6CAD" w14:textId="77777777" w:rsidR="00143EAF" w:rsidRDefault="00000000">
      <w:pPr>
        <w:spacing w:after="0" w:line="259" w:lineRule="auto"/>
        <w:ind w:left="-5" w:right="1428"/>
      </w:pPr>
      <w:r>
        <w:t xml:space="preserve">In the matter between: </w:t>
      </w:r>
    </w:p>
    <w:p w14:paraId="6F5BF100" w14:textId="77777777" w:rsidR="00143EAF" w:rsidRDefault="00000000">
      <w:pPr>
        <w:spacing w:after="0" w:line="259" w:lineRule="auto"/>
        <w:ind w:left="0" w:right="-35" w:firstLine="0"/>
      </w:pPr>
      <w:r>
        <w:rPr>
          <w:b/>
        </w:rPr>
        <w:t xml:space="preserve"> </w:t>
      </w:r>
      <w:r>
        <w:rPr>
          <w:b/>
        </w:rPr>
        <w:tab/>
        <w:t xml:space="preserve"> </w:t>
      </w:r>
      <w:r>
        <w:rPr>
          <w:b/>
        </w:rPr>
        <w:tab/>
        <w:t xml:space="preserve">                                           </w:t>
      </w:r>
    </w:p>
    <w:p w14:paraId="35398A22" w14:textId="77777777" w:rsidR="00143EAF" w:rsidRDefault="00000000">
      <w:pPr>
        <w:spacing w:after="3" w:line="259" w:lineRule="auto"/>
        <w:ind w:left="-5" w:right="1423"/>
      </w:pPr>
      <w:r>
        <w:rPr>
          <w:b/>
        </w:rPr>
        <w:t xml:space="preserve">KUDZAI PETER NGIRAZI                                                                                  APPLICANT </w:t>
      </w:r>
    </w:p>
    <w:p w14:paraId="7B74FB03" w14:textId="77777777" w:rsidR="00143EAF" w:rsidRDefault="00000000">
      <w:pPr>
        <w:spacing w:after="0" w:line="259" w:lineRule="auto"/>
        <w:ind w:left="0" w:firstLine="0"/>
        <w:jc w:val="left"/>
      </w:pPr>
      <w:r>
        <w:rPr>
          <w:b/>
        </w:rPr>
        <w:t xml:space="preserve">  </w:t>
      </w:r>
    </w:p>
    <w:p w14:paraId="51CE98ED" w14:textId="77777777" w:rsidR="00143EAF" w:rsidRDefault="00000000">
      <w:pPr>
        <w:spacing w:after="3" w:line="259" w:lineRule="auto"/>
        <w:ind w:left="-5" w:right="1423"/>
      </w:pPr>
      <w:r>
        <w:rPr>
          <w:b/>
        </w:rPr>
        <w:t xml:space="preserve">AND  </w:t>
      </w:r>
    </w:p>
    <w:p w14:paraId="7DCD993B" w14:textId="77777777" w:rsidR="00143EAF" w:rsidRDefault="00000000">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537C642B" w14:textId="77777777" w:rsidR="00143EAF" w:rsidRDefault="00000000">
      <w:pPr>
        <w:pStyle w:val="Heading1"/>
        <w:ind w:left="-5" w:right="1423"/>
      </w:pPr>
      <w:r>
        <w:t xml:space="preserve">ECONET WIRELESS ZIMBABWE LIMITED                                                   RESPONDENT </w:t>
      </w:r>
    </w:p>
    <w:p w14:paraId="661BA9A6" w14:textId="77777777" w:rsidR="00143EAF" w:rsidRDefault="00000000">
      <w:pPr>
        <w:spacing w:after="0" w:line="259" w:lineRule="auto"/>
        <w:ind w:left="0" w:firstLine="0"/>
        <w:jc w:val="left"/>
      </w:pPr>
      <w:r>
        <w:rPr>
          <w:b/>
        </w:rPr>
        <w:t xml:space="preserve"> </w:t>
      </w:r>
    </w:p>
    <w:p w14:paraId="4E4831F3" w14:textId="77777777" w:rsidR="00143EAF" w:rsidRDefault="00000000">
      <w:pPr>
        <w:spacing w:after="0" w:line="259" w:lineRule="auto"/>
        <w:ind w:left="0" w:firstLine="0"/>
        <w:jc w:val="left"/>
      </w:pPr>
      <w:r>
        <w:t xml:space="preserve"> </w:t>
      </w:r>
    </w:p>
    <w:p w14:paraId="42B11FA7" w14:textId="77777777" w:rsidR="00143EAF" w:rsidRDefault="00000000">
      <w:pPr>
        <w:spacing w:after="0" w:line="259" w:lineRule="auto"/>
        <w:ind w:left="-5" w:right="1428"/>
      </w:pPr>
      <w:r>
        <w:t xml:space="preserve">Before the Honourable Justice </w:t>
      </w:r>
      <w:proofErr w:type="spellStart"/>
      <w:r>
        <w:t>Tsikwa</w:t>
      </w:r>
      <w:proofErr w:type="spellEnd"/>
      <w:r>
        <w:t xml:space="preserve"> </w:t>
      </w:r>
    </w:p>
    <w:p w14:paraId="2018247C" w14:textId="77777777" w:rsidR="00143EAF" w:rsidRDefault="00000000">
      <w:pPr>
        <w:spacing w:after="0" w:line="259" w:lineRule="auto"/>
        <w:ind w:left="0" w:firstLine="0"/>
        <w:jc w:val="left"/>
      </w:pPr>
      <w:r>
        <w:t xml:space="preserve"> </w:t>
      </w:r>
    </w:p>
    <w:p w14:paraId="593C6237" w14:textId="77777777" w:rsidR="00143EAF" w:rsidRDefault="00000000">
      <w:pPr>
        <w:tabs>
          <w:tab w:val="center" w:pos="6481"/>
        </w:tabs>
        <w:spacing w:after="0" w:line="259" w:lineRule="auto"/>
        <w:ind w:left="-15" w:firstLine="0"/>
        <w:jc w:val="left"/>
      </w:pPr>
      <w:r>
        <w:t xml:space="preserve">For Applicant                          - L. </w:t>
      </w:r>
      <w:proofErr w:type="spellStart"/>
      <w:r>
        <w:t>Machacha</w:t>
      </w:r>
      <w:proofErr w:type="spellEnd"/>
      <w:r>
        <w:t xml:space="preserve">, Legal Practitioner </w:t>
      </w:r>
      <w:r>
        <w:rPr>
          <w:i/>
        </w:rPr>
        <w:t xml:space="preserve"> </w:t>
      </w:r>
      <w:r>
        <w:rPr>
          <w:i/>
        </w:rPr>
        <w:tab/>
        <w:t xml:space="preserve">  </w:t>
      </w:r>
    </w:p>
    <w:p w14:paraId="7C90C885" w14:textId="77777777" w:rsidR="00143EAF" w:rsidRDefault="00000000">
      <w:pPr>
        <w:spacing w:after="0" w:line="259" w:lineRule="auto"/>
        <w:ind w:left="0" w:firstLine="0"/>
        <w:jc w:val="left"/>
      </w:pPr>
      <w:r>
        <w:t xml:space="preserve"> </w:t>
      </w:r>
    </w:p>
    <w:p w14:paraId="59698FC6" w14:textId="77777777" w:rsidR="00143EAF" w:rsidRDefault="00000000">
      <w:pPr>
        <w:spacing w:after="240" w:line="238" w:lineRule="auto"/>
        <w:ind w:left="-5" w:right="4499"/>
      </w:pPr>
      <w:r>
        <w:t xml:space="preserve">For Respondent                       - L. </w:t>
      </w:r>
      <w:proofErr w:type="spellStart"/>
      <w:r>
        <w:t>Majogo</w:t>
      </w:r>
      <w:proofErr w:type="spellEnd"/>
      <w:r>
        <w:t>, Legal Practitioner</w:t>
      </w:r>
      <w:r>
        <w:rPr>
          <w:i/>
        </w:rPr>
        <w:t xml:space="preserve">  </w:t>
      </w:r>
    </w:p>
    <w:p w14:paraId="41BD89B4" w14:textId="77777777" w:rsidR="00143EAF" w:rsidRDefault="00000000">
      <w:pPr>
        <w:spacing w:after="237"/>
        <w:ind w:left="-5" w:right="1428"/>
      </w:pPr>
      <w:r>
        <w:rPr>
          <w:b/>
        </w:rPr>
        <w:t xml:space="preserve">TSIKWA, J: </w:t>
      </w:r>
      <w:r>
        <w:t xml:space="preserve">This matter was an application for condonation for late noting of an appeal and extension of time within which to file an appeal in terms of rule 22 of the Labour Court Rules, 2017. The following background facts provide the context for this application. </w:t>
      </w:r>
    </w:p>
    <w:p w14:paraId="1F589203" w14:textId="77777777" w:rsidR="00143EAF" w:rsidRDefault="00000000">
      <w:pPr>
        <w:pStyle w:val="Heading2"/>
        <w:ind w:left="-5"/>
      </w:pPr>
      <w:r>
        <w:t>BACKGROUND FACTS</w:t>
      </w:r>
      <w:r>
        <w:rPr>
          <w:u w:val="none"/>
        </w:rPr>
        <w:t xml:space="preserve">  </w:t>
      </w:r>
    </w:p>
    <w:p w14:paraId="23E64BD7" w14:textId="77777777" w:rsidR="00143EAF" w:rsidRDefault="00000000">
      <w:pPr>
        <w:ind w:left="-5" w:right="1428"/>
      </w:pPr>
      <w:r>
        <w:t xml:space="preserve">The applicant was employed by the respondent as a People and Culture Business Partner. He was subjected to a disciplinary hearing on 19 August 2025 for misconduct under sections 4(a) and 4(d) of the Labour (National Employment Code) Regulations, 2006 (SI 15 of 2006).  </w:t>
      </w:r>
    </w:p>
    <w:p w14:paraId="54F84D46" w14:textId="77777777" w:rsidR="00143EAF" w:rsidRDefault="00000000">
      <w:pPr>
        <w:ind w:left="-5" w:right="1428"/>
      </w:pPr>
      <w:r>
        <w:t xml:space="preserve">The charges included allegations of borrowing substantial sums of money from multiple colleagues under false pretences and failing to repay, misrepresenting that other staff members had sent him to borrow money on their behalf, breaching confidentiality by disclosing sensitive departmental information to facilitate borrowing, and fraudulently obtaining a study loan from the employer by misrepresenting his enrolment intentions.  </w:t>
      </w:r>
    </w:p>
    <w:p w14:paraId="54B94BEC" w14:textId="77777777" w:rsidR="00143EAF" w:rsidRDefault="00000000">
      <w:pPr>
        <w:ind w:left="-5" w:right="1428"/>
      </w:pPr>
      <w:r>
        <w:t xml:space="preserve">The applicant was found guilty and dismissed from employment on 25 August 2025. His internal appeal to the Chief Executive Officer was dismissed on 12 September 2025, after which he appealed to the Ministry of Public Service, Labour and Social Welfare. Conciliation failed, </w:t>
      </w:r>
      <w:r>
        <w:lastRenderedPageBreak/>
        <w:t xml:space="preserve">and the matter was referred to compulsory arbitration. Both parties filed pleadings, but the applicant later withdrew the arbitration proceedings upon realizing he had appealed to the wrong forum. He then filed the present application for condonation of late noting of appeal before this honourable court, which was opposed by the respondent. </w:t>
      </w:r>
    </w:p>
    <w:p w14:paraId="63A2803D" w14:textId="77777777" w:rsidR="00143EAF" w:rsidRDefault="00000000">
      <w:pPr>
        <w:pStyle w:val="Heading2"/>
        <w:spacing w:after="315"/>
        <w:ind w:left="-5"/>
      </w:pPr>
      <w:r>
        <w:t>RELIEF SOUGHT</w:t>
      </w:r>
      <w:r>
        <w:rPr>
          <w:u w:val="none"/>
        </w:rPr>
        <w:t xml:space="preserve"> </w:t>
      </w:r>
    </w:p>
    <w:p w14:paraId="6C1E8664" w14:textId="77777777" w:rsidR="00143EAF" w:rsidRDefault="00000000">
      <w:pPr>
        <w:spacing w:after="277" w:line="259" w:lineRule="auto"/>
        <w:ind w:left="-5" w:right="1428"/>
      </w:pPr>
      <w:r>
        <w:t xml:space="preserve"> The applicant’s prayer is for an order that: - </w:t>
      </w:r>
    </w:p>
    <w:p w14:paraId="6A16892F" w14:textId="77777777" w:rsidR="00143EAF" w:rsidRDefault="00000000">
      <w:pPr>
        <w:numPr>
          <w:ilvl w:val="0"/>
          <w:numId w:val="1"/>
        </w:numPr>
        <w:spacing w:after="117" w:line="259" w:lineRule="auto"/>
        <w:ind w:right="1428" w:hanging="360"/>
      </w:pPr>
      <w:r>
        <w:t xml:space="preserve">The application for condonation for late noting of an appeal be and is hereby granted. </w:t>
      </w:r>
    </w:p>
    <w:p w14:paraId="7D99CEC6" w14:textId="77777777" w:rsidR="00143EAF" w:rsidRDefault="00000000">
      <w:pPr>
        <w:numPr>
          <w:ilvl w:val="0"/>
          <w:numId w:val="1"/>
        </w:numPr>
        <w:spacing w:after="117" w:line="259" w:lineRule="auto"/>
        <w:ind w:right="1428" w:hanging="360"/>
      </w:pPr>
      <w:r>
        <w:t xml:space="preserve">The application for extension of time be and is hereby granted. </w:t>
      </w:r>
    </w:p>
    <w:p w14:paraId="109E880E" w14:textId="77777777" w:rsidR="00143EAF" w:rsidRDefault="00000000">
      <w:pPr>
        <w:numPr>
          <w:ilvl w:val="0"/>
          <w:numId w:val="1"/>
        </w:numPr>
        <w:spacing w:after="0"/>
        <w:ind w:right="1428" w:hanging="360"/>
      </w:pPr>
      <w:r>
        <w:t xml:space="preserve">The applicant be and is hereby ordered to file his appeal within seven (7) days of granting of this order. </w:t>
      </w:r>
    </w:p>
    <w:p w14:paraId="2CD639F5" w14:textId="77777777" w:rsidR="00143EAF" w:rsidRDefault="00000000">
      <w:pPr>
        <w:numPr>
          <w:ilvl w:val="0"/>
          <w:numId w:val="1"/>
        </w:numPr>
        <w:spacing w:after="273" w:line="259" w:lineRule="auto"/>
        <w:ind w:right="1428" w:hanging="360"/>
      </w:pPr>
      <w:r>
        <w:t xml:space="preserve">Each party to bear its own costs. </w:t>
      </w:r>
    </w:p>
    <w:p w14:paraId="317A40AD" w14:textId="77777777" w:rsidR="00143EAF" w:rsidRDefault="00000000">
      <w:pPr>
        <w:pStyle w:val="Heading2"/>
        <w:ind w:left="-5"/>
      </w:pPr>
      <w:r>
        <w:t>ISSUES OF DETERMINATION</w:t>
      </w:r>
      <w:r>
        <w:rPr>
          <w:u w:val="none"/>
        </w:rPr>
        <w:t xml:space="preserve"> </w:t>
      </w:r>
    </w:p>
    <w:p w14:paraId="3A0FEA11" w14:textId="77777777" w:rsidR="00143EAF" w:rsidRDefault="00000000">
      <w:pPr>
        <w:numPr>
          <w:ilvl w:val="0"/>
          <w:numId w:val="2"/>
        </w:numPr>
        <w:spacing w:after="117" w:line="259" w:lineRule="auto"/>
        <w:ind w:right="1428" w:hanging="360"/>
      </w:pPr>
      <w:r>
        <w:t xml:space="preserve">Whether or not the delay is inordinate. </w:t>
      </w:r>
    </w:p>
    <w:p w14:paraId="0F935104" w14:textId="77777777" w:rsidR="00143EAF" w:rsidRDefault="00000000">
      <w:pPr>
        <w:numPr>
          <w:ilvl w:val="0"/>
          <w:numId w:val="2"/>
        </w:numPr>
        <w:spacing w:after="117" w:line="259" w:lineRule="auto"/>
        <w:ind w:right="1428" w:hanging="360"/>
      </w:pPr>
      <w:r>
        <w:t xml:space="preserve">Whether or not the applicant has a reasonable explanation for the delay. </w:t>
      </w:r>
    </w:p>
    <w:p w14:paraId="2197BAD5" w14:textId="77777777" w:rsidR="00143EAF" w:rsidRDefault="00000000">
      <w:pPr>
        <w:numPr>
          <w:ilvl w:val="0"/>
          <w:numId w:val="2"/>
        </w:numPr>
        <w:spacing w:after="117" w:line="259" w:lineRule="auto"/>
        <w:ind w:right="1428" w:hanging="360"/>
      </w:pPr>
      <w:r>
        <w:t xml:space="preserve">Whether or not the applicant has prospects of success on the appeal. </w:t>
      </w:r>
    </w:p>
    <w:p w14:paraId="54E72F94" w14:textId="77777777" w:rsidR="00143EAF" w:rsidRDefault="00000000">
      <w:pPr>
        <w:numPr>
          <w:ilvl w:val="0"/>
          <w:numId w:val="2"/>
        </w:numPr>
        <w:spacing w:after="114" w:line="259" w:lineRule="auto"/>
        <w:ind w:right="1428" w:hanging="360"/>
      </w:pPr>
      <w:r>
        <w:t xml:space="preserve">Whether or not the interests of justice favour the granting of the application. </w:t>
      </w:r>
    </w:p>
    <w:p w14:paraId="4419356E" w14:textId="77777777" w:rsidR="00143EAF" w:rsidRDefault="00000000">
      <w:pPr>
        <w:spacing w:after="274" w:line="259" w:lineRule="auto"/>
        <w:ind w:left="720" w:firstLine="0"/>
        <w:jc w:val="left"/>
      </w:pPr>
      <w:r>
        <w:t xml:space="preserve"> </w:t>
      </w:r>
    </w:p>
    <w:p w14:paraId="16238FAF" w14:textId="77777777" w:rsidR="00143EAF" w:rsidRDefault="00000000">
      <w:pPr>
        <w:pStyle w:val="Heading2"/>
        <w:ind w:left="-5"/>
      </w:pPr>
      <w:r>
        <w:t>THE RELEVANT LAW</w:t>
      </w:r>
      <w:r>
        <w:rPr>
          <w:u w:val="none"/>
        </w:rPr>
        <w:t xml:space="preserve"> </w:t>
      </w:r>
    </w:p>
    <w:p w14:paraId="6D4BF46E" w14:textId="77777777" w:rsidR="00143EAF" w:rsidRDefault="00000000">
      <w:pPr>
        <w:ind w:left="-5" w:right="1428"/>
      </w:pPr>
      <w:r>
        <w:t xml:space="preserve">The law relating to condonation for non-compliance with the rules is well established in our jurisdiction. In </w:t>
      </w:r>
      <w:r>
        <w:rPr>
          <w:i/>
        </w:rPr>
        <w:t xml:space="preserve">Kodzwa </w:t>
      </w:r>
      <w:r>
        <w:t>v</w:t>
      </w:r>
      <w:r>
        <w:rPr>
          <w:i/>
        </w:rPr>
        <w:t xml:space="preserve"> Secretary for Health and Anor </w:t>
      </w:r>
      <w:r>
        <w:t xml:space="preserve">1999 (1) ZLR 313 (SC) the court held as follows: </w:t>
      </w:r>
    </w:p>
    <w:p w14:paraId="15ED0139" w14:textId="77777777" w:rsidR="00143EAF" w:rsidRDefault="00000000">
      <w:pPr>
        <w:spacing w:after="160" w:line="358" w:lineRule="auto"/>
        <w:ind w:left="-5" w:right="1428"/>
      </w:pPr>
      <w:r>
        <w:rPr>
          <w:i/>
        </w:rPr>
        <w:t xml:space="preserve">“The factors which the court should consider in determining an application for condonation are clearly set out </w:t>
      </w:r>
      <w:proofErr w:type="gramStart"/>
      <w:r>
        <w:rPr>
          <w:i/>
        </w:rPr>
        <w:t xml:space="preserve">in  </w:t>
      </w:r>
      <w:proofErr w:type="spellStart"/>
      <w:r>
        <w:rPr>
          <w:b/>
          <w:i/>
        </w:rPr>
        <w:t>Herberstein</w:t>
      </w:r>
      <w:proofErr w:type="spellEnd"/>
      <w:proofErr w:type="gramEnd"/>
      <w:r>
        <w:rPr>
          <w:b/>
          <w:i/>
        </w:rPr>
        <w:t xml:space="preserve"> and Van Winsen</w:t>
      </w:r>
      <w:r>
        <w:rPr>
          <w:i/>
        </w:rPr>
        <w:t>, The Civil Practice of the High Courts of South African, 5</w:t>
      </w:r>
      <w:r>
        <w:rPr>
          <w:i/>
          <w:vertAlign w:val="superscript"/>
        </w:rPr>
        <w:t>th</w:t>
      </w:r>
      <w:r>
        <w:rPr>
          <w:i/>
        </w:rPr>
        <w:t xml:space="preserve"> edition, </w:t>
      </w:r>
      <w:proofErr w:type="spellStart"/>
      <w:r>
        <w:rPr>
          <w:i/>
        </w:rPr>
        <w:t>Citters</w:t>
      </w:r>
      <w:proofErr w:type="spellEnd"/>
      <w:r>
        <w:rPr>
          <w:i/>
        </w:rPr>
        <w:t xml:space="preserve"> and Loots at page 897-898 as follows: </w:t>
      </w:r>
    </w:p>
    <w:p w14:paraId="4054927E" w14:textId="77777777" w:rsidR="00143EAF" w:rsidRDefault="00000000">
      <w:pPr>
        <w:spacing w:after="58" w:line="445" w:lineRule="auto"/>
        <w:ind w:left="-5" w:right="1428"/>
      </w:pPr>
      <w:r>
        <w:rPr>
          <w:i/>
        </w:rPr>
        <w:t xml:space="preserve">“Condonation of the non-observance of the rules is by no means a mere formality.  It is for the applicant to satisfy the court that there is sufficient cause to excuse him from compliance.” </w:t>
      </w:r>
      <w:r>
        <w:t xml:space="preserve">Thus, condonation is a discretionary remedy awarded to a party upon showing good cause. </w:t>
      </w:r>
    </w:p>
    <w:p w14:paraId="0784BAC0" w14:textId="77777777" w:rsidR="00143EAF" w:rsidRDefault="00000000">
      <w:pPr>
        <w:spacing w:after="0" w:line="259" w:lineRule="auto"/>
        <w:ind w:left="0" w:firstLine="0"/>
        <w:jc w:val="left"/>
      </w:pPr>
      <w:r>
        <w:t xml:space="preserve"> </w:t>
      </w:r>
    </w:p>
    <w:p w14:paraId="09FD1C76" w14:textId="77777777" w:rsidR="00143EAF" w:rsidRDefault="00000000">
      <w:pPr>
        <w:ind w:left="-5" w:right="1428"/>
      </w:pPr>
      <w:r>
        <w:lastRenderedPageBreak/>
        <w:t xml:space="preserve">The factors to be considered in an application of this nature were set out in the case of </w:t>
      </w:r>
      <w:r>
        <w:rPr>
          <w:i/>
        </w:rPr>
        <w:t xml:space="preserve">Bishi </w:t>
      </w:r>
      <w:r>
        <w:t>v</w:t>
      </w:r>
      <w:r>
        <w:rPr>
          <w:i/>
        </w:rPr>
        <w:t xml:space="preserve"> Secretary for Education</w:t>
      </w:r>
      <w:r>
        <w:t xml:space="preserve"> 1989 (2) ZLR 240 (HC) </w:t>
      </w:r>
      <w:r>
        <w:rPr>
          <w:i/>
        </w:rPr>
        <w:t xml:space="preserve">and United Plant Hire (Pvt) Ltd </w:t>
      </w:r>
      <w:r>
        <w:t>v</w:t>
      </w:r>
      <w:r>
        <w:rPr>
          <w:i/>
        </w:rPr>
        <w:t xml:space="preserve"> Hills and Others </w:t>
      </w:r>
      <w:r>
        <w:t xml:space="preserve">1976 (1) SA 717 (A): </w:t>
      </w:r>
    </w:p>
    <w:p w14:paraId="4E39A3FF" w14:textId="77777777" w:rsidR="00143EAF" w:rsidRDefault="00000000">
      <w:pPr>
        <w:numPr>
          <w:ilvl w:val="0"/>
          <w:numId w:val="3"/>
        </w:numPr>
        <w:spacing w:after="279" w:line="259" w:lineRule="auto"/>
        <w:ind w:right="1428" w:hanging="360"/>
      </w:pPr>
      <w:r>
        <w:t xml:space="preserve">degree of non-compliance </w:t>
      </w:r>
    </w:p>
    <w:p w14:paraId="14555245" w14:textId="77777777" w:rsidR="00143EAF" w:rsidRDefault="00000000">
      <w:pPr>
        <w:numPr>
          <w:ilvl w:val="0"/>
          <w:numId w:val="3"/>
        </w:numPr>
        <w:spacing w:after="278" w:line="259" w:lineRule="auto"/>
        <w:ind w:right="1428" w:hanging="360"/>
      </w:pPr>
      <w:r>
        <w:t xml:space="preserve">the explanation thereof </w:t>
      </w:r>
    </w:p>
    <w:p w14:paraId="2841D25F" w14:textId="77777777" w:rsidR="00143EAF" w:rsidRDefault="00000000">
      <w:pPr>
        <w:numPr>
          <w:ilvl w:val="0"/>
          <w:numId w:val="3"/>
        </w:numPr>
        <w:spacing w:after="278" w:line="259" w:lineRule="auto"/>
        <w:ind w:right="1428" w:hanging="360"/>
      </w:pPr>
      <w:r>
        <w:t xml:space="preserve">prospects of success on merits  </w:t>
      </w:r>
    </w:p>
    <w:p w14:paraId="00304DEC" w14:textId="77777777" w:rsidR="00143EAF" w:rsidRDefault="00000000">
      <w:pPr>
        <w:numPr>
          <w:ilvl w:val="0"/>
          <w:numId w:val="3"/>
        </w:numPr>
        <w:spacing w:after="278" w:line="259" w:lineRule="auto"/>
        <w:ind w:right="1428" w:hanging="360"/>
      </w:pPr>
      <w:r>
        <w:t xml:space="preserve">the importance of the case </w:t>
      </w:r>
    </w:p>
    <w:p w14:paraId="582A0E2E" w14:textId="77777777" w:rsidR="00143EAF" w:rsidRDefault="00000000">
      <w:pPr>
        <w:numPr>
          <w:ilvl w:val="0"/>
          <w:numId w:val="3"/>
        </w:numPr>
        <w:spacing w:after="278" w:line="259" w:lineRule="auto"/>
        <w:ind w:right="1428" w:hanging="360"/>
      </w:pPr>
      <w:r>
        <w:t xml:space="preserve">the convenience of the court </w:t>
      </w:r>
    </w:p>
    <w:p w14:paraId="606EE46F" w14:textId="77777777" w:rsidR="00143EAF" w:rsidRDefault="00000000">
      <w:pPr>
        <w:numPr>
          <w:ilvl w:val="0"/>
          <w:numId w:val="3"/>
        </w:numPr>
        <w:spacing w:after="273" w:line="259" w:lineRule="auto"/>
        <w:ind w:right="1428" w:hanging="360"/>
      </w:pPr>
      <w:r>
        <w:t xml:space="preserve">avoidance of unnecessary delays in the administration of justice. </w:t>
      </w:r>
    </w:p>
    <w:p w14:paraId="193E69DE" w14:textId="77777777" w:rsidR="00143EAF" w:rsidRDefault="00000000">
      <w:pPr>
        <w:spacing w:after="273" w:line="259" w:lineRule="auto"/>
        <w:ind w:left="-5" w:right="1428"/>
      </w:pPr>
      <w:r>
        <w:t xml:space="preserve"> These factors are considered cumulatively. </w:t>
      </w:r>
    </w:p>
    <w:p w14:paraId="0A702093" w14:textId="77777777" w:rsidR="00143EAF" w:rsidRDefault="00000000">
      <w:pPr>
        <w:spacing w:after="325" w:line="259" w:lineRule="auto"/>
        <w:ind w:left="0" w:firstLine="0"/>
        <w:jc w:val="left"/>
      </w:pPr>
      <w:r>
        <w:t xml:space="preserve"> </w:t>
      </w:r>
    </w:p>
    <w:p w14:paraId="0A9E605A" w14:textId="77777777" w:rsidR="00143EAF" w:rsidRDefault="00000000">
      <w:pPr>
        <w:pStyle w:val="Heading2"/>
        <w:ind w:left="-5"/>
      </w:pPr>
      <w:r>
        <w:t>APPLICANT’S SUBMISSIONS</w:t>
      </w:r>
      <w:r>
        <w:rPr>
          <w:u w:val="none"/>
        </w:rPr>
        <w:t xml:space="preserve"> </w:t>
      </w:r>
    </w:p>
    <w:p w14:paraId="78E311F7" w14:textId="77777777" w:rsidR="00143EAF" w:rsidRDefault="00000000">
      <w:pPr>
        <w:ind w:left="-5" w:right="1428"/>
      </w:pPr>
      <w:r>
        <w:t xml:space="preserve">The applicant submitted that he was charged with misconduct on 8 August 2025 and dismissed on 25 August 2025, and that his internal appeal was dismissed by the Appeals Officer on 12 September 2025, thereby exhausting the internal remedies. He submitted that, being aggrieved by that outcome, he immediately pursued an appeal before a Labour Officer in terms of s 8(6) of S.I. 15 of 2006 read with the Labour Act, and that the matter went through conciliation and was later referred to compulsory arbitration, a process which took several weeks largely due to delays and requests for extensions by the respondent.  </w:t>
      </w:r>
    </w:p>
    <w:p w14:paraId="3A35368E" w14:textId="77777777" w:rsidR="00143EAF" w:rsidRDefault="00000000">
      <w:pPr>
        <w:ind w:left="-5" w:right="1428"/>
      </w:pPr>
      <w:r>
        <w:t xml:space="preserve">The applicant submitted that he initially acted as a self-actor and only later secured legal representation after obtaining financial assistance, and it was only then that he was advised, on the basis of the decision in </w:t>
      </w:r>
      <w:proofErr w:type="spellStart"/>
      <w:r>
        <w:rPr>
          <w:i/>
        </w:rPr>
        <w:t>Sakarombe</w:t>
      </w:r>
      <w:proofErr w:type="spellEnd"/>
      <w:r>
        <w:rPr>
          <w:i/>
        </w:rPr>
        <w:t xml:space="preserve"> &amp; Another </w:t>
      </w:r>
      <w:r>
        <w:t>v</w:t>
      </w:r>
      <w:r>
        <w:rPr>
          <w:i/>
        </w:rPr>
        <w:t xml:space="preserve"> Montana Carswell Meats (Pvt) Ltd</w:t>
      </w:r>
      <w:r>
        <w:t xml:space="preserve"> SC-4420, that the Labour Officer lacked jurisdiction to determine an appeal that had already been concluded by a disciplinary authority, prompting him to withdraw the matter before arbitration. He submitted that this genuine misunderstanding of the law, compounded by his lack of legal knowledge and financial constraints following his dismissal, caused the delay in filing the present appeal with the court.  </w:t>
      </w:r>
    </w:p>
    <w:p w14:paraId="267AA8F3" w14:textId="77777777" w:rsidR="00143EAF" w:rsidRDefault="00000000">
      <w:pPr>
        <w:ind w:left="-5" w:right="1428"/>
      </w:pPr>
      <w:r>
        <w:t xml:space="preserve">The applicant emphasized that the delay was not inordinate, being approximately 54 days from when the appeal ought to have been filed, or about 15 days from the date he withdrew the matter </w:t>
      </w:r>
      <w:r>
        <w:lastRenderedPageBreak/>
        <w:t xml:space="preserve">before the arbitrator. During oral submissions, counsel for the applicant acknowledged the court’s observation regarding the amendment to the Labour Act through Act Number 11 of 2023 which permits appeals to Labour Officers but maintained that once the jurisdictional point was </w:t>
      </w:r>
      <w:proofErr w:type="gramStart"/>
      <w:r>
        <w:t>raised</w:t>
      </w:r>
      <w:proofErr w:type="gramEnd"/>
      <w:r>
        <w:t xml:space="preserve"> he believed he had improperly approached the forum and withdrew the matter, by which time the appeal period had already lapsed.  </w:t>
      </w:r>
    </w:p>
    <w:p w14:paraId="4AB03111" w14:textId="77777777" w:rsidR="00143EAF" w:rsidRDefault="00000000">
      <w:pPr>
        <w:ind w:left="-5" w:right="1428"/>
      </w:pPr>
      <w:r>
        <w:t xml:space="preserve">Further, the applicant submitted that the intended appeal enjoys reasonable prospects of success in that the Appeals Officer allegedly committed several material </w:t>
      </w:r>
      <w:proofErr w:type="spellStart"/>
      <w:r>
        <w:t>misdirections</w:t>
      </w:r>
      <w:proofErr w:type="spellEnd"/>
      <w:r>
        <w:t xml:space="preserve"> of fact and law in upholding the guilty verdict and the sanction of dismissal. He submitted that the finding of misconduct was not supported by the facts and evidence placed before the disciplinary authority, contending that the witnesses who testified confirmed that the transactions in question were private arrangements between themselves and the applicant and had no connection to the employment relationship. </w:t>
      </w:r>
    </w:p>
    <w:p w14:paraId="64573B41" w14:textId="77777777" w:rsidR="00143EAF" w:rsidRDefault="00000000">
      <w:pPr>
        <w:ind w:left="-5" w:right="1428"/>
      </w:pPr>
      <w:r>
        <w:t xml:space="preserve"> He argued that the conduct complained of amounted, at most, to a moral issue rather than a legal wrong capable of constituting misconduct, and that there was no evidence demonstrating that the private financial transactions breached any express or implied term of his contract of employment.  </w:t>
      </w:r>
    </w:p>
    <w:p w14:paraId="018923E7" w14:textId="77777777" w:rsidR="00143EAF" w:rsidRDefault="00000000">
      <w:pPr>
        <w:ind w:left="-5" w:right="1428"/>
      </w:pPr>
      <w:r>
        <w:t xml:space="preserve">The applicant further submitted that the Appeals Officer failed to properly evaluate the credibility of witnesses and overlooked material issues, including the alleged conflict of interest arising from the complainant and other participants in the proceedings who had themselves borrowed money from the applicant. He also contended that the disciplinary authorities erred in upholding a guilty finding on matters not properly supported by the charge, including allegations relating to the deferral of his studies, despite evidence that the loan advanced to him was insufficient to cover the required tuition fees and that his explanation had not been rebutted.  </w:t>
      </w:r>
    </w:p>
    <w:p w14:paraId="05330EFE" w14:textId="77777777" w:rsidR="00143EAF" w:rsidRDefault="00000000">
      <w:pPr>
        <w:ind w:left="-5" w:right="1428"/>
      </w:pPr>
      <w:r>
        <w:t xml:space="preserve">In addition, he argued that the respondent had denied him access to and formatted his work laptop after he was charged, thereby destroying email communications and other information which could have supported his defence, and that the failure by the tribunal to consider this issue was prejudicial to him.  </w:t>
      </w:r>
    </w:p>
    <w:p w14:paraId="12D2D0FD" w14:textId="77777777" w:rsidR="00143EAF" w:rsidRDefault="00000000">
      <w:pPr>
        <w:spacing w:after="207"/>
        <w:ind w:left="-5" w:right="1428"/>
      </w:pPr>
      <w:r>
        <w:t xml:space="preserve"> The applicant submitted that the treatment he received was unjustified given the circumstances of the case, and that even if he had been convicted, the appropriate sanction should have been a second written warning rather than dismissal. He argued that an unfair labour practice had been committed, warranting the court’s intervention. The applicant further contended that he </w:t>
      </w:r>
      <w:r>
        <w:lastRenderedPageBreak/>
        <w:t xml:space="preserve">suffered serious prejudice by being convicted when the facts and evidence entitled him to an acquittal, leaving him unemployed and financially strained, with his family bearing the brunt of the hardship. He maintained that an order of costs would not adequately remedy the prejudice, which was aggravated by the appeals officer’s reliance on a moral rather than a legal yardstick in assessing his case. </w:t>
      </w:r>
    </w:p>
    <w:p w14:paraId="3CA8270D" w14:textId="77777777" w:rsidR="00143EAF" w:rsidRDefault="00000000">
      <w:pPr>
        <w:pStyle w:val="Heading2"/>
        <w:ind w:left="-5"/>
      </w:pPr>
      <w:r>
        <w:t>RESPONDENT’S SUBMISSIONS</w:t>
      </w:r>
      <w:r>
        <w:rPr>
          <w:u w:val="none"/>
        </w:rPr>
        <w:t xml:space="preserve"> </w:t>
      </w:r>
    </w:p>
    <w:p w14:paraId="19EEED95" w14:textId="77777777" w:rsidR="00143EAF" w:rsidRDefault="00000000">
      <w:pPr>
        <w:ind w:left="-5" w:right="1428"/>
      </w:pPr>
      <w:r>
        <w:t xml:space="preserve">The respondent argued that the applicant had not provided any explanation for the delay between the withdrawal of the arbitration proceedings in mid-December 2025 and the filing of the present application on 12 January 2026, submitting that the application for condonation ought to have been made immediately upon the withdrawal of the matter.  </w:t>
      </w:r>
    </w:p>
    <w:p w14:paraId="7E1D1A3B" w14:textId="77777777" w:rsidR="00143EAF" w:rsidRDefault="00000000">
      <w:pPr>
        <w:ind w:left="-5" w:right="1428"/>
      </w:pPr>
      <w:r>
        <w:t xml:space="preserve">It was further submitted that the explanation advanced by the applicant, namely that he had been a self-actor who mistakenly approached the wrong forum due to ignorance of the law, was a misrepresentation of facts because the applicant had in fact been legally represented during the conciliation stage, and therefore could not rely on lack of legal knowledge as justification for the delay. Reference was made to a letter by applicant’s legal practitioners seeking a postponement of the hearing before the arbitrator.  </w:t>
      </w:r>
    </w:p>
    <w:p w14:paraId="3D8456F9" w14:textId="77777777" w:rsidR="00143EAF" w:rsidRDefault="00000000">
      <w:pPr>
        <w:ind w:left="-5" w:right="1428"/>
      </w:pPr>
      <w:r>
        <w:t xml:space="preserve">During oral submissions counsel for the respondent further argued that the applicant had in fact initially followed the correct procedure by approaching the Labour Officer in terms of the Labour Act, and that the withdrawal of the matter from that forum was based on a misunderstanding of the law. The respondent submitted that the statutory framework provides that a dispute should first be dealt with by the Labour Officer and, where necessary, referred to arbitration, and that an appeal to the Labour Court can only arise thereafter and only on a </w:t>
      </w:r>
    </w:p>
    <w:p w14:paraId="19096CF2" w14:textId="77777777" w:rsidR="00143EAF" w:rsidRDefault="00000000">
      <w:pPr>
        <w:ind w:left="-5" w:right="1428"/>
      </w:pPr>
      <w:r>
        <w:t xml:space="preserve">point of law in terms of Section 98(10) of the Labour Act. On that basis, the respondent urged the Court to decline jurisdiction and dismiss the application, contending that the applicant ought instead to exhaust the statutory procedure by pursuing the matter through the Labour Officer. </w:t>
      </w:r>
    </w:p>
    <w:p w14:paraId="19A53544" w14:textId="77777777" w:rsidR="00143EAF" w:rsidRDefault="00000000">
      <w:pPr>
        <w:spacing w:after="197"/>
        <w:ind w:left="-5" w:right="1428"/>
      </w:pPr>
      <w:r>
        <w:t xml:space="preserve">Further, the respondent submitted that the intended appeal lacked prospects of success and that the draft notice of appeal was defective in that it failed to set out clear, concise and valid grounds of appeal. It was argued that the purported grounds of appeal merely made broad allegations of misdirection without identifying the relevant charges, evidence or findings allegedly impugned, and that neither the notice of appeal nor the heads of argument meaningfully substantiated the grounds advanced. In support of this, the respondent relied on </w:t>
      </w:r>
      <w:proofErr w:type="spellStart"/>
      <w:r>
        <w:rPr>
          <w:i/>
        </w:rPr>
        <w:lastRenderedPageBreak/>
        <w:t>Chikura</w:t>
      </w:r>
      <w:proofErr w:type="spellEnd"/>
      <w:r>
        <w:rPr>
          <w:i/>
        </w:rPr>
        <w:t xml:space="preserve"> N.O &amp; Anor </w:t>
      </w:r>
      <w:r>
        <w:t>v</w:t>
      </w:r>
      <w:r>
        <w:rPr>
          <w:i/>
        </w:rPr>
        <w:t xml:space="preserve"> Al Shams Global BVI</w:t>
      </w:r>
      <w:r>
        <w:t xml:space="preserve"> SC-17-17. Thus, the respondent submitted that there was nothing before the court upon which it could properly assess prospects of success.  </w:t>
      </w:r>
    </w:p>
    <w:p w14:paraId="71F931C4" w14:textId="77777777" w:rsidR="00143EAF" w:rsidRDefault="00000000">
      <w:pPr>
        <w:ind w:left="-5" w:right="1428"/>
      </w:pPr>
      <w:r>
        <w:t xml:space="preserve">The respondent further argued that the applicant’s contention that the transactions were purely private was misplaced, as the Appeals Officer had already found that the transactions arose from workplace relationships. Thus, they had a direct impact on the working environment, particularly because the individuals involved had no personal relationship with the applicant outside the workplace and the consequences of the transactions created disharmony among employees. Reference was made to the case of </w:t>
      </w:r>
      <w:r>
        <w:rPr>
          <w:i/>
        </w:rPr>
        <w:t xml:space="preserve">Horn </w:t>
      </w:r>
      <w:r>
        <w:t>v</w:t>
      </w:r>
      <w:r>
        <w:rPr>
          <w:i/>
        </w:rPr>
        <w:t xml:space="preserve"> Commissioner </w:t>
      </w:r>
      <w:proofErr w:type="spellStart"/>
      <w:r>
        <w:rPr>
          <w:i/>
        </w:rPr>
        <w:t>Beesnaar</w:t>
      </w:r>
      <w:proofErr w:type="spellEnd"/>
      <w:r>
        <w:rPr>
          <w:i/>
        </w:rPr>
        <w:t xml:space="preserve"> N.O &amp; Ors</w:t>
      </w:r>
      <w:r>
        <w:t xml:space="preserve"> (JA66/2020) [2021] ZALAC 56 to that effect.  </w:t>
      </w:r>
    </w:p>
    <w:p w14:paraId="7FF711A7" w14:textId="77777777" w:rsidR="00143EAF" w:rsidRDefault="00000000">
      <w:pPr>
        <w:ind w:left="-5" w:right="1428"/>
      </w:pPr>
      <w:r>
        <w:t xml:space="preserve">The respondent emphasised that the applicant had abused his position of trust by using confidential information obtained through his employment to identify and approach employees who had received loans or termination packages, thereby engaging in private financial dealings with them for personal benefit in breach of workplace rules and the implied terms of the employment relationship. </w:t>
      </w:r>
    </w:p>
    <w:p w14:paraId="446D31C6" w14:textId="77777777" w:rsidR="00143EAF" w:rsidRDefault="00000000">
      <w:pPr>
        <w:ind w:left="-5" w:right="1428"/>
      </w:pPr>
      <w:r>
        <w:t xml:space="preserve"> It was further submitted that the applicant had also acted dishonestly in relation to the educational loan by applying for the loan through another official after his initial application had been rejected, without disclosing the prior rejection, and thereafter failing to enrol for the studies for which the loan had been granted, while only later raising the explanation that the funds were insufficient.  </w:t>
      </w:r>
    </w:p>
    <w:p w14:paraId="2C1B4762" w14:textId="77777777" w:rsidR="00143EAF" w:rsidRDefault="00000000">
      <w:pPr>
        <w:ind w:left="-5" w:right="1428"/>
      </w:pPr>
      <w:r>
        <w:t xml:space="preserve">The respondent maintained that the disciplinary authority had properly exercised its discretion in imposing the penalty of dismissal, particularly given the applicant’s position of trust and access to confidential information, and that an appellate body should not interfere with such discretion in the absence of a clear misdirection. Relying on </w:t>
      </w:r>
      <w:proofErr w:type="spellStart"/>
      <w:r>
        <w:rPr>
          <w:i/>
        </w:rPr>
        <w:t>Innscor</w:t>
      </w:r>
      <w:proofErr w:type="spellEnd"/>
      <w:r>
        <w:rPr>
          <w:i/>
        </w:rPr>
        <w:t xml:space="preserve"> Africa (Pvt) Ltd </w:t>
      </w:r>
      <w:r>
        <w:t>v</w:t>
      </w:r>
      <w:r>
        <w:rPr>
          <w:i/>
        </w:rPr>
        <w:t xml:space="preserve"> </w:t>
      </w:r>
      <w:proofErr w:type="spellStart"/>
      <w:r>
        <w:rPr>
          <w:i/>
        </w:rPr>
        <w:t>Chimoto</w:t>
      </w:r>
      <w:proofErr w:type="spellEnd"/>
      <w:r>
        <w:t xml:space="preserve"> SC-6-12, the respondent therefore contended that the applicant had failed to demonstrate any misdirection warranting interference and that the application should be dismissed, further arguing that the matter had already been unnecessarily prolonged through multiple proceedings and that there should be finality to the dispute. </w:t>
      </w:r>
    </w:p>
    <w:p w14:paraId="2D8E34E6" w14:textId="77777777" w:rsidR="00143EAF" w:rsidRDefault="00000000">
      <w:pPr>
        <w:pStyle w:val="Heading2"/>
        <w:ind w:left="-5"/>
      </w:pPr>
      <w:r>
        <w:t>ANALYSIS</w:t>
      </w:r>
      <w:r>
        <w:rPr>
          <w:u w:val="none"/>
        </w:rPr>
        <w:t xml:space="preserve"> </w:t>
      </w:r>
    </w:p>
    <w:p w14:paraId="43901B2B" w14:textId="77777777" w:rsidR="00143EAF" w:rsidRDefault="00000000">
      <w:pPr>
        <w:pStyle w:val="Heading3"/>
        <w:spacing w:after="273"/>
        <w:ind w:left="435" w:right="1423"/>
      </w:pPr>
      <w:r>
        <w:rPr>
          <w:b w:val="0"/>
        </w:rPr>
        <w:t>1.</w:t>
      </w:r>
      <w:r>
        <w:rPr>
          <w:rFonts w:ascii="Arial" w:eastAsia="Arial" w:hAnsi="Arial" w:cs="Arial"/>
          <w:b w:val="0"/>
        </w:rPr>
        <w:t xml:space="preserve"> </w:t>
      </w:r>
      <w:r>
        <w:t>Whether or not the delay is inordinate</w:t>
      </w:r>
      <w:r>
        <w:rPr>
          <w:i/>
        </w:rPr>
        <w:t xml:space="preserve"> </w:t>
      </w:r>
    </w:p>
    <w:p w14:paraId="0A6F22A2" w14:textId="77777777" w:rsidR="00143EAF" w:rsidRDefault="00000000">
      <w:pPr>
        <w:ind w:left="-5" w:right="1428"/>
      </w:pPr>
      <w:r>
        <w:t xml:space="preserve">The applicant acknowledges that the appeal was filed 54 days out of time. While each case must be assessed on its own facts, a delay approaching two months cannot be regarded as </w:t>
      </w:r>
      <w:r>
        <w:lastRenderedPageBreak/>
        <w:t xml:space="preserve">insignificant. The Labour Court has consistently emphasised that the statutory time limits governing labour appeals exist to ensure expeditious resolution of employment disputes, which are often urgent in nature. It is important to note that the withdrawal of the case from the arbitrator was as a result of failure by the legal practitioner to understand the relevant law applicable to cases of this nature.  </w:t>
      </w:r>
    </w:p>
    <w:p w14:paraId="64904471" w14:textId="77777777" w:rsidR="00143EAF" w:rsidRDefault="00000000">
      <w:pPr>
        <w:ind w:left="-5" w:right="1428"/>
      </w:pPr>
      <w:r>
        <w:t xml:space="preserve">A delay of 54 days, particularly in the absence of a cogent explanation covering the entire period of default, must be regarded as substantial. The respondent correctly points out that even after the applicant withdrew the arbitration proceedings in mid-December 2025, the present application was only filed on 12 January 2026, without adequate explanation provided for that period. In </w:t>
      </w:r>
      <w:r>
        <w:rPr>
          <w:b/>
        </w:rPr>
        <w:t>David Chiweza v Munyaradzi Mangwana &amp; Ors</w:t>
      </w:r>
      <w:r>
        <w:t xml:space="preserve"> </w:t>
      </w:r>
      <w:r>
        <w:rPr>
          <w:b/>
        </w:rPr>
        <w:t>HH-186-17,</w:t>
      </w:r>
      <w:r>
        <w:t xml:space="preserve"> the court held as follows:  </w:t>
      </w:r>
    </w:p>
    <w:p w14:paraId="0D9E879C" w14:textId="77777777" w:rsidR="00143EAF" w:rsidRDefault="00000000">
      <w:pPr>
        <w:spacing w:after="160" w:line="358" w:lineRule="auto"/>
        <w:ind w:left="730" w:right="1428"/>
      </w:pPr>
      <w:r>
        <w:rPr>
          <w:i/>
        </w:rPr>
        <w:t>“The applicant is required to give a full, detailed and reasonable explanation for the delay in bringing the application. The full period of the delay and the date when action was eventually taken should be spelt out in the application to assist the court in determining the degree of non-compliance</w:t>
      </w:r>
      <w:r>
        <w:t xml:space="preserve">.”  </w:t>
      </w:r>
    </w:p>
    <w:p w14:paraId="15C51602" w14:textId="77777777" w:rsidR="00143EAF" w:rsidRDefault="00000000">
      <w:pPr>
        <w:ind w:left="-5" w:right="1428"/>
      </w:pPr>
      <w:r>
        <w:t xml:space="preserve">Thus, an applicant seeking condonation must account for the entire period of delay. Failure to do so is ordinarily fatal. </w:t>
      </w:r>
    </w:p>
    <w:p w14:paraId="44EA1641" w14:textId="77777777" w:rsidR="00143EAF" w:rsidRDefault="00000000">
      <w:pPr>
        <w:pStyle w:val="Heading3"/>
        <w:spacing w:after="273"/>
        <w:ind w:left="435" w:right="1423"/>
      </w:pPr>
      <w:r>
        <w:rPr>
          <w:b w:val="0"/>
        </w:rPr>
        <w:t>2.</w:t>
      </w:r>
      <w:r>
        <w:rPr>
          <w:rFonts w:ascii="Arial" w:eastAsia="Arial" w:hAnsi="Arial" w:cs="Arial"/>
          <w:b w:val="0"/>
        </w:rPr>
        <w:t xml:space="preserve"> </w:t>
      </w:r>
      <w:r>
        <w:t>Whether or not there is a reasonable explanation for the delay</w:t>
      </w:r>
      <w:r>
        <w:rPr>
          <w:i/>
        </w:rPr>
        <w:t xml:space="preserve"> </w:t>
      </w:r>
    </w:p>
    <w:p w14:paraId="6364990C" w14:textId="77777777" w:rsidR="00143EAF" w:rsidRDefault="00000000">
      <w:pPr>
        <w:ind w:left="-5" w:right="1428"/>
      </w:pPr>
      <w:r>
        <w:t xml:space="preserve">The applicant’s explanation hinges on reliance upon the decision in </w:t>
      </w:r>
      <w:proofErr w:type="spellStart"/>
      <w:r>
        <w:t>Sakarombe</w:t>
      </w:r>
      <w:proofErr w:type="spellEnd"/>
      <w:r>
        <w:t xml:space="preserve"> &amp; Another v Montana Carswell Meats (Pvt) Ltd (supra), which held that once a disciplinary authority has determined an appeal under an employment code, the matter could not be appealed before a Labour Officer. However, that position no longer reflects the current statutory framework. </w:t>
      </w:r>
    </w:p>
    <w:p w14:paraId="25504E9B" w14:textId="77777777" w:rsidR="00143EAF" w:rsidRDefault="00000000">
      <w:pPr>
        <w:ind w:left="-5" w:right="1428"/>
      </w:pPr>
      <w:r>
        <w:t xml:space="preserve">The Labour Amendment Act, 2023 introduced a proviso to section 101(5) of the Labour Act which now provides: </w:t>
      </w:r>
    </w:p>
    <w:p w14:paraId="14E463B5" w14:textId="77777777" w:rsidR="00143EAF" w:rsidRDefault="00000000">
      <w:pPr>
        <w:spacing w:after="160" w:line="358" w:lineRule="auto"/>
        <w:ind w:left="730" w:right="1428"/>
      </w:pPr>
      <w:r>
        <w:rPr>
          <w:i/>
        </w:rPr>
        <w:t xml:space="preserve">“Provided that at the conclusion of such proceedings and notwithstanding anything to the contrary in an employment code, at the instance of any party aggrieved by those proceedings may appeal to a labour officer within 30 days of the conclusion of the proceedings whereupon the labour officer shall attempt to conciliate the dispute in terms of section 93 or exercise any other power provided for in that section․” </w:t>
      </w:r>
    </w:p>
    <w:p w14:paraId="18D1D09A" w14:textId="77777777" w:rsidR="00143EAF" w:rsidRDefault="00000000">
      <w:pPr>
        <w:ind w:left="-5" w:right="1428"/>
      </w:pPr>
      <w:r>
        <w:lastRenderedPageBreak/>
        <w:t xml:space="preserve">The effect of this amendment is that an aggrieved employee now has the option of appealing to a Labour Officer after the conclusion of disciplinary proceedings under an employment code. This represents a legislative change to the legal position that existed when the </w:t>
      </w:r>
      <w:proofErr w:type="spellStart"/>
      <w:r>
        <w:t>Sakarombe</w:t>
      </w:r>
      <w:proofErr w:type="spellEnd"/>
      <w:r>
        <w:t xml:space="preserve"> decision was decided. Importantly, however, the amendment did not remove the jurisdiction of the Labour Court to hear appeals from employment codes. It merely introduced an additional avenue whereby an aggrieved party may elect to approach a Labour Officer for conciliation or arbitration.  </w:t>
      </w:r>
    </w:p>
    <w:p w14:paraId="443C601D" w14:textId="77777777" w:rsidR="00143EAF" w:rsidRDefault="00000000">
      <w:pPr>
        <w:ind w:left="-5" w:right="1428"/>
      </w:pPr>
      <w:r>
        <w:t xml:space="preserve">A misreading or misinterpretation of the law by a litigant or legal practitioner cannot ordinarily be regarded as a reasonable explanation for delay. Legal practitioners are expected to be conversant with the current law, particularly where legislative amendments have clarified the position. In the present matter, the applicant’s representative relied upon a 2020 case law position without appreciating the statutory amendment introduced in 2023. Such an error does not constitute a sufficient justification for failing to comply with the statutory time limits. </w:t>
      </w:r>
    </w:p>
    <w:p w14:paraId="5B400CE7" w14:textId="77777777" w:rsidR="00143EAF" w:rsidRDefault="00000000">
      <w:pPr>
        <w:ind w:left="-5" w:right="1428"/>
      </w:pPr>
      <w:r>
        <w:t xml:space="preserve">The applicant also submitted that he had initially acted as a self-actor due to financial constraints. However, this is contrary to the letter dated 22 October 2025 from the applicant’s legal practitioners requesting a change of time for an appeal hearing before the Labour Officer. This correspondence demonstrates that the applicant was legally represented during the proceedings before the Labour Officer, contrary to the impression created in his submissions. It reinforces the conclusion that the delay resulted not from ignorance of the law by an unrepresented litigant, but from a misinterpretation of the law by the applicant’s legal representatives. </w:t>
      </w:r>
    </w:p>
    <w:p w14:paraId="433BE7FD" w14:textId="77777777" w:rsidR="00143EAF" w:rsidRDefault="00000000">
      <w:pPr>
        <w:ind w:left="-5" w:right="1428"/>
      </w:pPr>
      <w:r>
        <w:t xml:space="preserve">Though an objection as to the jurisdiction of the arbitrator based on the </w:t>
      </w:r>
      <w:proofErr w:type="spellStart"/>
      <w:r>
        <w:t>Sakarombe</w:t>
      </w:r>
      <w:proofErr w:type="spellEnd"/>
      <w:r>
        <w:t xml:space="preserve"> case (supra) was raised by the other party, counsel for the applicant had an obligation to familiarise himself with the provisions of the law. Such ignorance of the law cannot be used to justify the delay in taking wrong action. In </w:t>
      </w:r>
      <w:r>
        <w:rPr>
          <w:b/>
        </w:rPr>
        <w:t>Ndebele v Ncube 1992 (1) ZLR</w:t>
      </w:r>
      <w:r>
        <w:t xml:space="preserve"> </w:t>
      </w:r>
      <w:r>
        <w:rPr>
          <w:b/>
        </w:rPr>
        <w:t>288 (S)</w:t>
      </w:r>
      <w:r>
        <w:t xml:space="preserve"> it was stated that the law supports the vigilant and not the sluggard. That applies with equal force in </w:t>
      </w:r>
      <w:proofErr w:type="spellStart"/>
      <w:r>
        <w:t>casu</w:t>
      </w:r>
      <w:proofErr w:type="spellEnd"/>
      <w:r>
        <w:t xml:space="preserve">. The applicant cannot seek to be shielded from the failure by his own counsel of choice to appreciate the correct applicable law and withdraw a correct process that he had earlier initiated.  </w:t>
      </w:r>
    </w:p>
    <w:p w14:paraId="6C3FA83A" w14:textId="77777777" w:rsidR="00143EAF" w:rsidRDefault="00000000">
      <w:pPr>
        <w:spacing w:after="3" w:line="357" w:lineRule="auto"/>
        <w:ind w:left="-5" w:right="1423"/>
      </w:pPr>
      <w:r>
        <w:t xml:space="preserve">In the case of </w:t>
      </w:r>
      <w:r>
        <w:rPr>
          <w:b/>
        </w:rPr>
        <w:t xml:space="preserve">Sibongile Ndhlovu v </w:t>
      </w:r>
      <w:proofErr w:type="spellStart"/>
      <w:r>
        <w:rPr>
          <w:b/>
        </w:rPr>
        <w:t>Guardforce</w:t>
      </w:r>
      <w:proofErr w:type="spellEnd"/>
      <w:r>
        <w:rPr>
          <w:b/>
        </w:rPr>
        <w:t xml:space="preserve"> Investments (Pvt) Ltd</w:t>
      </w:r>
      <w:r>
        <w:t xml:space="preserve"> and </w:t>
      </w:r>
      <w:r>
        <w:rPr>
          <w:b/>
        </w:rPr>
        <w:t>Registrar of Deeds (NO)</w:t>
      </w:r>
      <w:r>
        <w:t xml:space="preserve"> and </w:t>
      </w:r>
      <w:r>
        <w:rPr>
          <w:b/>
        </w:rPr>
        <w:t>Deputy Sheriff (NO) HB3/14 the judge</w:t>
      </w:r>
      <w:r>
        <w:t xml:space="preserve"> cited the dictum in </w:t>
      </w:r>
      <w:r>
        <w:rPr>
          <w:b/>
        </w:rPr>
        <w:t>Beitbridge RDC v Russel Construction 1998 (2) ZLR190 (S)</w:t>
      </w:r>
      <w:r>
        <w:t xml:space="preserve"> where Sandura J stated that: </w:t>
      </w:r>
    </w:p>
    <w:p w14:paraId="6125B8AC" w14:textId="77777777" w:rsidR="00143EAF" w:rsidRDefault="00000000">
      <w:pPr>
        <w:spacing w:after="160" w:line="358" w:lineRule="auto"/>
        <w:ind w:left="-5" w:right="1428"/>
      </w:pPr>
      <w:r>
        <w:rPr>
          <w:i/>
        </w:rPr>
        <w:lastRenderedPageBreak/>
        <w:t>“Whilst it is true that the fault was largely that of the former and present legal practitioners who failed to act and to take appropriate action to protect the appellant’s interests, that fact, in my view, does not assist the appellant. This court has on a number of occasions, clearly stated that non-compliance with or wilful disdain of the rules of court by a party’s legal practitioner should be treated as non-compliance or a wilful disdain by the party himself.”</w:t>
      </w:r>
      <w:r>
        <w:t xml:space="preserve"> This dictum applies with equal force to the case at hand.  </w:t>
      </w:r>
    </w:p>
    <w:p w14:paraId="7F2A8535" w14:textId="77777777" w:rsidR="00143EAF" w:rsidRDefault="00000000">
      <w:pPr>
        <w:ind w:left="-5" w:right="1428"/>
      </w:pPr>
      <w:r>
        <w:t xml:space="preserve">Further to this, in </w:t>
      </w:r>
      <w:r>
        <w:rPr>
          <w:b/>
        </w:rPr>
        <w:t xml:space="preserve">Jaison </w:t>
      </w:r>
      <w:proofErr w:type="spellStart"/>
      <w:r>
        <w:rPr>
          <w:b/>
        </w:rPr>
        <w:t>Kokerai</w:t>
      </w:r>
      <w:proofErr w:type="spellEnd"/>
      <w:r>
        <w:rPr>
          <w:b/>
        </w:rPr>
        <w:t xml:space="preserve"> Machaya v Lameck Nkiwane </w:t>
      </w:r>
      <w:proofErr w:type="spellStart"/>
      <w:r>
        <w:rPr>
          <w:b/>
        </w:rPr>
        <w:t>Muyambi</w:t>
      </w:r>
      <w:proofErr w:type="spellEnd"/>
      <w:r>
        <w:rPr>
          <w:b/>
        </w:rPr>
        <w:t xml:space="preserve"> SC4/05 </w:t>
      </w:r>
      <w:r>
        <w:t>it was</w:t>
      </w:r>
      <w:r>
        <w:rPr>
          <w:b/>
        </w:rPr>
        <w:t xml:space="preserve"> </w:t>
      </w:r>
      <w:r>
        <w:t>stated that</w:t>
      </w:r>
      <w:r>
        <w:rPr>
          <w:i/>
        </w:rPr>
        <w:t>” the court notes that while pleas for mercy are common. There is a limit to how long a client can escape the consequences of their attorney’s lack of diligence</w:t>
      </w:r>
      <w:r>
        <w:t xml:space="preserve">”. In this case it is an unforgiveable sin to rely on a 2020 decision, yet the provisions of the Labour Act are clear that the path he had taken of approaching the labour officer was the correct one. Having done so and without verifying the applicable law, withdrew the correct procedure, hence this application. </w:t>
      </w:r>
    </w:p>
    <w:p w14:paraId="1D454395" w14:textId="77777777" w:rsidR="00143EAF" w:rsidRDefault="00000000">
      <w:pPr>
        <w:spacing w:after="274" w:line="259" w:lineRule="auto"/>
        <w:ind w:left="0" w:firstLine="0"/>
        <w:jc w:val="left"/>
      </w:pPr>
      <w:r>
        <w:t xml:space="preserve"> </w:t>
      </w:r>
    </w:p>
    <w:p w14:paraId="053E7264" w14:textId="77777777" w:rsidR="00143EAF" w:rsidRDefault="00000000">
      <w:pPr>
        <w:ind w:left="-5" w:right="1428"/>
      </w:pPr>
      <w:r>
        <w:t xml:space="preserve">Accordingly, the applicant has failed to provide a reasonable and satisfactory explanation for the delay. </w:t>
      </w:r>
    </w:p>
    <w:p w14:paraId="47B70FD7" w14:textId="77777777" w:rsidR="00143EAF" w:rsidRDefault="00000000">
      <w:pPr>
        <w:spacing w:after="273" w:line="259" w:lineRule="auto"/>
        <w:ind w:left="435" w:right="1423"/>
      </w:pPr>
      <w:r>
        <w:t>3.</w:t>
      </w:r>
      <w:r>
        <w:rPr>
          <w:rFonts w:ascii="Arial" w:eastAsia="Arial" w:hAnsi="Arial" w:cs="Arial"/>
        </w:rPr>
        <w:t xml:space="preserve"> </w:t>
      </w:r>
      <w:r>
        <w:rPr>
          <w:b/>
        </w:rPr>
        <w:t>Whether or not the applicant has prospects of success on appeal.</w:t>
      </w:r>
      <w:r>
        <w:rPr>
          <w:b/>
          <w:i/>
        </w:rPr>
        <w:t xml:space="preserve"> </w:t>
      </w:r>
    </w:p>
    <w:p w14:paraId="54E776B5" w14:textId="77777777" w:rsidR="00143EAF" w:rsidRDefault="00000000">
      <w:pPr>
        <w:ind w:left="-5" w:right="1428"/>
      </w:pPr>
      <w:r>
        <w:t xml:space="preserve">The applicant was charged in terms of section 4(a) and section 4(d) of the National Employment Code, Statutory Instrument 15 of 2006, which provide that an employee commits misconduct if he engages in conduct inconsistent with the express or implied terms of his contract of employment.  </w:t>
      </w:r>
    </w:p>
    <w:p w14:paraId="4EC1E228" w14:textId="77777777" w:rsidR="00143EAF" w:rsidRDefault="00000000">
      <w:pPr>
        <w:ind w:left="-5" w:right="1428"/>
      </w:pPr>
      <w:r>
        <w:t xml:space="preserve">The Econet Wireless Job description Form shows that the applicant was required, by virtue of his position, to contribute to and maintain a harmonious working environment. This obligation is particularly significant in light of the applicant’s role as Human Resources Business </w:t>
      </w:r>
      <w:proofErr w:type="gramStart"/>
      <w:r>
        <w:t>Partner,</w:t>
      </w:r>
      <w:proofErr w:type="gramEnd"/>
      <w:r>
        <w:t xml:space="preserve"> a position inherently associated with the maintenance of professional standards and employee relations. In addition to that, the Rules and Regulations for Staff </w:t>
      </w:r>
      <w:proofErr w:type="gramStart"/>
      <w:r>
        <w:t>requires</w:t>
      </w:r>
      <w:proofErr w:type="gramEnd"/>
      <w:r>
        <w:t xml:space="preserve"> employees to maintain high standards of behaviour and courtesy within and outside the workplace; and to keep confidential all information obtained in the course of employment or incidental thereto. These provisions constitute express terms regulating employee conduct, particularly for employees occupying positions of trust. </w:t>
      </w:r>
    </w:p>
    <w:p w14:paraId="7F0E01A7" w14:textId="77777777" w:rsidR="00143EAF" w:rsidRDefault="00000000">
      <w:pPr>
        <w:ind w:left="-5" w:right="1428"/>
      </w:pPr>
      <w:r>
        <w:lastRenderedPageBreak/>
        <w:t xml:space="preserve">Further, the Social Governance Policy encourages employees to behave professionally both within and outside the workplace; uphold the highest ethical standards; and maintain integrity in personal and business dealings. The employment relationship is not governed solely by express contractual provisions. Employees are also bound by implied duties of good faith, fidelity, and integrity, particularly where their conduct affects the employer’s operational environment. </w:t>
      </w:r>
    </w:p>
    <w:p w14:paraId="57625DCD" w14:textId="77777777" w:rsidR="00143EAF" w:rsidRDefault="00000000">
      <w:pPr>
        <w:ind w:left="-5" w:right="1428"/>
      </w:pPr>
      <w:r>
        <w:t xml:space="preserve">In addition to that, the witness report by one Talent </w:t>
      </w:r>
      <w:proofErr w:type="spellStart"/>
      <w:r>
        <w:t>Taenganiswa</w:t>
      </w:r>
      <w:proofErr w:type="spellEnd"/>
      <w:r>
        <w:t xml:space="preserve"> showed that shortly after receiving his exit package, the applicant approached him requesting to borrow money. The same occurred with other co-workers such as Francis Mahofa. The striking coincidence that the applicant approached the witness soon after the disbursement of his exit package reasonably supports the inference that the applicant used information obtained in the course of his employment to identify potential lenders. </w:t>
      </w:r>
    </w:p>
    <w:p w14:paraId="73B55E4E" w14:textId="77777777" w:rsidR="00143EAF" w:rsidRDefault="00000000">
      <w:pPr>
        <w:ind w:left="-5" w:right="1428"/>
      </w:pPr>
      <w:r>
        <w:t xml:space="preserve">All this conduct shows that the applicant’s conduct was not consistent with the high office he held at the respondent’s workplace and deserved sensor. He failed to repay the money that he borrowed thereby straining relations with other employees. This obviously had an impact on respondent’s business. There is no way he can claim that these were private transactions yet it is clear he abused his office and dealings with respondent’s employees, during working hours and its premises.  </w:t>
      </w:r>
    </w:p>
    <w:p w14:paraId="0FEFD891" w14:textId="77777777" w:rsidR="00143EAF" w:rsidRDefault="00000000">
      <w:pPr>
        <w:ind w:left="-5" w:right="1428"/>
      </w:pPr>
      <w:r>
        <w:t xml:space="preserve">The respondent further submits that the applicant acted dishonestly in relation to an educational loan, alleging that he applied for a loan through another official after his initial request had been rejected; failed to disclose the earlier rejection; and later failed to enrol for the studies for which the loan had been granted. Firstly, the issue of deferment of studies does not appear to arise on the evidence. The record does not contain proof that the applicant ever registered for the programme in question. The documents relied upon by the applicant consist of an admission letter from Great Zimbabwe University and a pro forma invoice indicating the anticipated tuition fees. While those documents demonstrate that the applicant had been offered a place and that the university had provided an estimate of the fees payable, they do not constitute proof of actual registration or enrolment. In the absence of documentary evidence confirming that the applicant formally registered for the programme, the suggestion that the studies were later deferred becomes unsustainable. The applicant’s explanation that the funds were insufficient to meet the required tuition fees appears, on the face of the record, to be a new submission raised only at a later stage. At the hearing he gave a different explanation that the funds are intact. He </w:t>
      </w:r>
      <w:r>
        <w:lastRenderedPageBreak/>
        <w:t xml:space="preserve">never said there was a shortfall. The earlier explanation was that he deferred studies after communicating with a certain official at the institution. Viewed objectively that explanation does not make sense because there can never be any deferment before one has been registered and fees paid. Appeals committee </w:t>
      </w:r>
      <w:proofErr w:type="spellStart"/>
      <w:r>
        <w:t>can not</w:t>
      </w:r>
      <w:proofErr w:type="spellEnd"/>
      <w:r>
        <w:t xml:space="preserve"> be blamed for making a finding that he acted dishonestly and funds for some other purpose. At this rate it is apparent that the applicant is one person who cannot be associated with the truth. </w:t>
      </w:r>
    </w:p>
    <w:p w14:paraId="7F53DA76" w14:textId="77777777" w:rsidR="00143EAF" w:rsidRDefault="00000000">
      <w:pPr>
        <w:ind w:left="-5" w:right="1428"/>
      </w:pPr>
      <w:r>
        <w:t>As for the penalty of dismissal, it is trite that imposition of penalty is the sole prerogative of the employer once he has made a finding that the conduct of the employee has gone to the root of the employment contract. This was stated in the case of Toyota Zimbabwe v Posi 2008 (1) ZLR 173 (S) where it was held that an employer has a right to dismiss an employee following a conviction for misconduct of a material nature and going to the root of employer and employee relationship. Furthermore, in</w:t>
      </w:r>
      <w:r>
        <w:rPr>
          <w:b/>
        </w:rPr>
        <w:t xml:space="preserve"> </w:t>
      </w:r>
      <w:proofErr w:type="spellStart"/>
      <w:r>
        <w:rPr>
          <w:b/>
        </w:rPr>
        <w:t>Malimanji</w:t>
      </w:r>
      <w:proofErr w:type="spellEnd"/>
      <w:r>
        <w:rPr>
          <w:b/>
        </w:rPr>
        <w:t xml:space="preserve"> v CABS 2007 (2) ZLR 77(S)</w:t>
      </w:r>
      <w:r>
        <w:t xml:space="preserve"> it was stated as follows: </w:t>
      </w:r>
    </w:p>
    <w:p w14:paraId="4EF0CC04" w14:textId="77777777" w:rsidR="00143EAF" w:rsidRDefault="00000000">
      <w:pPr>
        <w:spacing w:after="160" w:line="358" w:lineRule="auto"/>
        <w:ind w:left="-5" w:right="1428"/>
      </w:pPr>
      <w:r>
        <w:rPr>
          <w:i/>
        </w:rPr>
        <w:t xml:space="preserve">“The issue of what punishment to impose after an employee is found guilty of an act of misconduct is clearly one of discretion. It is trite that an appeal court does not interfere with the exercise of discretion by lower tribunals unless it is shown that the discretion was improperly exercised. As contended for the respondent, the penalty imposed must show a serious misdirection to justify interference by the appeal court.”  </w:t>
      </w:r>
    </w:p>
    <w:p w14:paraId="06CF85B5" w14:textId="77777777" w:rsidR="00143EAF" w:rsidRDefault="00000000">
      <w:pPr>
        <w:ind w:left="-5" w:right="1428"/>
      </w:pPr>
      <w:r>
        <w:t xml:space="preserve">In </w:t>
      </w:r>
      <w:proofErr w:type="spellStart"/>
      <w:r>
        <w:t>casu</w:t>
      </w:r>
      <w:proofErr w:type="spellEnd"/>
      <w:r>
        <w:t xml:space="preserve"> it has not been shown that the respondent’s exercise of discretion was improperly used or irrational such that an appeal court might interfere with the sentence imposed taking into account the applicant’s conduct giving rise to the conviction and subsequent dismissal. </w:t>
      </w:r>
    </w:p>
    <w:p w14:paraId="62491278" w14:textId="77777777" w:rsidR="00143EAF" w:rsidRDefault="00000000">
      <w:pPr>
        <w:spacing w:after="273" w:line="259" w:lineRule="auto"/>
        <w:ind w:left="-5" w:right="1428"/>
      </w:pPr>
      <w:r>
        <w:t xml:space="preserve">In view of the above it is apparent that there are no prospects of success on appeal. </w:t>
      </w:r>
    </w:p>
    <w:p w14:paraId="28567BC2" w14:textId="77777777" w:rsidR="00143EAF" w:rsidRDefault="00000000">
      <w:pPr>
        <w:ind w:left="-5" w:right="1428"/>
      </w:pPr>
      <w:r>
        <w:t xml:space="preserve">Having regard to the totality of the record, the court is not persuaded that the applicant has demonstrated reasonable prospects of success on appeal. </w:t>
      </w:r>
    </w:p>
    <w:p w14:paraId="18D6861D" w14:textId="77777777" w:rsidR="00143EAF" w:rsidRDefault="00000000">
      <w:pPr>
        <w:spacing w:after="274" w:line="259" w:lineRule="auto"/>
        <w:ind w:left="0" w:firstLine="0"/>
        <w:jc w:val="left"/>
      </w:pPr>
      <w:r>
        <w:rPr>
          <w:b/>
          <w:i/>
        </w:rPr>
        <w:t xml:space="preserve"> </w:t>
      </w:r>
    </w:p>
    <w:p w14:paraId="78E3C8B2" w14:textId="77777777" w:rsidR="00143EAF" w:rsidRDefault="00000000">
      <w:pPr>
        <w:pStyle w:val="Heading1"/>
        <w:spacing w:after="273"/>
        <w:ind w:left="-5" w:right="1423"/>
      </w:pPr>
      <w:r>
        <w:t xml:space="preserve">DISPOSITION </w:t>
      </w:r>
    </w:p>
    <w:p w14:paraId="55973D6A" w14:textId="77777777" w:rsidR="00143EAF" w:rsidRDefault="00000000">
      <w:pPr>
        <w:ind w:left="-5" w:right="1428"/>
      </w:pPr>
      <w:r>
        <w:t xml:space="preserve">In view of the foregoing, the Court finds that the applicant has failed to satisfy the requirements for an application for condonation. The delay was inordinate in the circumstances of the </w:t>
      </w:r>
      <w:proofErr w:type="gramStart"/>
      <w:r>
        <w:t>case,</w:t>
      </w:r>
      <w:proofErr w:type="gramEnd"/>
      <w:r>
        <w:t xml:space="preserve"> no reasonable explanation was proffered and there are no reasonable prospects of success on appeal. This obviated the consider the other factors as the crucial ones had not been met. </w:t>
      </w:r>
    </w:p>
    <w:p w14:paraId="261BE2F3" w14:textId="77777777" w:rsidR="00143EAF" w:rsidRDefault="00000000">
      <w:pPr>
        <w:spacing w:after="244" w:line="259" w:lineRule="auto"/>
        <w:ind w:left="0" w:firstLine="0"/>
        <w:jc w:val="left"/>
      </w:pPr>
      <w:r>
        <w:rPr>
          <w:rFonts w:ascii="Calibri" w:eastAsia="Calibri" w:hAnsi="Calibri" w:cs="Calibri"/>
        </w:rPr>
        <w:lastRenderedPageBreak/>
        <w:t xml:space="preserve">In the premises the application is bound to fail. </w:t>
      </w:r>
    </w:p>
    <w:p w14:paraId="16DE5D25" w14:textId="77777777" w:rsidR="00143EAF" w:rsidRDefault="00000000">
      <w:pPr>
        <w:spacing w:after="14" w:line="259" w:lineRule="auto"/>
        <w:ind w:left="0" w:firstLine="0"/>
        <w:jc w:val="left"/>
      </w:pPr>
      <w:r>
        <w:rPr>
          <w:rFonts w:ascii="Calibri" w:eastAsia="Calibri" w:hAnsi="Calibri" w:cs="Calibri"/>
          <w:sz w:val="20"/>
        </w:rPr>
        <w:t xml:space="preserve"> </w:t>
      </w:r>
    </w:p>
    <w:p w14:paraId="6BA81840" w14:textId="77777777" w:rsidR="00143EAF" w:rsidRDefault="00000000">
      <w:pPr>
        <w:spacing w:after="79" w:line="259" w:lineRule="auto"/>
        <w:ind w:left="-5" w:right="1428"/>
      </w:pPr>
      <w:r>
        <w:t xml:space="preserve">Wherefore, it is ordered as follows: </w:t>
      </w:r>
    </w:p>
    <w:p w14:paraId="2AB737DA" w14:textId="77777777" w:rsidR="00143EAF" w:rsidRDefault="00000000">
      <w:pPr>
        <w:spacing w:after="16" w:line="259" w:lineRule="auto"/>
        <w:ind w:left="0" w:firstLine="0"/>
        <w:jc w:val="left"/>
      </w:pPr>
      <w:r>
        <w:rPr>
          <w:rFonts w:ascii="Calibri" w:eastAsia="Calibri" w:hAnsi="Calibri" w:cs="Calibri"/>
          <w:sz w:val="20"/>
        </w:rPr>
        <w:t xml:space="preserve"> </w:t>
      </w:r>
    </w:p>
    <w:p w14:paraId="51E66F8D" w14:textId="77777777" w:rsidR="00143EAF" w:rsidRDefault="00000000">
      <w:pPr>
        <w:numPr>
          <w:ilvl w:val="0"/>
          <w:numId w:val="4"/>
        </w:numPr>
        <w:spacing w:after="3" w:line="266" w:lineRule="auto"/>
        <w:ind w:right="1428" w:hanging="360"/>
      </w:pPr>
      <w:r>
        <w:t>The application for condonation for late filing of appeal and extension of time within which to file an appeal be and is hereby dismissed.</w:t>
      </w:r>
      <w:r>
        <w:rPr>
          <w:rFonts w:ascii="Calibri" w:eastAsia="Calibri" w:hAnsi="Calibri" w:cs="Calibri"/>
          <w:sz w:val="31"/>
          <w:vertAlign w:val="subscript"/>
        </w:rPr>
        <w:t xml:space="preserve"> </w:t>
      </w:r>
    </w:p>
    <w:p w14:paraId="10524765" w14:textId="77777777" w:rsidR="00143EAF" w:rsidRDefault="00000000">
      <w:pPr>
        <w:numPr>
          <w:ilvl w:val="0"/>
          <w:numId w:val="4"/>
        </w:numPr>
        <w:spacing w:after="275" w:line="259" w:lineRule="auto"/>
        <w:ind w:right="1428" w:hanging="360"/>
      </w:pPr>
      <w:r>
        <w:t xml:space="preserve">There shall be no order as to costs. </w:t>
      </w:r>
    </w:p>
    <w:p w14:paraId="3F89B8FF" w14:textId="77777777" w:rsidR="00143EAF" w:rsidRDefault="00000000">
      <w:pPr>
        <w:spacing w:after="287" w:line="259" w:lineRule="auto"/>
        <w:ind w:left="0" w:firstLine="0"/>
        <w:jc w:val="left"/>
      </w:pPr>
      <w:r>
        <w:rPr>
          <w:i/>
        </w:rPr>
        <w:t xml:space="preserve"> </w:t>
      </w:r>
    </w:p>
    <w:p w14:paraId="218AD72B" w14:textId="77777777" w:rsidR="00143EAF" w:rsidRDefault="00000000">
      <w:pPr>
        <w:spacing w:after="300" w:line="259" w:lineRule="auto"/>
        <w:ind w:left="-5" w:right="1428"/>
      </w:pPr>
      <w:r>
        <w:rPr>
          <w:i/>
        </w:rPr>
        <w:t xml:space="preserve">Applicant’s Legal Representatives:                            </w:t>
      </w:r>
      <w:proofErr w:type="spellStart"/>
      <w:r>
        <w:rPr>
          <w:i/>
        </w:rPr>
        <w:t>Zvavanoda</w:t>
      </w:r>
      <w:proofErr w:type="spellEnd"/>
      <w:r>
        <w:rPr>
          <w:i/>
        </w:rPr>
        <w:t xml:space="preserve"> Law Chambers </w:t>
      </w:r>
    </w:p>
    <w:p w14:paraId="666D5FDD" w14:textId="77777777" w:rsidR="00143EAF" w:rsidRDefault="00000000">
      <w:pPr>
        <w:spacing w:after="275" w:line="259" w:lineRule="auto"/>
        <w:ind w:left="-5" w:right="1428"/>
      </w:pPr>
      <w:r>
        <w:rPr>
          <w:i/>
        </w:rPr>
        <w:t xml:space="preserve">Respondent’s Legal Representatives:                         Mtetwa &amp; </w:t>
      </w:r>
      <w:proofErr w:type="spellStart"/>
      <w:r>
        <w:rPr>
          <w:i/>
        </w:rPr>
        <w:t>Nyambirai</w:t>
      </w:r>
      <w:proofErr w:type="spellEnd"/>
      <w:r>
        <w:rPr>
          <w:i/>
        </w:rPr>
        <w:t xml:space="preserve"> Legal Practitioners </w:t>
      </w:r>
    </w:p>
    <w:p w14:paraId="0D0399EC" w14:textId="77777777" w:rsidR="00143EAF" w:rsidRDefault="00000000">
      <w:pPr>
        <w:spacing w:after="273" w:line="259" w:lineRule="auto"/>
        <w:ind w:left="0" w:firstLine="0"/>
        <w:jc w:val="left"/>
      </w:pPr>
      <w:r>
        <w:rPr>
          <w:i/>
        </w:rPr>
        <w:t xml:space="preserve"> </w:t>
      </w:r>
    </w:p>
    <w:p w14:paraId="5E34B724" w14:textId="77777777" w:rsidR="00143EAF" w:rsidRDefault="00000000">
      <w:pPr>
        <w:spacing w:after="0" w:line="259" w:lineRule="auto"/>
        <w:ind w:left="0" w:right="1439" w:firstLine="0"/>
        <w:jc w:val="center"/>
      </w:pPr>
      <w:r>
        <w:t xml:space="preserve">TSIKWA J </w:t>
      </w:r>
    </w:p>
    <w:sectPr w:rsidR="00143EAF">
      <w:pgSz w:w="11906" w:h="16838"/>
      <w:pgMar w:top="1451" w:right="0" w:bottom="14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985"/>
    <w:multiLevelType w:val="hybridMultilevel"/>
    <w:tmpl w:val="9DEE29EA"/>
    <w:lvl w:ilvl="0" w:tplc="61BE397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3941DC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782F9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232385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B6C4EF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F8C56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C986CF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07CC75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22E953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F7D6F"/>
    <w:multiLevelType w:val="hybridMultilevel"/>
    <w:tmpl w:val="D7F21848"/>
    <w:lvl w:ilvl="0" w:tplc="C9AA2BA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6EDA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6D55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06F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0C74A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C033E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E713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6EE6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8497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EE7A36"/>
    <w:multiLevelType w:val="hybridMultilevel"/>
    <w:tmpl w:val="8D627C28"/>
    <w:lvl w:ilvl="0" w:tplc="661229A2">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E6C96CE">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26ACA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F041C6">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4166012">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626DE2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87AF3D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AC346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0A2334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9970EEA"/>
    <w:multiLevelType w:val="hybridMultilevel"/>
    <w:tmpl w:val="D684453C"/>
    <w:lvl w:ilvl="0" w:tplc="7AEE5A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AA3AB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2E714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E66A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125F8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2EE6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04738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E4081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3E54A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60463827">
    <w:abstractNumId w:val="3"/>
  </w:num>
  <w:num w:numId="2" w16cid:durableId="1254973873">
    <w:abstractNumId w:val="1"/>
  </w:num>
  <w:num w:numId="3" w16cid:durableId="815224557">
    <w:abstractNumId w:val="0"/>
  </w:num>
  <w:num w:numId="4" w16cid:durableId="1266617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EAF"/>
    <w:rsid w:val="00143EAF"/>
    <w:rsid w:val="00852BEC"/>
    <w:rsid w:val="00F60B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DDC2E"/>
  <w15:docId w15:val="{531330D0-AF83-41C4-8492-3B3B545D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Z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361"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59" w:lineRule="auto"/>
      <w:ind w:left="10" w:hanging="10"/>
      <w:jc w:val="both"/>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75" w:line="259" w:lineRule="auto"/>
      <w:ind w:left="10" w:hanging="10"/>
      <w:outlineLvl w:val="1"/>
    </w:pPr>
    <w:rPr>
      <w:rFonts w:ascii="Times New Roman" w:eastAsia="Times New Roman" w:hAnsi="Times New Roman" w:cs="Times New Roman"/>
      <w:b/>
      <w:color w:val="000000"/>
      <w:u w:val="single" w:color="000000"/>
    </w:rPr>
  </w:style>
  <w:style w:type="paragraph" w:styleId="Heading3">
    <w:name w:val="heading 3"/>
    <w:next w:val="Normal"/>
    <w:link w:val="Heading3Char"/>
    <w:uiPriority w:val="9"/>
    <w:unhideWhenUsed/>
    <w:qFormat/>
    <w:pPr>
      <w:keepNext/>
      <w:keepLines/>
      <w:spacing w:after="3" w:line="259" w:lineRule="auto"/>
      <w:ind w:left="10" w:hanging="10"/>
      <w:jc w:val="both"/>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3Char">
    <w:name w:val="Heading 3 Char"/>
    <w:link w:val="Heading3"/>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3994</Words>
  <Characters>22772</Characters>
  <Application>Microsoft Office Word</Application>
  <DocSecurity>0</DocSecurity>
  <Lines>189</Lines>
  <Paragraphs>53</Paragraphs>
  <ScaleCrop>false</ScaleCrop>
  <Company/>
  <LinksUpToDate>false</LinksUpToDate>
  <CharactersWithSpaces>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JUDGES CLERKS</dc:creator>
  <cp:keywords/>
  <cp:lastModifiedBy>RESEARCHER</cp:lastModifiedBy>
  <cp:revision>2</cp:revision>
  <dcterms:created xsi:type="dcterms:W3CDTF">2026-05-21T13:26:00Z</dcterms:created>
  <dcterms:modified xsi:type="dcterms:W3CDTF">2026-05-21T13:26:00Z</dcterms:modified>
</cp:coreProperties>
</file>