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ECEBE1" w14:textId="77777777" w:rsidR="006E535B" w:rsidRDefault="006E535B" w:rsidP="00AD7766">
      <w:pPr>
        <w:spacing w:line="360" w:lineRule="auto"/>
        <w:jc w:val="both"/>
        <w:rPr>
          <w:rFonts w:ascii="Times New Roman" w:hAnsi="Times New Roman" w:cs="Times New Roman"/>
          <w:sz w:val="24"/>
          <w:szCs w:val="24"/>
          <w:lang w:val="en-US"/>
        </w:rPr>
      </w:pPr>
    </w:p>
    <w:p w14:paraId="4EB359DD" w14:textId="604E4F55" w:rsidR="006E535B" w:rsidRPr="004A72B3" w:rsidRDefault="006E535B" w:rsidP="00AD776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DAVID VICTOR KILPIN</w:t>
      </w:r>
    </w:p>
    <w:p w14:paraId="518B4ACD" w14:textId="07F77303" w:rsidR="006E535B" w:rsidRPr="004A72B3" w:rsidRDefault="006E535B" w:rsidP="00AD776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67C17A4E" w14:textId="4A5E88CE" w:rsidR="006E535B" w:rsidRDefault="006E535B" w:rsidP="00AD776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DVK GOLD MINING PVT LTD </w:t>
      </w:r>
    </w:p>
    <w:p w14:paraId="047DE864" w14:textId="19C3A860" w:rsidR="006E535B" w:rsidRDefault="006E535B" w:rsidP="00AD776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Versus</w:t>
      </w:r>
    </w:p>
    <w:p w14:paraId="6D4906F0" w14:textId="68381EB0" w:rsidR="006E535B" w:rsidRPr="004A72B3" w:rsidRDefault="006E535B" w:rsidP="00AD776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LINCOLN CAPITAL PVT LTD  </w:t>
      </w:r>
    </w:p>
    <w:p w14:paraId="259C1163" w14:textId="77777777" w:rsidR="006E535B" w:rsidRPr="00784989" w:rsidRDefault="006E535B" w:rsidP="00784989">
      <w:pPr>
        <w:pStyle w:val="NoSpacing"/>
        <w:rPr>
          <w:rFonts w:ascii="Times New Roman" w:hAnsi="Times New Roman" w:cs="Times New Roman"/>
          <w:sz w:val="24"/>
          <w:szCs w:val="24"/>
        </w:rPr>
      </w:pPr>
      <w:r w:rsidRPr="00784989">
        <w:rPr>
          <w:rFonts w:ascii="Times New Roman" w:hAnsi="Times New Roman" w:cs="Times New Roman"/>
          <w:sz w:val="24"/>
          <w:szCs w:val="24"/>
        </w:rPr>
        <w:t xml:space="preserve">HIGH COURT OF ZIMBABWE </w:t>
      </w:r>
    </w:p>
    <w:p w14:paraId="6F53C187" w14:textId="77777777" w:rsidR="006E535B" w:rsidRPr="00784989" w:rsidRDefault="006E535B" w:rsidP="00784989">
      <w:pPr>
        <w:pStyle w:val="NoSpacing"/>
        <w:rPr>
          <w:rFonts w:ascii="Times New Roman" w:hAnsi="Times New Roman" w:cs="Times New Roman"/>
          <w:sz w:val="24"/>
          <w:szCs w:val="24"/>
        </w:rPr>
      </w:pPr>
      <w:r w:rsidRPr="00784989">
        <w:rPr>
          <w:rFonts w:ascii="Times New Roman" w:hAnsi="Times New Roman" w:cs="Times New Roman"/>
          <w:sz w:val="24"/>
          <w:szCs w:val="24"/>
        </w:rPr>
        <w:t xml:space="preserve">COMMERCIAL DIVISION  </w:t>
      </w:r>
    </w:p>
    <w:p w14:paraId="7B344B94" w14:textId="77777777" w:rsidR="006E535B" w:rsidRPr="00784989" w:rsidRDefault="006E535B" w:rsidP="00784989">
      <w:pPr>
        <w:pStyle w:val="NoSpacing"/>
        <w:rPr>
          <w:rFonts w:ascii="Times New Roman" w:hAnsi="Times New Roman" w:cs="Times New Roman"/>
          <w:sz w:val="24"/>
          <w:szCs w:val="24"/>
        </w:rPr>
      </w:pPr>
      <w:r w:rsidRPr="00784989">
        <w:rPr>
          <w:rFonts w:ascii="Times New Roman" w:hAnsi="Times New Roman" w:cs="Times New Roman"/>
          <w:sz w:val="24"/>
          <w:szCs w:val="24"/>
        </w:rPr>
        <w:t>CHILIMBE J</w:t>
      </w:r>
    </w:p>
    <w:p w14:paraId="20447091" w14:textId="5709CB3C" w:rsidR="006E535B" w:rsidRPr="00784989" w:rsidRDefault="006E535B" w:rsidP="00784989">
      <w:pPr>
        <w:pStyle w:val="NoSpacing"/>
        <w:rPr>
          <w:rFonts w:ascii="Times New Roman" w:hAnsi="Times New Roman" w:cs="Times New Roman"/>
          <w:sz w:val="24"/>
          <w:szCs w:val="24"/>
        </w:rPr>
      </w:pPr>
      <w:r w:rsidRPr="00784989">
        <w:rPr>
          <w:rFonts w:ascii="Times New Roman" w:hAnsi="Times New Roman" w:cs="Times New Roman"/>
          <w:sz w:val="24"/>
          <w:szCs w:val="24"/>
        </w:rPr>
        <w:t xml:space="preserve">HARARE 16 June 2025 &amp; </w:t>
      </w:r>
      <w:r w:rsidR="001B0810">
        <w:rPr>
          <w:rFonts w:ascii="Times New Roman" w:hAnsi="Times New Roman" w:cs="Times New Roman"/>
          <w:sz w:val="24"/>
          <w:szCs w:val="24"/>
        </w:rPr>
        <w:t>5</w:t>
      </w:r>
      <w:r w:rsidR="00E80266">
        <w:rPr>
          <w:rFonts w:ascii="Times New Roman" w:hAnsi="Times New Roman" w:cs="Times New Roman"/>
          <w:sz w:val="24"/>
          <w:szCs w:val="24"/>
        </w:rPr>
        <w:t xml:space="preserve"> February 2026</w:t>
      </w:r>
    </w:p>
    <w:p w14:paraId="7C9F31A1" w14:textId="77777777" w:rsidR="006E535B" w:rsidRPr="004A72B3" w:rsidRDefault="006E535B" w:rsidP="00AD7766">
      <w:pPr>
        <w:pStyle w:val="NoSpacing"/>
        <w:spacing w:line="360" w:lineRule="auto"/>
        <w:jc w:val="both"/>
        <w:rPr>
          <w:rFonts w:ascii="Times New Roman" w:hAnsi="Times New Roman" w:cs="Times New Roman"/>
          <w:sz w:val="24"/>
          <w:szCs w:val="24"/>
          <w:lang w:val="en-US"/>
        </w:rPr>
      </w:pPr>
    </w:p>
    <w:p w14:paraId="023FEE38" w14:textId="70FAC49A" w:rsidR="006E535B" w:rsidRPr="004A72B3" w:rsidRDefault="006E535B" w:rsidP="00AD7766">
      <w:pPr>
        <w:pStyle w:val="NoSpacing"/>
        <w:spacing w:line="36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Application </w:t>
      </w:r>
      <w:r w:rsidR="00651998">
        <w:rPr>
          <w:rFonts w:ascii="Times New Roman" w:hAnsi="Times New Roman" w:cs="Times New Roman"/>
          <w:b/>
          <w:bCs/>
          <w:sz w:val="24"/>
          <w:szCs w:val="24"/>
          <w:lang w:val="en-US"/>
        </w:rPr>
        <w:t>for leave to appeal</w:t>
      </w:r>
    </w:p>
    <w:p w14:paraId="69A29037" w14:textId="77777777" w:rsidR="006E535B" w:rsidRPr="004A72B3" w:rsidRDefault="006E535B" w:rsidP="00AD7766">
      <w:pPr>
        <w:pStyle w:val="NoSpacing"/>
        <w:spacing w:line="360" w:lineRule="auto"/>
        <w:jc w:val="both"/>
        <w:rPr>
          <w:rFonts w:ascii="Times New Roman" w:hAnsi="Times New Roman" w:cs="Times New Roman"/>
          <w:sz w:val="24"/>
          <w:szCs w:val="24"/>
          <w:lang w:val="en-US"/>
        </w:rPr>
      </w:pPr>
    </w:p>
    <w:p w14:paraId="1C837ED4" w14:textId="7AA43105" w:rsidR="006E535B" w:rsidRPr="00784989" w:rsidRDefault="000C3A0F" w:rsidP="00784989">
      <w:pPr>
        <w:pStyle w:val="NoSpacing"/>
        <w:rPr>
          <w:rFonts w:ascii="Times New Roman" w:hAnsi="Times New Roman" w:cs="Times New Roman"/>
        </w:rPr>
      </w:pPr>
      <w:r w:rsidRPr="00784989">
        <w:rPr>
          <w:rFonts w:ascii="Times New Roman" w:hAnsi="Times New Roman" w:cs="Times New Roman"/>
          <w:i/>
          <w:iCs/>
        </w:rPr>
        <w:t>R.T</w:t>
      </w:r>
      <w:r w:rsidR="00363C88" w:rsidRPr="00784989">
        <w:rPr>
          <w:rFonts w:ascii="Times New Roman" w:hAnsi="Times New Roman" w:cs="Times New Roman"/>
          <w:i/>
          <w:iCs/>
        </w:rPr>
        <w:t>.</w:t>
      </w:r>
      <w:r w:rsidRPr="00784989">
        <w:rPr>
          <w:rFonts w:ascii="Times New Roman" w:hAnsi="Times New Roman" w:cs="Times New Roman"/>
          <w:i/>
          <w:iCs/>
        </w:rPr>
        <w:t xml:space="preserve"> Mutero</w:t>
      </w:r>
      <w:r w:rsidR="006E535B" w:rsidRPr="00784989">
        <w:rPr>
          <w:rFonts w:ascii="Times New Roman" w:hAnsi="Times New Roman" w:cs="Times New Roman"/>
        </w:rPr>
        <w:t xml:space="preserve"> for the applicant</w:t>
      </w:r>
      <w:r w:rsidR="00B539D9" w:rsidRPr="00784989">
        <w:rPr>
          <w:rFonts w:ascii="Times New Roman" w:hAnsi="Times New Roman" w:cs="Times New Roman"/>
        </w:rPr>
        <w:t>s</w:t>
      </w:r>
    </w:p>
    <w:p w14:paraId="7BA54442" w14:textId="271F1181" w:rsidR="006E535B" w:rsidRPr="00784989" w:rsidRDefault="00B539D9" w:rsidP="00784989">
      <w:pPr>
        <w:pStyle w:val="NoSpacing"/>
        <w:rPr>
          <w:rFonts w:ascii="Times New Roman" w:hAnsi="Times New Roman" w:cs="Times New Roman"/>
        </w:rPr>
      </w:pPr>
      <w:r w:rsidRPr="00784989">
        <w:rPr>
          <w:rFonts w:ascii="Times New Roman" w:hAnsi="Times New Roman" w:cs="Times New Roman"/>
          <w:i/>
          <w:iCs/>
        </w:rPr>
        <w:t>S. Banda</w:t>
      </w:r>
      <w:r w:rsidRPr="00784989">
        <w:rPr>
          <w:rFonts w:ascii="Times New Roman" w:hAnsi="Times New Roman" w:cs="Times New Roman"/>
        </w:rPr>
        <w:t xml:space="preserve"> </w:t>
      </w:r>
      <w:r w:rsidR="006E535B" w:rsidRPr="00784989">
        <w:rPr>
          <w:rFonts w:ascii="Times New Roman" w:hAnsi="Times New Roman" w:cs="Times New Roman"/>
        </w:rPr>
        <w:t xml:space="preserve">with for the respondent </w:t>
      </w:r>
    </w:p>
    <w:p w14:paraId="0E388F7E" w14:textId="77777777" w:rsidR="006E535B" w:rsidRDefault="006E535B" w:rsidP="00AD7766">
      <w:pPr>
        <w:spacing w:line="360" w:lineRule="auto"/>
        <w:jc w:val="both"/>
      </w:pPr>
    </w:p>
    <w:p w14:paraId="315729E6" w14:textId="59B99873" w:rsidR="00163179" w:rsidRDefault="006E535B" w:rsidP="00AD776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CHILIMBE J </w:t>
      </w:r>
    </w:p>
    <w:p w14:paraId="2C772FDA" w14:textId="5973A4D8" w:rsidR="00163179" w:rsidRPr="00E86546" w:rsidRDefault="00163179" w:rsidP="00AD7766">
      <w:pPr>
        <w:spacing w:line="360" w:lineRule="auto"/>
        <w:jc w:val="both"/>
        <w:rPr>
          <w:rFonts w:ascii="Times New Roman" w:hAnsi="Times New Roman" w:cs="Times New Roman"/>
        </w:rPr>
      </w:pPr>
      <w:r w:rsidRPr="00E86546">
        <w:rPr>
          <w:rFonts w:ascii="Times New Roman" w:hAnsi="Times New Roman" w:cs="Times New Roman"/>
        </w:rPr>
        <w:t>INTRODUCTION</w:t>
      </w:r>
    </w:p>
    <w:p w14:paraId="4AA057EC" w14:textId="42411AB3" w:rsidR="00AD7766" w:rsidRPr="00E86546" w:rsidRDefault="00163179" w:rsidP="00AD7766">
      <w:pPr>
        <w:spacing w:line="360" w:lineRule="auto"/>
        <w:jc w:val="both"/>
        <w:rPr>
          <w:rFonts w:ascii="Times New Roman" w:hAnsi="Times New Roman" w:cs="Times New Roman"/>
          <w:sz w:val="24"/>
          <w:szCs w:val="24"/>
        </w:rPr>
      </w:pPr>
      <w:r w:rsidRPr="00E86546">
        <w:rPr>
          <w:rFonts w:ascii="Times New Roman" w:hAnsi="Times New Roman" w:cs="Times New Roman"/>
          <w:sz w:val="24"/>
          <w:szCs w:val="24"/>
        </w:rPr>
        <w:t xml:space="preserve">[1] </w:t>
      </w:r>
      <w:r w:rsidR="00651998" w:rsidRPr="00E86546">
        <w:rPr>
          <w:rFonts w:ascii="Times New Roman" w:hAnsi="Times New Roman" w:cs="Times New Roman"/>
          <w:sz w:val="24"/>
          <w:szCs w:val="24"/>
        </w:rPr>
        <w:t xml:space="preserve">This is an application for leave to appeal </w:t>
      </w:r>
      <w:r w:rsidR="00F03536" w:rsidRPr="00E86546">
        <w:rPr>
          <w:rFonts w:ascii="Times New Roman" w:hAnsi="Times New Roman" w:cs="Times New Roman"/>
          <w:sz w:val="24"/>
          <w:szCs w:val="24"/>
        </w:rPr>
        <w:t xml:space="preserve">brought in terms of s 43 (2) (d) of the High Court </w:t>
      </w:r>
      <w:r w:rsidR="00A357DF" w:rsidRPr="00E86546">
        <w:rPr>
          <w:rFonts w:ascii="Times New Roman" w:hAnsi="Times New Roman" w:cs="Times New Roman"/>
          <w:sz w:val="24"/>
          <w:szCs w:val="24"/>
        </w:rPr>
        <w:t xml:space="preserve">Act </w:t>
      </w:r>
      <w:r w:rsidR="00F03536" w:rsidRPr="00E86546">
        <w:rPr>
          <w:rFonts w:ascii="Times New Roman" w:hAnsi="Times New Roman" w:cs="Times New Roman"/>
          <w:sz w:val="24"/>
          <w:szCs w:val="24"/>
        </w:rPr>
        <w:t>[Chapter 7:06] (“the High Court Act”). T</w:t>
      </w:r>
      <w:r w:rsidR="00651998" w:rsidRPr="00E86546">
        <w:rPr>
          <w:rFonts w:ascii="Times New Roman" w:hAnsi="Times New Roman" w:cs="Times New Roman"/>
          <w:sz w:val="24"/>
          <w:szCs w:val="24"/>
        </w:rPr>
        <w:t xml:space="preserve">he </w:t>
      </w:r>
      <w:r w:rsidR="00A357DF" w:rsidRPr="00E86546">
        <w:rPr>
          <w:rFonts w:ascii="Times New Roman" w:hAnsi="Times New Roman" w:cs="Times New Roman"/>
          <w:sz w:val="24"/>
          <w:szCs w:val="24"/>
        </w:rPr>
        <w:t xml:space="preserve">targeted decision being </w:t>
      </w:r>
      <w:r w:rsidR="00855F37" w:rsidRPr="00E86546">
        <w:rPr>
          <w:rFonts w:ascii="Times New Roman" w:hAnsi="Times New Roman" w:cs="Times New Roman"/>
          <w:sz w:val="24"/>
          <w:szCs w:val="24"/>
        </w:rPr>
        <w:t>judgment</w:t>
      </w:r>
      <w:r w:rsidR="00F03536" w:rsidRPr="00E86546">
        <w:rPr>
          <w:rFonts w:ascii="Times New Roman" w:hAnsi="Times New Roman" w:cs="Times New Roman"/>
          <w:sz w:val="24"/>
          <w:szCs w:val="24"/>
        </w:rPr>
        <w:t xml:space="preserve"> </w:t>
      </w:r>
      <w:r w:rsidR="006A1FFC" w:rsidRPr="00E86546">
        <w:rPr>
          <w:rFonts w:ascii="Times New Roman" w:hAnsi="Times New Roman" w:cs="Times New Roman"/>
          <w:sz w:val="24"/>
          <w:szCs w:val="24"/>
        </w:rPr>
        <w:t>(HH</w:t>
      </w:r>
      <w:r w:rsidR="00F03536" w:rsidRPr="00E86546">
        <w:rPr>
          <w:rFonts w:ascii="Times New Roman" w:hAnsi="Times New Roman" w:cs="Times New Roman"/>
          <w:sz w:val="24"/>
          <w:szCs w:val="24"/>
        </w:rPr>
        <w:t xml:space="preserve"> 231-25) of this court issued under my hand</w:t>
      </w:r>
      <w:r w:rsidR="00A357DF" w:rsidRPr="00E86546">
        <w:rPr>
          <w:rFonts w:ascii="Times New Roman" w:hAnsi="Times New Roman" w:cs="Times New Roman"/>
          <w:sz w:val="24"/>
          <w:szCs w:val="24"/>
        </w:rPr>
        <w:t xml:space="preserve"> wherein I d</w:t>
      </w:r>
      <w:r w:rsidR="00F03536" w:rsidRPr="00E86546">
        <w:rPr>
          <w:rFonts w:ascii="Times New Roman" w:hAnsi="Times New Roman" w:cs="Times New Roman"/>
          <w:sz w:val="24"/>
          <w:szCs w:val="24"/>
        </w:rPr>
        <w:t xml:space="preserve">ismissed </w:t>
      </w:r>
      <w:r w:rsidR="00AD7766" w:rsidRPr="00E86546">
        <w:rPr>
          <w:rFonts w:ascii="Times New Roman" w:hAnsi="Times New Roman" w:cs="Times New Roman"/>
          <w:sz w:val="24"/>
          <w:szCs w:val="24"/>
        </w:rPr>
        <w:t>the defendants` special plea</w:t>
      </w:r>
      <w:r w:rsidR="006A1FFC" w:rsidRPr="00E86546">
        <w:rPr>
          <w:rFonts w:ascii="Times New Roman" w:hAnsi="Times New Roman" w:cs="Times New Roman"/>
          <w:sz w:val="24"/>
          <w:szCs w:val="24"/>
        </w:rPr>
        <w:t xml:space="preserve"> in the main matter</w:t>
      </w:r>
      <w:r w:rsidR="00651998" w:rsidRPr="00E86546">
        <w:rPr>
          <w:rFonts w:ascii="Times New Roman" w:hAnsi="Times New Roman" w:cs="Times New Roman"/>
          <w:sz w:val="24"/>
          <w:szCs w:val="24"/>
        </w:rPr>
        <w:t>. The application is opposed.</w:t>
      </w:r>
    </w:p>
    <w:p w14:paraId="3131D8BD" w14:textId="4823630F" w:rsidR="00D963F1" w:rsidRDefault="00AD7766" w:rsidP="00D963F1">
      <w:pPr>
        <w:spacing w:line="360" w:lineRule="auto"/>
        <w:jc w:val="both"/>
        <w:rPr>
          <w:rFonts w:ascii="Times New Roman" w:eastAsia="Calibri" w:hAnsi="Times New Roman" w:cs="Times New Roman"/>
          <w:sz w:val="24"/>
          <w:szCs w:val="24"/>
          <w14:ligatures w14:val="standardContextual"/>
        </w:rPr>
      </w:pPr>
      <w:r w:rsidRPr="00E86546">
        <w:rPr>
          <w:rFonts w:ascii="Times New Roman" w:hAnsi="Times New Roman" w:cs="Times New Roman"/>
          <w:sz w:val="24"/>
          <w:szCs w:val="24"/>
        </w:rPr>
        <w:t>[2] The</w:t>
      </w:r>
      <w:r w:rsidR="00651998" w:rsidRPr="00E86546">
        <w:rPr>
          <w:rFonts w:ascii="Times New Roman" w:hAnsi="Times New Roman" w:cs="Times New Roman"/>
          <w:sz w:val="24"/>
          <w:szCs w:val="24"/>
        </w:rPr>
        <w:t xml:space="preserve"> facts </w:t>
      </w:r>
      <w:r w:rsidR="006A1FFC" w:rsidRPr="00E86546">
        <w:rPr>
          <w:rFonts w:ascii="Times New Roman" w:hAnsi="Times New Roman" w:cs="Times New Roman"/>
          <w:sz w:val="24"/>
          <w:szCs w:val="24"/>
        </w:rPr>
        <w:t xml:space="preserve">of the main dispute </w:t>
      </w:r>
      <w:r w:rsidR="00651998" w:rsidRPr="00E86546">
        <w:rPr>
          <w:rFonts w:ascii="Times New Roman" w:hAnsi="Times New Roman" w:cs="Times New Roman"/>
          <w:sz w:val="24"/>
          <w:szCs w:val="24"/>
        </w:rPr>
        <w:t>were set out morefully in</w:t>
      </w:r>
      <w:r w:rsidR="00651998">
        <w:rPr>
          <w:rFonts w:ascii="Times New Roman" w:hAnsi="Times New Roman" w:cs="Times New Roman"/>
          <w:sz w:val="24"/>
          <w:szCs w:val="24"/>
        </w:rPr>
        <w:t xml:space="preserve"> the said judgment </w:t>
      </w:r>
      <w:r>
        <w:rPr>
          <w:rFonts w:ascii="Times New Roman" w:hAnsi="Times New Roman" w:cs="Times New Roman"/>
          <w:sz w:val="24"/>
          <w:szCs w:val="24"/>
        </w:rPr>
        <w:t xml:space="preserve">so </w:t>
      </w:r>
      <w:r w:rsidR="00651998">
        <w:rPr>
          <w:rFonts w:ascii="Times New Roman" w:hAnsi="Times New Roman" w:cs="Times New Roman"/>
          <w:sz w:val="24"/>
          <w:szCs w:val="24"/>
        </w:rPr>
        <w:t xml:space="preserve">I will not repeat same here. Other than to state that </w:t>
      </w:r>
      <w:r w:rsidR="00D963F1">
        <w:rPr>
          <w:rFonts w:ascii="Times New Roman" w:hAnsi="Times New Roman" w:cs="Times New Roman"/>
          <w:sz w:val="24"/>
          <w:szCs w:val="24"/>
        </w:rPr>
        <w:t xml:space="preserve">in </w:t>
      </w:r>
      <w:r w:rsidR="00651998">
        <w:rPr>
          <w:rFonts w:ascii="Times New Roman" w:hAnsi="Times New Roman" w:cs="Times New Roman"/>
          <w:sz w:val="24"/>
          <w:szCs w:val="24"/>
        </w:rPr>
        <w:t xml:space="preserve">the underlying </w:t>
      </w:r>
      <w:r w:rsidR="006A1FFC">
        <w:rPr>
          <w:rFonts w:ascii="Times New Roman" w:hAnsi="Times New Roman" w:cs="Times New Roman"/>
          <w:sz w:val="24"/>
          <w:szCs w:val="24"/>
        </w:rPr>
        <w:t>matter</w:t>
      </w:r>
      <w:r w:rsidR="00D963F1">
        <w:rPr>
          <w:rFonts w:ascii="Times New Roman" w:hAnsi="Times New Roman" w:cs="Times New Roman"/>
          <w:sz w:val="24"/>
          <w:szCs w:val="24"/>
        </w:rPr>
        <w:t>, respondent (as p</w:t>
      </w:r>
      <w:r w:rsidR="00D963F1" w:rsidRPr="00D963F1">
        <w:rPr>
          <w:rFonts w:ascii="Times New Roman" w:eastAsia="Calibri" w:hAnsi="Times New Roman" w:cs="Times New Roman"/>
          <w:sz w:val="24"/>
          <w:szCs w:val="24"/>
          <w14:ligatures w14:val="standardContextual"/>
        </w:rPr>
        <w:t>laintiff</w:t>
      </w:r>
      <w:r w:rsidR="006A1FFC">
        <w:rPr>
          <w:rFonts w:ascii="Times New Roman" w:eastAsia="Calibri" w:hAnsi="Times New Roman" w:cs="Times New Roman"/>
          <w:sz w:val="24"/>
          <w:szCs w:val="24"/>
          <w14:ligatures w14:val="standardContextual"/>
        </w:rPr>
        <w:t xml:space="preserve"> –</w:t>
      </w:r>
      <w:r w:rsidR="00D963F1" w:rsidRPr="00D963F1">
        <w:rPr>
          <w:rFonts w:ascii="Times New Roman" w:eastAsia="Calibri" w:hAnsi="Times New Roman" w:cs="Times New Roman"/>
          <w:sz w:val="24"/>
          <w:szCs w:val="24"/>
          <w14:ligatures w14:val="standardContextual"/>
        </w:rPr>
        <w:t xml:space="preserve"> lender</w:t>
      </w:r>
      <w:r w:rsidR="006A1FFC">
        <w:rPr>
          <w:rFonts w:ascii="Times New Roman" w:eastAsia="Calibri" w:hAnsi="Times New Roman" w:cs="Times New Roman"/>
          <w:sz w:val="24"/>
          <w:szCs w:val="24"/>
          <w14:ligatures w14:val="standardContextual"/>
        </w:rPr>
        <w:t>)</w:t>
      </w:r>
      <w:r w:rsidR="00D963F1">
        <w:rPr>
          <w:rFonts w:ascii="Times New Roman" w:eastAsia="Calibri" w:hAnsi="Times New Roman" w:cs="Times New Roman"/>
          <w:sz w:val="24"/>
          <w:szCs w:val="24"/>
          <w14:ligatures w14:val="standardContextual"/>
        </w:rPr>
        <w:t>,</w:t>
      </w:r>
      <w:r w:rsidR="00D963F1" w:rsidRPr="00D963F1">
        <w:rPr>
          <w:rFonts w:ascii="Times New Roman" w:eastAsia="Calibri" w:hAnsi="Times New Roman" w:cs="Times New Roman"/>
          <w:sz w:val="24"/>
          <w:szCs w:val="24"/>
          <w14:ligatures w14:val="standardContextual"/>
        </w:rPr>
        <w:t xml:space="preserve"> instituted proceedings against </w:t>
      </w:r>
      <w:r w:rsidR="00D963F1">
        <w:rPr>
          <w:rFonts w:ascii="Times New Roman" w:eastAsia="Calibri" w:hAnsi="Times New Roman" w:cs="Times New Roman"/>
          <w:sz w:val="24"/>
          <w:szCs w:val="24"/>
          <w14:ligatures w14:val="standardContextual"/>
        </w:rPr>
        <w:t>the applicants (as defendants</w:t>
      </w:r>
      <w:r w:rsidR="006A1FFC">
        <w:rPr>
          <w:rFonts w:ascii="Times New Roman" w:eastAsia="Calibri" w:hAnsi="Times New Roman" w:cs="Times New Roman"/>
          <w:sz w:val="24"/>
          <w:szCs w:val="24"/>
          <w14:ligatures w14:val="standardContextual"/>
        </w:rPr>
        <w:t>-borrowers)</w:t>
      </w:r>
      <w:r w:rsidR="00D963F1">
        <w:rPr>
          <w:rFonts w:ascii="Times New Roman" w:eastAsia="Calibri" w:hAnsi="Times New Roman" w:cs="Times New Roman"/>
          <w:sz w:val="24"/>
          <w:szCs w:val="24"/>
          <w14:ligatures w14:val="standardContextual"/>
        </w:rPr>
        <w:t xml:space="preserve"> </w:t>
      </w:r>
      <w:r w:rsidR="00D963F1" w:rsidRPr="00D963F1">
        <w:rPr>
          <w:rFonts w:ascii="Times New Roman" w:eastAsia="Calibri" w:hAnsi="Times New Roman" w:cs="Times New Roman"/>
          <w:sz w:val="24"/>
          <w:szCs w:val="24"/>
          <w14:ligatures w14:val="standardContextual"/>
        </w:rPr>
        <w:t xml:space="preserve">over an alleged unpaid loan balance of </w:t>
      </w:r>
      <w:r w:rsidR="00D963F1" w:rsidRPr="00D963F1">
        <w:rPr>
          <w:rFonts w:ascii="Times New Roman" w:eastAsia="Calibri" w:hAnsi="Times New Roman" w:cs="Times New Roman"/>
          <w14:ligatures w14:val="standardContextual"/>
        </w:rPr>
        <w:t>US</w:t>
      </w:r>
      <w:r w:rsidR="00D963F1" w:rsidRPr="00D963F1">
        <w:rPr>
          <w:rFonts w:ascii="Times New Roman" w:eastAsia="Calibri" w:hAnsi="Times New Roman" w:cs="Times New Roman"/>
          <w:sz w:val="24"/>
          <w:szCs w:val="24"/>
          <w14:ligatures w14:val="standardContextual"/>
        </w:rPr>
        <w:t xml:space="preserve">$107,459,56. </w:t>
      </w:r>
      <w:r w:rsidR="00D963F1">
        <w:rPr>
          <w:rFonts w:ascii="Times New Roman" w:eastAsia="Calibri" w:hAnsi="Times New Roman" w:cs="Times New Roman"/>
          <w:sz w:val="24"/>
          <w:szCs w:val="24"/>
          <w14:ligatures w14:val="standardContextual"/>
        </w:rPr>
        <w:t xml:space="preserve">The defendants unsuccessfully raised a plea in bar whose ruling they </w:t>
      </w:r>
      <w:r w:rsidR="006A1FFC">
        <w:rPr>
          <w:rFonts w:ascii="Times New Roman" w:eastAsia="Calibri" w:hAnsi="Times New Roman" w:cs="Times New Roman"/>
          <w:sz w:val="24"/>
          <w:szCs w:val="24"/>
          <w14:ligatures w14:val="standardContextual"/>
        </w:rPr>
        <w:t xml:space="preserve">now </w:t>
      </w:r>
      <w:r w:rsidR="00D963F1">
        <w:rPr>
          <w:rFonts w:ascii="Times New Roman" w:eastAsia="Calibri" w:hAnsi="Times New Roman" w:cs="Times New Roman"/>
          <w:sz w:val="24"/>
          <w:szCs w:val="24"/>
          <w14:ligatures w14:val="standardContextual"/>
        </w:rPr>
        <w:t xml:space="preserve">seek leave to appeal </w:t>
      </w:r>
      <w:r w:rsidR="006A1FFC">
        <w:rPr>
          <w:rFonts w:ascii="Times New Roman" w:eastAsia="Calibri" w:hAnsi="Times New Roman" w:cs="Times New Roman"/>
          <w:sz w:val="24"/>
          <w:szCs w:val="24"/>
          <w14:ligatures w14:val="standardContextual"/>
        </w:rPr>
        <w:t xml:space="preserve">against </w:t>
      </w:r>
      <w:r w:rsidR="00D963F1">
        <w:rPr>
          <w:rFonts w:ascii="Times New Roman" w:eastAsia="Calibri" w:hAnsi="Times New Roman" w:cs="Times New Roman"/>
          <w:sz w:val="24"/>
          <w:szCs w:val="24"/>
          <w14:ligatures w14:val="standardContextual"/>
        </w:rPr>
        <w:t>on the</w:t>
      </w:r>
      <w:r w:rsidR="006A1FFC">
        <w:rPr>
          <w:rFonts w:ascii="Times New Roman" w:eastAsia="Calibri" w:hAnsi="Times New Roman" w:cs="Times New Roman"/>
          <w:sz w:val="24"/>
          <w:szCs w:val="24"/>
          <w14:ligatures w14:val="standardContextual"/>
        </w:rPr>
        <w:t xml:space="preserve"> </w:t>
      </w:r>
      <w:r w:rsidR="0038555E">
        <w:rPr>
          <w:rFonts w:ascii="Times New Roman" w:eastAsia="Calibri" w:hAnsi="Times New Roman" w:cs="Times New Roman"/>
          <w:sz w:val="24"/>
          <w:szCs w:val="24"/>
          <w14:ligatures w14:val="standardContextual"/>
        </w:rPr>
        <w:t>indicative grounds</w:t>
      </w:r>
      <w:r w:rsidR="00D963F1">
        <w:rPr>
          <w:rFonts w:ascii="Times New Roman" w:eastAsia="Calibri" w:hAnsi="Times New Roman" w:cs="Times New Roman"/>
          <w:sz w:val="24"/>
          <w:szCs w:val="24"/>
          <w14:ligatures w14:val="standardContextual"/>
        </w:rPr>
        <w:t xml:space="preserve"> set out below; -</w:t>
      </w:r>
    </w:p>
    <w:p w14:paraId="0BA32186" w14:textId="166EE610" w:rsidR="00D963F1" w:rsidRPr="00363C88" w:rsidRDefault="00D963F1" w:rsidP="00D963F1">
      <w:pPr>
        <w:spacing w:line="360" w:lineRule="auto"/>
        <w:jc w:val="both"/>
        <w:rPr>
          <w:rFonts w:ascii="Times New Roman" w:eastAsia="Calibri" w:hAnsi="Times New Roman" w:cs="Times New Roman"/>
          <w14:ligatures w14:val="standardContextual"/>
        </w:rPr>
      </w:pPr>
      <w:r w:rsidRPr="00363C88">
        <w:rPr>
          <w:rFonts w:ascii="Times New Roman" w:eastAsia="Calibri" w:hAnsi="Times New Roman" w:cs="Times New Roman"/>
          <w14:ligatures w14:val="standardContextual"/>
        </w:rPr>
        <w:t xml:space="preserve">THE </w:t>
      </w:r>
      <w:r w:rsidR="00FD0CBF" w:rsidRPr="00363C88">
        <w:rPr>
          <w:rFonts w:ascii="Times New Roman" w:eastAsia="Calibri" w:hAnsi="Times New Roman" w:cs="Times New Roman"/>
          <w14:ligatures w14:val="standardContextual"/>
        </w:rPr>
        <w:t xml:space="preserve">SPECIAL PLEA </w:t>
      </w:r>
    </w:p>
    <w:p w14:paraId="5338D1F9" w14:textId="77777777" w:rsidR="00891602" w:rsidRDefault="00FD0CBF" w:rsidP="00FD0CBF">
      <w:pPr>
        <w:spacing w:line="360" w:lineRule="auto"/>
        <w:jc w:val="both"/>
        <w:rPr>
          <w:rFonts w:ascii="Times New Roman" w:eastAsia="Calibri" w:hAnsi="Times New Roman" w:cs="Times New Roman"/>
          <w:sz w:val="24"/>
          <w:szCs w:val="24"/>
          <w14:ligatures w14:val="standardContextual"/>
        </w:rPr>
      </w:pPr>
      <w:r>
        <w:rPr>
          <w:rFonts w:ascii="Times New Roman" w:eastAsia="Calibri" w:hAnsi="Times New Roman" w:cs="Times New Roman"/>
          <w:sz w:val="24"/>
          <w:szCs w:val="24"/>
          <w14:ligatures w14:val="standardContextual"/>
        </w:rPr>
        <w:lastRenderedPageBreak/>
        <w:t xml:space="preserve">[3] </w:t>
      </w:r>
      <w:r w:rsidR="008D097F">
        <w:rPr>
          <w:rFonts w:ascii="Times New Roman" w:eastAsia="Calibri" w:hAnsi="Times New Roman" w:cs="Times New Roman"/>
          <w:sz w:val="24"/>
          <w:szCs w:val="24"/>
          <w14:ligatures w14:val="standardContextual"/>
        </w:rPr>
        <w:t xml:space="preserve">It was contended by the applicants </w:t>
      </w:r>
      <w:r w:rsidR="00A8437C">
        <w:rPr>
          <w:rFonts w:ascii="Times New Roman" w:eastAsia="Calibri" w:hAnsi="Times New Roman" w:cs="Times New Roman"/>
          <w:sz w:val="24"/>
          <w:szCs w:val="24"/>
          <w14:ligatures w14:val="standardContextual"/>
        </w:rPr>
        <w:t>firstly, that</w:t>
      </w:r>
      <w:r w:rsidR="008D097F">
        <w:rPr>
          <w:rFonts w:ascii="Times New Roman" w:eastAsia="Calibri" w:hAnsi="Times New Roman" w:cs="Times New Roman"/>
          <w:sz w:val="24"/>
          <w:szCs w:val="24"/>
          <w14:ligatures w14:val="standardContextual"/>
        </w:rPr>
        <w:t xml:space="preserve"> the loan agreement was invalid</w:t>
      </w:r>
      <w:r w:rsidR="00A8437C">
        <w:rPr>
          <w:rFonts w:ascii="Times New Roman" w:eastAsia="Calibri" w:hAnsi="Times New Roman" w:cs="Times New Roman"/>
          <w:sz w:val="24"/>
          <w:szCs w:val="24"/>
          <w14:ligatures w14:val="standardContextual"/>
        </w:rPr>
        <w:t xml:space="preserve"> </w:t>
      </w:r>
      <w:r w:rsidR="008D097F">
        <w:rPr>
          <w:rFonts w:ascii="Times New Roman" w:eastAsia="Calibri" w:hAnsi="Times New Roman" w:cs="Times New Roman"/>
          <w:sz w:val="24"/>
          <w:szCs w:val="24"/>
          <w14:ligatures w14:val="standardContextual"/>
        </w:rPr>
        <w:t xml:space="preserve">and unenforceable </w:t>
      </w:r>
      <w:r w:rsidR="00A8437C">
        <w:rPr>
          <w:rFonts w:ascii="Times New Roman" w:eastAsia="Calibri" w:hAnsi="Times New Roman" w:cs="Times New Roman"/>
          <w:sz w:val="24"/>
          <w:szCs w:val="24"/>
          <w14:ligatures w14:val="standardContextual"/>
        </w:rPr>
        <w:t xml:space="preserve">on the basis of illegality </w:t>
      </w:r>
      <w:r w:rsidR="008D097F">
        <w:rPr>
          <w:rFonts w:ascii="Times New Roman" w:eastAsia="Calibri" w:hAnsi="Times New Roman" w:cs="Times New Roman"/>
          <w:sz w:val="24"/>
          <w:szCs w:val="24"/>
          <w14:ligatures w14:val="standardContextual"/>
        </w:rPr>
        <w:t xml:space="preserve">by virtue of sections 6 and 26 </w:t>
      </w:r>
      <w:r w:rsidR="00614B1E">
        <w:rPr>
          <w:rFonts w:ascii="Times New Roman" w:eastAsia="Calibri" w:hAnsi="Times New Roman" w:cs="Times New Roman"/>
          <w:sz w:val="24"/>
          <w:szCs w:val="24"/>
          <w14:ligatures w14:val="standardContextual"/>
        </w:rPr>
        <w:t xml:space="preserve">of the </w:t>
      </w:r>
      <w:r w:rsidR="00614B1E" w:rsidRPr="00FD0CBF">
        <w:rPr>
          <w:rFonts w:ascii="Times New Roman" w:eastAsia="Calibri" w:hAnsi="Times New Roman" w:cs="Times New Roman"/>
          <w:sz w:val="24"/>
          <w:szCs w:val="24"/>
          <w14:ligatures w14:val="standardContextual"/>
        </w:rPr>
        <w:t>Microfinance Act [Chapter 24:30] (“the Microfinance Act”)</w:t>
      </w:r>
      <w:r w:rsidR="008D097F">
        <w:rPr>
          <w:rFonts w:ascii="Times New Roman" w:eastAsia="Calibri" w:hAnsi="Times New Roman" w:cs="Times New Roman"/>
          <w:sz w:val="24"/>
          <w:szCs w:val="24"/>
          <w14:ligatures w14:val="standardContextual"/>
        </w:rPr>
        <w:t xml:space="preserve">. </w:t>
      </w:r>
      <w:r w:rsidR="00724C23">
        <w:rPr>
          <w:rFonts w:ascii="Times New Roman" w:eastAsia="Calibri" w:hAnsi="Times New Roman" w:cs="Times New Roman"/>
          <w:sz w:val="24"/>
          <w:szCs w:val="24"/>
          <w14:ligatures w14:val="standardContextual"/>
        </w:rPr>
        <w:t>Secondly, applicants argued that th</w:t>
      </w:r>
      <w:r w:rsidR="00614B1E">
        <w:rPr>
          <w:rFonts w:ascii="Times New Roman" w:eastAsia="Calibri" w:hAnsi="Times New Roman" w:cs="Times New Roman"/>
          <w:sz w:val="24"/>
          <w:szCs w:val="24"/>
          <w14:ligatures w14:val="standardContextual"/>
        </w:rPr>
        <w:t xml:space="preserve">e facility was established </w:t>
      </w:r>
      <w:r w:rsidR="008D097F">
        <w:rPr>
          <w:rFonts w:ascii="Times New Roman" w:eastAsia="Calibri" w:hAnsi="Times New Roman" w:cs="Times New Roman"/>
          <w:sz w:val="24"/>
          <w:szCs w:val="24"/>
          <w14:ligatures w14:val="standardContextual"/>
        </w:rPr>
        <w:t>in November 2021</w:t>
      </w:r>
      <w:r w:rsidR="008A0883">
        <w:rPr>
          <w:rFonts w:ascii="Times New Roman" w:eastAsia="Calibri" w:hAnsi="Times New Roman" w:cs="Times New Roman"/>
          <w:sz w:val="24"/>
          <w:szCs w:val="24"/>
          <w14:ligatures w14:val="standardContextual"/>
        </w:rPr>
        <w:t xml:space="preserve"> rather than in December of 2021. As at the earlier date, the </w:t>
      </w:r>
      <w:r w:rsidR="008D097F">
        <w:rPr>
          <w:rFonts w:ascii="Times New Roman" w:eastAsia="Calibri" w:hAnsi="Times New Roman" w:cs="Times New Roman"/>
          <w:sz w:val="24"/>
          <w:szCs w:val="24"/>
          <w14:ligatures w14:val="standardContextual"/>
        </w:rPr>
        <w:t xml:space="preserve">respondent was not </w:t>
      </w:r>
      <w:r w:rsidR="008A0883">
        <w:rPr>
          <w:rFonts w:ascii="Times New Roman" w:eastAsia="Calibri" w:hAnsi="Times New Roman" w:cs="Times New Roman"/>
          <w:sz w:val="24"/>
          <w:szCs w:val="24"/>
          <w14:ligatures w14:val="standardContextual"/>
        </w:rPr>
        <w:t xml:space="preserve">yet </w:t>
      </w:r>
      <w:r w:rsidR="008D097F">
        <w:rPr>
          <w:rFonts w:ascii="Times New Roman" w:eastAsia="Calibri" w:hAnsi="Times New Roman" w:cs="Times New Roman"/>
          <w:sz w:val="24"/>
          <w:szCs w:val="24"/>
          <w14:ligatures w14:val="standardContextual"/>
        </w:rPr>
        <w:t>registered as a microfinance institution in terms of the</w:t>
      </w:r>
      <w:r w:rsidR="008D097F" w:rsidRPr="008D097F">
        <w:rPr>
          <w:rFonts w:ascii="Times New Roman" w:eastAsia="Calibri" w:hAnsi="Times New Roman" w:cs="Times New Roman"/>
          <w:sz w:val="24"/>
          <w:szCs w:val="24"/>
          <w14:ligatures w14:val="standardContextual"/>
        </w:rPr>
        <w:t xml:space="preserve"> </w:t>
      </w:r>
      <w:r w:rsidR="008D097F" w:rsidRPr="00FD0CBF">
        <w:rPr>
          <w:rFonts w:ascii="Times New Roman" w:eastAsia="Calibri" w:hAnsi="Times New Roman" w:cs="Times New Roman"/>
          <w:sz w:val="24"/>
          <w:szCs w:val="24"/>
          <w14:ligatures w14:val="standardContextual"/>
        </w:rPr>
        <w:t>Microfinance</w:t>
      </w:r>
      <w:r w:rsidR="00614B1E">
        <w:rPr>
          <w:rFonts w:ascii="Times New Roman" w:eastAsia="Calibri" w:hAnsi="Times New Roman" w:cs="Times New Roman"/>
          <w:sz w:val="24"/>
          <w:szCs w:val="24"/>
          <w14:ligatures w14:val="standardContextual"/>
        </w:rPr>
        <w:t xml:space="preserve"> </w:t>
      </w:r>
      <w:r w:rsidR="008A0883">
        <w:rPr>
          <w:rFonts w:ascii="Times New Roman" w:eastAsia="Calibri" w:hAnsi="Times New Roman" w:cs="Times New Roman"/>
          <w:sz w:val="24"/>
          <w:szCs w:val="24"/>
          <w14:ligatures w14:val="standardContextual"/>
        </w:rPr>
        <w:t xml:space="preserve">Act. </w:t>
      </w:r>
    </w:p>
    <w:p w14:paraId="08B5FD76" w14:textId="0444B554" w:rsidR="00A8437C" w:rsidRDefault="00A8437C" w:rsidP="00FD0CBF">
      <w:pPr>
        <w:spacing w:line="360" w:lineRule="auto"/>
        <w:jc w:val="both"/>
        <w:rPr>
          <w:rFonts w:ascii="Times New Roman" w:eastAsia="Calibri" w:hAnsi="Times New Roman" w:cs="Times New Roman"/>
          <w:sz w:val="24"/>
          <w:szCs w:val="24"/>
          <w14:ligatures w14:val="standardContextual"/>
        </w:rPr>
      </w:pPr>
      <w:r>
        <w:rPr>
          <w:rFonts w:ascii="Times New Roman" w:eastAsia="Calibri" w:hAnsi="Times New Roman" w:cs="Times New Roman"/>
          <w:sz w:val="24"/>
          <w:szCs w:val="24"/>
          <w14:ligatures w14:val="standardContextual"/>
        </w:rPr>
        <w:t>[4] The</w:t>
      </w:r>
      <w:r w:rsidR="00614B1E">
        <w:rPr>
          <w:rFonts w:ascii="Times New Roman" w:eastAsia="Calibri" w:hAnsi="Times New Roman" w:cs="Times New Roman"/>
          <w:sz w:val="24"/>
          <w:szCs w:val="24"/>
          <w14:ligatures w14:val="standardContextual"/>
        </w:rPr>
        <w:t xml:space="preserve"> finding on this point was that </w:t>
      </w:r>
      <w:r>
        <w:rPr>
          <w:rFonts w:ascii="Times New Roman" w:eastAsia="Calibri" w:hAnsi="Times New Roman" w:cs="Times New Roman"/>
          <w:sz w:val="24"/>
          <w:szCs w:val="24"/>
          <w14:ligatures w14:val="standardContextual"/>
        </w:rPr>
        <w:t>(a) the respondent was, at the material time, licenced to conduct microfinance business, ( b) that the facility in question was established after the respondent obtained a proper licence and that in any event as (c ),</w:t>
      </w:r>
      <w:r w:rsidR="00614B1E">
        <w:rPr>
          <w:rFonts w:ascii="Times New Roman" w:eastAsia="Calibri" w:hAnsi="Times New Roman" w:cs="Times New Roman"/>
          <w:sz w:val="24"/>
          <w:szCs w:val="24"/>
          <w14:ligatures w14:val="standardContextual"/>
        </w:rPr>
        <w:t xml:space="preserve">sections 6 and 26 of the </w:t>
      </w:r>
      <w:r w:rsidR="00614B1E" w:rsidRPr="00FD0CBF">
        <w:rPr>
          <w:rFonts w:ascii="Times New Roman" w:eastAsia="Calibri" w:hAnsi="Times New Roman" w:cs="Times New Roman"/>
          <w:sz w:val="24"/>
          <w:szCs w:val="24"/>
          <w14:ligatures w14:val="standardContextual"/>
        </w:rPr>
        <w:t xml:space="preserve">Microfinance Act </w:t>
      </w:r>
      <w:r w:rsidR="00614B1E">
        <w:rPr>
          <w:rFonts w:ascii="Times New Roman" w:eastAsia="Calibri" w:hAnsi="Times New Roman" w:cs="Times New Roman"/>
          <w:sz w:val="24"/>
          <w:szCs w:val="24"/>
          <w14:ligatures w14:val="standardContextual"/>
        </w:rPr>
        <w:t xml:space="preserve">could not be raised as an automatic bar in a special plea given the exceptions in s 6 (3) and 26 (3) of the same </w:t>
      </w:r>
      <w:r w:rsidR="0093767B">
        <w:rPr>
          <w:rFonts w:ascii="Times New Roman" w:eastAsia="Calibri" w:hAnsi="Times New Roman" w:cs="Times New Roman"/>
          <w:sz w:val="24"/>
          <w:szCs w:val="24"/>
          <w14:ligatures w14:val="standardContextual"/>
        </w:rPr>
        <w:t>Act. It was also my conclusion that the applicants had failed to discharge the required onus in a special plea in proving that the respondent was not licenced at the material time.</w:t>
      </w:r>
    </w:p>
    <w:p w14:paraId="3F1B1A7A" w14:textId="1ED22E84" w:rsidR="008930B1" w:rsidRDefault="00A8437C" w:rsidP="00FD0CBF">
      <w:pPr>
        <w:spacing w:line="360" w:lineRule="auto"/>
        <w:jc w:val="both"/>
        <w:rPr>
          <w:rFonts w:ascii="TimesNewRomanPS-BoldItalicMT" w:hAnsi="TimesNewRomanPS-BoldItalicMT" w:cs="TimesNewRomanPS-BoldItalicMT"/>
          <w:sz w:val="24"/>
          <w:szCs w:val="24"/>
        </w:rPr>
      </w:pPr>
      <w:r>
        <w:rPr>
          <w:rFonts w:ascii="Times New Roman" w:eastAsia="Calibri" w:hAnsi="Times New Roman" w:cs="Times New Roman"/>
          <w:sz w:val="24"/>
          <w:szCs w:val="24"/>
          <w14:ligatures w14:val="standardContextual"/>
        </w:rPr>
        <w:t>[</w:t>
      </w:r>
      <w:r w:rsidR="00891602">
        <w:rPr>
          <w:rFonts w:ascii="Times New Roman" w:eastAsia="Calibri" w:hAnsi="Times New Roman" w:cs="Times New Roman"/>
          <w:sz w:val="24"/>
          <w:szCs w:val="24"/>
          <w14:ligatures w14:val="standardContextual"/>
        </w:rPr>
        <w:t>5</w:t>
      </w:r>
      <w:r>
        <w:rPr>
          <w:rFonts w:ascii="Times New Roman" w:eastAsia="Calibri" w:hAnsi="Times New Roman" w:cs="Times New Roman"/>
          <w:sz w:val="24"/>
          <w:szCs w:val="24"/>
          <w14:ligatures w14:val="standardContextual"/>
        </w:rPr>
        <w:t xml:space="preserve">] </w:t>
      </w:r>
      <w:r w:rsidR="008A0883">
        <w:rPr>
          <w:rFonts w:ascii="Times New Roman" w:eastAsia="Calibri" w:hAnsi="Times New Roman" w:cs="Times New Roman"/>
          <w:sz w:val="24"/>
          <w:szCs w:val="24"/>
          <w14:ligatures w14:val="standardContextual"/>
        </w:rPr>
        <w:t>Herein, the</w:t>
      </w:r>
      <w:r>
        <w:rPr>
          <w:rFonts w:ascii="Times New Roman" w:eastAsia="Calibri" w:hAnsi="Times New Roman" w:cs="Times New Roman"/>
          <w:sz w:val="24"/>
          <w:szCs w:val="24"/>
          <w14:ligatures w14:val="standardContextual"/>
        </w:rPr>
        <w:t xml:space="preserve"> draft </w:t>
      </w:r>
      <w:r w:rsidR="00614B1E">
        <w:rPr>
          <w:rFonts w:ascii="Times New Roman" w:eastAsia="Calibri" w:hAnsi="Times New Roman" w:cs="Times New Roman"/>
          <w:sz w:val="24"/>
          <w:szCs w:val="24"/>
          <w14:ligatures w14:val="standardContextual"/>
        </w:rPr>
        <w:t>grounds of appeal</w:t>
      </w:r>
      <w:r>
        <w:rPr>
          <w:rFonts w:ascii="Times New Roman" w:eastAsia="Calibri" w:hAnsi="Times New Roman" w:cs="Times New Roman"/>
          <w:sz w:val="24"/>
          <w:szCs w:val="24"/>
          <w14:ligatures w14:val="standardContextual"/>
        </w:rPr>
        <w:t xml:space="preserve"> </w:t>
      </w:r>
      <w:r w:rsidR="008A0883">
        <w:rPr>
          <w:rFonts w:ascii="Times New Roman" w:eastAsia="Calibri" w:hAnsi="Times New Roman" w:cs="Times New Roman"/>
          <w:sz w:val="24"/>
          <w:szCs w:val="24"/>
          <w14:ligatures w14:val="standardContextual"/>
        </w:rPr>
        <w:t>attack the above findings of fact.</w:t>
      </w:r>
      <w:r>
        <w:rPr>
          <w:rFonts w:ascii="Times New Roman" w:eastAsia="Calibri" w:hAnsi="Times New Roman" w:cs="Times New Roman"/>
          <w:sz w:val="24"/>
          <w:szCs w:val="24"/>
          <w14:ligatures w14:val="standardContextual"/>
        </w:rPr>
        <w:t xml:space="preserve"> </w:t>
      </w:r>
      <w:r w:rsidR="008A0883">
        <w:rPr>
          <w:rFonts w:ascii="Times New Roman" w:eastAsia="Calibri" w:hAnsi="Times New Roman" w:cs="Times New Roman"/>
          <w:sz w:val="24"/>
          <w:szCs w:val="24"/>
          <w14:ligatures w14:val="standardContextual"/>
        </w:rPr>
        <w:t>The applicants insist that the loan facility was establish</w:t>
      </w:r>
      <w:r w:rsidR="0093767B">
        <w:rPr>
          <w:rFonts w:ascii="Times New Roman" w:eastAsia="Calibri" w:hAnsi="Times New Roman" w:cs="Times New Roman"/>
          <w:sz w:val="24"/>
          <w:szCs w:val="24"/>
          <w14:ligatures w14:val="standardContextual"/>
        </w:rPr>
        <w:t>ed</w:t>
      </w:r>
      <w:r w:rsidR="008A0883">
        <w:rPr>
          <w:rFonts w:ascii="Times New Roman" w:eastAsia="Calibri" w:hAnsi="Times New Roman" w:cs="Times New Roman"/>
          <w:sz w:val="24"/>
          <w:szCs w:val="24"/>
          <w14:ligatures w14:val="standardContextual"/>
        </w:rPr>
        <w:t xml:space="preserve"> in November</w:t>
      </w:r>
      <w:r w:rsidR="0093767B">
        <w:rPr>
          <w:rFonts w:ascii="Times New Roman" w:eastAsia="Calibri" w:hAnsi="Times New Roman" w:cs="Times New Roman"/>
          <w:sz w:val="24"/>
          <w:szCs w:val="24"/>
          <w14:ligatures w14:val="standardContextual"/>
        </w:rPr>
        <w:t>,</w:t>
      </w:r>
      <w:r w:rsidR="008A0883">
        <w:rPr>
          <w:rFonts w:ascii="Times New Roman" w:eastAsia="Calibri" w:hAnsi="Times New Roman" w:cs="Times New Roman"/>
          <w:sz w:val="24"/>
          <w:szCs w:val="24"/>
          <w14:ligatures w14:val="standardContextual"/>
        </w:rPr>
        <w:t xml:space="preserve"> rather </w:t>
      </w:r>
      <w:r w:rsidR="00B32B48">
        <w:rPr>
          <w:rFonts w:ascii="Times New Roman" w:eastAsia="Calibri" w:hAnsi="Times New Roman" w:cs="Times New Roman"/>
          <w:sz w:val="24"/>
          <w:szCs w:val="24"/>
          <w14:ligatures w14:val="standardContextual"/>
        </w:rPr>
        <w:t xml:space="preserve">than </w:t>
      </w:r>
      <w:r w:rsidR="008A0883">
        <w:rPr>
          <w:rFonts w:ascii="Times New Roman" w:eastAsia="Calibri" w:hAnsi="Times New Roman" w:cs="Times New Roman"/>
          <w:sz w:val="24"/>
          <w:szCs w:val="24"/>
          <w14:ligatures w14:val="standardContextual"/>
        </w:rPr>
        <w:t>December of 2021</w:t>
      </w:r>
      <w:r w:rsidR="0093767B">
        <w:rPr>
          <w:rFonts w:ascii="Times New Roman" w:eastAsia="Calibri" w:hAnsi="Times New Roman" w:cs="Times New Roman"/>
          <w:sz w:val="24"/>
          <w:szCs w:val="24"/>
          <w14:ligatures w14:val="standardContextual"/>
        </w:rPr>
        <w:t>.A</w:t>
      </w:r>
      <w:r w:rsidR="008A0883">
        <w:rPr>
          <w:rFonts w:ascii="Times New Roman" w:eastAsia="Calibri" w:hAnsi="Times New Roman" w:cs="Times New Roman"/>
          <w:sz w:val="24"/>
          <w:szCs w:val="24"/>
          <w14:ligatures w14:val="standardContextual"/>
        </w:rPr>
        <w:t xml:space="preserve">nd that the court`s finding to the contrary </w:t>
      </w:r>
      <w:r w:rsidR="0093767B">
        <w:rPr>
          <w:rFonts w:ascii="Times New Roman" w:eastAsia="Calibri" w:hAnsi="Times New Roman" w:cs="Times New Roman"/>
          <w:sz w:val="24"/>
          <w:szCs w:val="24"/>
          <w14:ligatures w14:val="standardContextual"/>
        </w:rPr>
        <w:t xml:space="preserve">therefore </w:t>
      </w:r>
      <w:r w:rsidR="008A0883">
        <w:rPr>
          <w:rFonts w:ascii="Times New Roman" w:eastAsia="Calibri" w:hAnsi="Times New Roman" w:cs="Times New Roman"/>
          <w:sz w:val="24"/>
          <w:szCs w:val="24"/>
          <w14:ligatures w14:val="standardContextual"/>
        </w:rPr>
        <w:t xml:space="preserve">amounted to a misdirection. On the court`s view on the exceptions in sections 6 (3) and 26 (3) of the </w:t>
      </w:r>
      <w:r w:rsidR="008A0883" w:rsidRPr="00FD0CBF">
        <w:rPr>
          <w:rFonts w:ascii="Times New Roman" w:eastAsia="Calibri" w:hAnsi="Times New Roman" w:cs="Times New Roman"/>
          <w:sz w:val="24"/>
          <w:szCs w:val="24"/>
          <w14:ligatures w14:val="standardContextual"/>
        </w:rPr>
        <w:t>Microfinance Act</w:t>
      </w:r>
      <w:r w:rsidR="008930B1">
        <w:rPr>
          <w:rFonts w:ascii="Times New Roman" w:eastAsia="Calibri" w:hAnsi="Times New Roman" w:cs="Times New Roman"/>
          <w:sz w:val="24"/>
          <w:szCs w:val="24"/>
          <w14:ligatures w14:val="standardContextual"/>
        </w:rPr>
        <w:t>,</w:t>
      </w:r>
      <w:r w:rsidR="008A0883">
        <w:rPr>
          <w:rFonts w:ascii="Times New Roman" w:eastAsia="Calibri" w:hAnsi="Times New Roman" w:cs="Times New Roman"/>
          <w:sz w:val="24"/>
          <w:szCs w:val="24"/>
          <w14:ligatures w14:val="standardContextual"/>
        </w:rPr>
        <w:t xml:space="preserve"> the applicants took the point that the court </w:t>
      </w:r>
      <w:r w:rsidR="008A0883">
        <w:rPr>
          <w:rFonts w:ascii="TimesNewRomanPS-BoldItalicMT" w:hAnsi="TimesNewRomanPS-BoldItalicMT" w:cs="TimesNewRomanPS-BoldItalicMT"/>
          <w:sz w:val="24"/>
          <w:szCs w:val="24"/>
        </w:rPr>
        <w:t>“</w:t>
      </w:r>
      <w:r w:rsidR="008A0883" w:rsidRPr="00836EE1">
        <w:rPr>
          <w:rFonts w:ascii="TimesNewRomanPS-BoldItalicMT" w:hAnsi="TimesNewRomanPS-BoldItalicMT" w:cs="TimesNewRomanPS-BoldItalicMT"/>
          <w:b/>
          <w:bCs/>
        </w:rPr>
        <w:t>decided the matter”</w:t>
      </w:r>
      <w:r w:rsidR="008A0883" w:rsidRPr="00ED4B48">
        <w:rPr>
          <w:rFonts w:ascii="TimesNewRomanPS-BoldItalicMT" w:hAnsi="TimesNewRomanPS-BoldItalicMT" w:cs="TimesNewRomanPS-BoldItalicMT"/>
          <w:sz w:val="24"/>
          <w:szCs w:val="24"/>
        </w:rPr>
        <w:t xml:space="preserve"> on a point neither raised nor argued by the </w:t>
      </w:r>
      <w:r w:rsidR="008A0883" w:rsidRPr="00A8437C">
        <w:rPr>
          <w:rFonts w:ascii="TimesNewRomanPS-BoldItalicMT" w:hAnsi="TimesNewRomanPS-BoldItalicMT" w:cs="TimesNewRomanPS-BoldItalicMT"/>
          <w:sz w:val="24"/>
          <w:szCs w:val="24"/>
        </w:rPr>
        <w:t xml:space="preserve">parties. </w:t>
      </w:r>
    </w:p>
    <w:p w14:paraId="57450308" w14:textId="7DA76D1B" w:rsidR="00614B1E" w:rsidRPr="00A8437C" w:rsidRDefault="008930B1" w:rsidP="00FD0CBF">
      <w:pPr>
        <w:spacing w:line="360" w:lineRule="auto"/>
        <w:jc w:val="both"/>
        <w:rPr>
          <w:rFonts w:ascii="Times New Roman" w:eastAsia="Calibri" w:hAnsi="Times New Roman" w:cs="Times New Roman"/>
          <w:sz w:val="24"/>
          <w:szCs w:val="24"/>
          <w14:ligatures w14:val="standardContextual"/>
        </w:rPr>
      </w:pPr>
      <w:r>
        <w:rPr>
          <w:rFonts w:ascii="TimesNewRomanPS-BoldItalicMT" w:hAnsi="TimesNewRomanPS-BoldItalicMT" w:cs="TimesNewRomanPS-BoldItalicMT"/>
          <w:sz w:val="24"/>
          <w:szCs w:val="24"/>
        </w:rPr>
        <w:t>[</w:t>
      </w:r>
      <w:r w:rsidR="00891602">
        <w:rPr>
          <w:rFonts w:ascii="TimesNewRomanPS-BoldItalicMT" w:hAnsi="TimesNewRomanPS-BoldItalicMT" w:cs="TimesNewRomanPS-BoldItalicMT"/>
          <w:sz w:val="24"/>
          <w:szCs w:val="24"/>
        </w:rPr>
        <w:t>6</w:t>
      </w:r>
      <w:r>
        <w:rPr>
          <w:rFonts w:ascii="TimesNewRomanPS-BoldItalicMT" w:hAnsi="TimesNewRomanPS-BoldItalicMT" w:cs="TimesNewRomanPS-BoldItalicMT"/>
          <w:sz w:val="24"/>
          <w:szCs w:val="24"/>
        </w:rPr>
        <w:t xml:space="preserve">] In that regard, the judgment had to be vacated because the court overreached </w:t>
      </w:r>
      <w:r w:rsidR="00CC5C27">
        <w:rPr>
          <w:rFonts w:ascii="TimesNewRomanPS-BoldItalicMT" w:hAnsi="TimesNewRomanPS-BoldItalicMT" w:cs="TimesNewRomanPS-BoldItalicMT"/>
          <w:sz w:val="24"/>
          <w:szCs w:val="24"/>
        </w:rPr>
        <w:t xml:space="preserve">its </w:t>
      </w:r>
      <w:r>
        <w:rPr>
          <w:rFonts w:ascii="TimesNewRomanPS-BoldItalicMT" w:hAnsi="TimesNewRomanPS-BoldItalicMT" w:cs="TimesNewRomanPS-BoldItalicMT"/>
          <w:sz w:val="24"/>
          <w:szCs w:val="24"/>
        </w:rPr>
        <w:t xml:space="preserve">mandate by raising the issue </w:t>
      </w:r>
      <w:r w:rsidR="00614B1E" w:rsidRPr="00A8437C">
        <w:rPr>
          <w:rFonts w:ascii="Times New Roman" w:eastAsia="Calibri" w:hAnsi="Times New Roman" w:cs="Times New Roman"/>
          <w:i/>
          <w:iCs/>
          <w:sz w:val="24"/>
          <w:szCs w:val="24"/>
          <w14:ligatures w14:val="standardContextual"/>
        </w:rPr>
        <w:t xml:space="preserve">mero </w:t>
      </w:r>
      <w:r w:rsidRPr="00A8437C">
        <w:rPr>
          <w:rFonts w:ascii="Times New Roman" w:eastAsia="Calibri" w:hAnsi="Times New Roman" w:cs="Times New Roman"/>
          <w:i/>
          <w:iCs/>
          <w:sz w:val="24"/>
          <w:szCs w:val="24"/>
          <w14:ligatures w14:val="standardContextual"/>
        </w:rPr>
        <w:t>motu</w:t>
      </w:r>
      <w:r>
        <w:rPr>
          <w:rFonts w:ascii="Times New Roman" w:eastAsia="Calibri" w:hAnsi="Times New Roman" w:cs="Times New Roman"/>
          <w:i/>
          <w:iCs/>
          <w:sz w:val="24"/>
          <w:szCs w:val="24"/>
          <w14:ligatures w14:val="standardContextual"/>
        </w:rPr>
        <w:t xml:space="preserve"> </w:t>
      </w:r>
      <w:r w:rsidRPr="008930B1">
        <w:rPr>
          <w:rFonts w:ascii="Times New Roman" w:eastAsia="Calibri" w:hAnsi="Times New Roman" w:cs="Times New Roman"/>
          <w:sz w:val="24"/>
          <w:szCs w:val="24"/>
          <w14:ligatures w14:val="standardContextual"/>
        </w:rPr>
        <w:t>in vio</w:t>
      </w:r>
      <w:r w:rsidR="008A0883" w:rsidRPr="008930B1">
        <w:rPr>
          <w:rFonts w:ascii="Times New Roman" w:eastAsia="Calibri" w:hAnsi="Times New Roman" w:cs="Times New Roman"/>
          <w:sz w:val="24"/>
          <w:szCs w:val="24"/>
          <w14:ligatures w14:val="standardContextual"/>
        </w:rPr>
        <w:t>lation</w:t>
      </w:r>
      <w:r w:rsidR="00614B1E">
        <w:rPr>
          <w:rFonts w:ascii="Times New Roman" w:eastAsia="Calibri" w:hAnsi="Times New Roman" w:cs="Times New Roman"/>
          <w:sz w:val="24"/>
          <w:szCs w:val="24"/>
          <w14:ligatures w14:val="standardContextual"/>
        </w:rPr>
        <w:t xml:space="preserve"> of the principle set out in decision</w:t>
      </w:r>
      <w:r w:rsidR="008A0883">
        <w:rPr>
          <w:rFonts w:ascii="Times New Roman" w:eastAsia="Calibri" w:hAnsi="Times New Roman" w:cs="Times New Roman"/>
          <w:sz w:val="24"/>
          <w:szCs w:val="24"/>
          <w14:ligatures w14:val="standardContextual"/>
        </w:rPr>
        <w:t>s</w:t>
      </w:r>
      <w:r w:rsidR="00614B1E">
        <w:rPr>
          <w:rFonts w:ascii="Times New Roman" w:eastAsia="Calibri" w:hAnsi="Times New Roman" w:cs="Times New Roman"/>
          <w:sz w:val="24"/>
          <w:szCs w:val="24"/>
          <w14:ligatures w14:val="standardContextual"/>
        </w:rPr>
        <w:t xml:space="preserve"> such as </w:t>
      </w:r>
      <w:r w:rsidR="00614B1E" w:rsidRPr="00ED4B48">
        <w:rPr>
          <w:rFonts w:ascii="Times New Roman" w:eastAsia="Calibri" w:hAnsi="Times New Roman" w:cs="Times New Roman"/>
          <w:i/>
          <w:iCs/>
          <w:sz w:val="24"/>
          <w:szCs w:val="24"/>
          <w14:ligatures w14:val="standardContextual"/>
        </w:rPr>
        <w:t>Proton</w:t>
      </w:r>
      <w:r w:rsidR="00614B1E" w:rsidRPr="00ED4B48">
        <w:rPr>
          <w:rFonts w:ascii="TimesNewRomanPS-BoldItalicMT" w:hAnsi="TimesNewRomanPS-BoldItalicMT" w:cs="TimesNewRomanPS-BoldItalicMT"/>
          <w:i/>
          <w:iCs/>
          <w:sz w:val="24"/>
          <w:szCs w:val="24"/>
        </w:rPr>
        <w:t xml:space="preserve"> Bakery (Pvt) Ltd v Takaendesa </w:t>
      </w:r>
      <w:r w:rsidR="00614B1E" w:rsidRPr="00ED4B48">
        <w:rPr>
          <w:rFonts w:ascii="TimesNewRomanPSMT" w:hAnsi="TimesNewRomanPSMT" w:cs="TimesNewRomanPSMT"/>
          <w:color w:val="000008"/>
          <w:sz w:val="20"/>
          <w:szCs w:val="20"/>
        </w:rPr>
        <w:t>2005 (1)</w:t>
      </w:r>
      <w:r w:rsidR="00CC5C27">
        <w:rPr>
          <w:rFonts w:ascii="TimesNewRomanPSMT" w:hAnsi="TimesNewRomanPSMT" w:cs="TimesNewRomanPSMT"/>
          <w:color w:val="000008"/>
          <w:sz w:val="20"/>
          <w:szCs w:val="20"/>
        </w:rPr>
        <w:t xml:space="preserve"> ZLR </w:t>
      </w:r>
      <w:r w:rsidR="00614B1E" w:rsidRPr="00ED4B48">
        <w:rPr>
          <w:rFonts w:ascii="TimesNewRomanPSMT" w:hAnsi="TimesNewRomanPSMT" w:cs="TimesNewRomanPSMT"/>
          <w:color w:val="000008"/>
          <w:sz w:val="20"/>
          <w:szCs w:val="20"/>
        </w:rPr>
        <w:t xml:space="preserve"> 60 (S) and </w:t>
      </w:r>
      <w:r w:rsidR="00614B1E" w:rsidRPr="00ED4B48">
        <w:rPr>
          <w:rFonts w:ascii="TimesNewRomanPSMT" w:hAnsi="TimesNewRomanPSMT" w:cs="TimesNewRomanPSMT"/>
          <w:i/>
          <w:iCs/>
          <w:sz w:val="24"/>
          <w:szCs w:val="24"/>
        </w:rPr>
        <w:t>Servcor</w:t>
      </w:r>
      <w:r w:rsidR="00614B1E" w:rsidRPr="00ED4B48">
        <w:rPr>
          <w:rFonts w:ascii="TimesNewRomanPS-BoldItalicMT" w:hAnsi="TimesNewRomanPS-BoldItalicMT" w:cs="TimesNewRomanPS-BoldItalicMT"/>
          <w:i/>
          <w:iCs/>
          <w:sz w:val="24"/>
          <w:szCs w:val="24"/>
        </w:rPr>
        <w:t xml:space="preserve"> (Pvt) Ltd v Muchineripi SC 74-17</w:t>
      </w:r>
      <w:r>
        <w:rPr>
          <w:rFonts w:ascii="TimesNewRomanPS-BoldItalicMT" w:hAnsi="TimesNewRomanPS-BoldItalicMT" w:cs="TimesNewRomanPS-BoldItalicMT"/>
          <w:i/>
          <w:iCs/>
          <w:sz w:val="24"/>
          <w:szCs w:val="24"/>
        </w:rPr>
        <w:t>.</w:t>
      </w:r>
      <w:r w:rsidR="00A8437C">
        <w:rPr>
          <w:rFonts w:ascii="TimesNewRomanPS-BoldItalicMT" w:hAnsi="TimesNewRomanPS-BoldItalicMT" w:cs="TimesNewRomanPS-BoldItalicMT"/>
          <w:i/>
          <w:iCs/>
          <w:sz w:val="24"/>
          <w:szCs w:val="24"/>
        </w:rPr>
        <w:t xml:space="preserve"> </w:t>
      </w:r>
      <w:r w:rsidRPr="008930B1">
        <w:rPr>
          <w:rFonts w:ascii="TimesNewRomanPS-BoldItalicMT" w:hAnsi="TimesNewRomanPS-BoldItalicMT" w:cs="TimesNewRomanPS-BoldItalicMT"/>
          <w:sz w:val="24"/>
          <w:szCs w:val="24"/>
        </w:rPr>
        <w:t xml:space="preserve">Before proceeding, </w:t>
      </w:r>
      <w:r w:rsidR="00A8437C" w:rsidRPr="008930B1">
        <w:rPr>
          <w:rFonts w:ascii="TimesNewRomanPS-BoldItalicMT" w:hAnsi="TimesNewRomanPS-BoldItalicMT" w:cs="TimesNewRomanPS-BoldItalicMT"/>
          <w:sz w:val="24"/>
          <w:szCs w:val="24"/>
        </w:rPr>
        <w:t>I set out</w:t>
      </w:r>
      <w:r w:rsidRPr="008930B1">
        <w:rPr>
          <w:rFonts w:ascii="TimesNewRomanPS-BoldItalicMT" w:hAnsi="TimesNewRomanPS-BoldItalicMT" w:cs="TimesNewRomanPS-BoldItalicMT"/>
          <w:sz w:val="24"/>
          <w:szCs w:val="24"/>
        </w:rPr>
        <w:t>-for convenience- the</w:t>
      </w:r>
      <w:r w:rsidR="00A8437C" w:rsidRPr="00A8437C">
        <w:rPr>
          <w:rFonts w:ascii="TimesNewRomanPS-BoldItalicMT" w:hAnsi="TimesNewRomanPS-BoldItalicMT" w:cs="TimesNewRomanPS-BoldItalicMT"/>
          <w:sz w:val="24"/>
          <w:szCs w:val="24"/>
        </w:rPr>
        <w:t xml:space="preserve"> relevant provisions </w:t>
      </w:r>
      <w:r>
        <w:rPr>
          <w:rFonts w:ascii="TimesNewRomanPS-BoldItalicMT" w:hAnsi="TimesNewRomanPS-BoldItalicMT" w:cs="TimesNewRomanPS-BoldItalicMT"/>
          <w:sz w:val="24"/>
          <w:szCs w:val="24"/>
        </w:rPr>
        <w:t xml:space="preserve">of the </w:t>
      </w:r>
      <w:r w:rsidRPr="00FD0CBF">
        <w:rPr>
          <w:rFonts w:ascii="Times New Roman" w:eastAsia="Calibri" w:hAnsi="Times New Roman" w:cs="Times New Roman"/>
          <w:sz w:val="24"/>
          <w:szCs w:val="24"/>
          <w14:ligatures w14:val="standardContextual"/>
        </w:rPr>
        <w:t xml:space="preserve">Microfinance Act </w:t>
      </w:r>
      <w:r w:rsidR="00A8437C" w:rsidRPr="00A8437C">
        <w:rPr>
          <w:rFonts w:ascii="TimesNewRomanPS-BoldItalicMT" w:hAnsi="TimesNewRomanPS-BoldItalicMT" w:cs="TimesNewRomanPS-BoldItalicMT"/>
          <w:sz w:val="24"/>
          <w:szCs w:val="24"/>
        </w:rPr>
        <w:t>hereunder; -</w:t>
      </w:r>
    </w:p>
    <w:p w14:paraId="3AB16537" w14:textId="7C5E1D16" w:rsidR="00614B1E" w:rsidRPr="00836EE1" w:rsidRDefault="00A8437C" w:rsidP="00A8437C">
      <w:pPr>
        <w:spacing w:line="360" w:lineRule="auto"/>
        <w:ind w:left="851"/>
        <w:jc w:val="both"/>
        <w:rPr>
          <w:rFonts w:ascii="Times New Roman" w:eastAsia="Calibri" w:hAnsi="Times New Roman" w:cs="Times New Roman"/>
          <w:b/>
          <w:bCs/>
          <w:sz w:val="20"/>
          <w:szCs w:val="20"/>
          <w14:ligatures w14:val="standardContextual"/>
        </w:rPr>
      </w:pPr>
      <w:r w:rsidRPr="00836EE1">
        <w:rPr>
          <w:rFonts w:ascii="Times New Roman" w:eastAsia="Calibri" w:hAnsi="Times New Roman" w:cs="Times New Roman"/>
          <w:b/>
          <w:bCs/>
          <w:sz w:val="20"/>
          <w:szCs w:val="20"/>
          <w14:ligatures w14:val="standardContextual"/>
        </w:rPr>
        <w:t>Section 6 of the Microfinance Act.</w:t>
      </w:r>
    </w:p>
    <w:p w14:paraId="78F73FEB" w14:textId="77777777" w:rsidR="00614B1E" w:rsidRPr="00724C23" w:rsidRDefault="00614B1E" w:rsidP="00836EE1">
      <w:pPr>
        <w:pStyle w:val="NoSpacing"/>
        <w:spacing w:line="360" w:lineRule="auto"/>
        <w:ind w:left="851"/>
        <w:jc w:val="both"/>
        <w:rPr>
          <w:rFonts w:ascii="Times New Roman" w:hAnsi="Times New Roman" w:cs="Times New Roman"/>
          <w:sz w:val="20"/>
          <w:szCs w:val="20"/>
        </w:rPr>
      </w:pPr>
      <w:r w:rsidRPr="00724C23">
        <w:rPr>
          <w:rFonts w:ascii="Times New Roman" w:hAnsi="Times New Roman" w:cs="Times New Roman"/>
          <w:sz w:val="20"/>
          <w:szCs w:val="20"/>
        </w:rPr>
        <w:t xml:space="preserve">6 Prohibitions in relation to conduct of microfinance business </w:t>
      </w:r>
    </w:p>
    <w:p w14:paraId="405C1EB2" w14:textId="77777777" w:rsidR="00614B1E" w:rsidRPr="00724C23" w:rsidRDefault="00614B1E" w:rsidP="00836EE1">
      <w:pPr>
        <w:pStyle w:val="NoSpacing"/>
        <w:spacing w:line="360" w:lineRule="auto"/>
        <w:ind w:left="851"/>
        <w:jc w:val="both"/>
        <w:rPr>
          <w:rFonts w:ascii="Times New Roman" w:hAnsi="Times New Roman" w:cs="Times New Roman"/>
          <w:sz w:val="20"/>
          <w:szCs w:val="20"/>
        </w:rPr>
      </w:pPr>
      <w:r w:rsidRPr="00724C23">
        <w:rPr>
          <w:rFonts w:ascii="Times New Roman" w:hAnsi="Times New Roman" w:cs="Times New Roman"/>
          <w:sz w:val="20"/>
          <w:szCs w:val="20"/>
        </w:rPr>
        <w:t xml:space="preserve">(1) No person— </w:t>
      </w:r>
    </w:p>
    <w:p w14:paraId="2912641D" w14:textId="77777777" w:rsidR="00614B1E" w:rsidRPr="00724C23" w:rsidRDefault="00614B1E" w:rsidP="00836EE1">
      <w:pPr>
        <w:pStyle w:val="NoSpacing"/>
        <w:spacing w:line="360" w:lineRule="auto"/>
        <w:ind w:left="851"/>
        <w:jc w:val="both"/>
        <w:rPr>
          <w:rFonts w:ascii="Times New Roman" w:hAnsi="Times New Roman" w:cs="Times New Roman"/>
          <w:sz w:val="20"/>
          <w:szCs w:val="20"/>
        </w:rPr>
      </w:pPr>
      <w:r w:rsidRPr="00724C23">
        <w:rPr>
          <w:rFonts w:ascii="Times New Roman" w:hAnsi="Times New Roman" w:cs="Times New Roman"/>
          <w:sz w:val="20"/>
          <w:szCs w:val="20"/>
        </w:rPr>
        <w:t>(</w:t>
      </w:r>
      <w:r w:rsidRPr="00724C23">
        <w:rPr>
          <w:rFonts w:ascii="Times New Roman" w:hAnsi="Times New Roman" w:cs="Times New Roman"/>
          <w:i/>
          <w:iCs/>
          <w:sz w:val="20"/>
          <w:szCs w:val="20"/>
        </w:rPr>
        <w:t>a</w:t>
      </w:r>
      <w:r w:rsidRPr="00724C23">
        <w:rPr>
          <w:rFonts w:ascii="Times New Roman" w:hAnsi="Times New Roman" w:cs="Times New Roman"/>
          <w:sz w:val="20"/>
          <w:szCs w:val="20"/>
        </w:rPr>
        <w:t xml:space="preserve">) shall conduct any microfinance business unless he or she is registered in terms of this Act; </w:t>
      </w:r>
    </w:p>
    <w:p w14:paraId="41977105" w14:textId="77777777" w:rsidR="00614B1E" w:rsidRPr="00724C23" w:rsidRDefault="00614B1E" w:rsidP="00836EE1">
      <w:pPr>
        <w:pStyle w:val="NoSpacing"/>
        <w:spacing w:line="360" w:lineRule="auto"/>
        <w:ind w:left="851"/>
        <w:jc w:val="both"/>
        <w:rPr>
          <w:rFonts w:ascii="Times New Roman" w:hAnsi="Times New Roman" w:cs="Times New Roman"/>
          <w:sz w:val="20"/>
          <w:szCs w:val="20"/>
        </w:rPr>
      </w:pPr>
      <w:r w:rsidRPr="00724C23">
        <w:rPr>
          <w:rFonts w:ascii="Times New Roman" w:hAnsi="Times New Roman" w:cs="Times New Roman"/>
          <w:sz w:val="20"/>
          <w:szCs w:val="20"/>
        </w:rPr>
        <w:t>(</w:t>
      </w:r>
      <w:r w:rsidRPr="00724C23">
        <w:rPr>
          <w:rFonts w:ascii="Times New Roman" w:hAnsi="Times New Roman" w:cs="Times New Roman"/>
          <w:i/>
          <w:iCs/>
          <w:sz w:val="20"/>
          <w:szCs w:val="20"/>
        </w:rPr>
        <w:t>b</w:t>
      </w:r>
      <w:r w:rsidRPr="00724C23">
        <w:rPr>
          <w:rFonts w:ascii="Times New Roman" w:hAnsi="Times New Roman" w:cs="Times New Roman"/>
          <w:sz w:val="20"/>
          <w:szCs w:val="20"/>
        </w:rPr>
        <w:t xml:space="preserve">) shall be registered as a microfinance institution unless that person is a company; </w:t>
      </w:r>
    </w:p>
    <w:p w14:paraId="69D7A767" w14:textId="7AFD5DB3" w:rsidR="00614B1E" w:rsidRPr="00724C23" w:rsidRDefault="00614B1E" w:rsidP="00836EE1">
      <w:pPr>
        <w:pStyle w:val="NoSpacing"/>
        <w:spacing w:line="360" w:lineRule="auto"/>
        <w:ind w:left="851"/>
        <w:jc w:val="both"/>
        <w:rPr>
          <w:rFonts w:ascii="Times New Roman" w:hAnsi="Times New Roman" w:cs="Times New Roman"/>
          <w:sz w:val="20"/>
          <w:szCs w:val="20"/>
        </w:rPr>
      </w:pPr>
      <w:r w:rsidRPr="00724C23">
        <w:rPr>
          <w:rFonts w:ascii="Times New Roman" w:hAnsi="Times New Roman" w:cs="Times New Roman"/>
          <w:sz w:val="20"/>
          <w:szCs w:val="20"/>
        </w:rPr>
        <w:t>(</w:t>
      </w:r>
      <w:r w:rsidRPr="00724C23">
        <w:rPr>
          <w:rFonts w:ascii="Times New Roman" w:hAnsi="Times New Roman" w:cs="Times New Roman"/>
          <w:i/>
          <w:iCs/>
          <w:sz w:val="20"/>
          <w:szCs w:val="20"/>
        </w:rPr>
        <w:t>c</w:t>
      </w:r>
      <w:r w:rsidRPr="00724C23">
        <w:rPr>
          <w:rFonts w:ascii="Times New Roman" w:hAnsi="Times New Roman" w:cs="Times New Roman"/>
          <w:sz w:val="20"/>
          <w:szCs w:val="20"/>
        </w:rPr>
        <w:t xml:space="preserve">) registered as a moneylender in terms of this Act shall conduct deposit-taking microfinance business. </w:t>
      </w:r>
    </w:p>
    <w:p w14:paraId="113E0B6A" w14:textId="77777777" w:rsidR="00614B1E" w:rsidRPr="00724C23" w:rsidRDefault="00614B1E" w:rsidP="00836EE1">
      <w:pPr>
        <w:pStyle w:val="NoSpacing"/>
        <w:spacing w:line="360" w:lineRule="auto"/>
        <w:ind w:left="851"/>
        <w:jc w:val="both"/>
        <w:rPr>
          <w:rFonts w:ascii="Times New Roman" w:hAnsi="Times New Roman" w:cs="Times New Roman"/>
          <w:sz w:val="20"/>
          <w:szCs w:val="20"/>
        </w:rPr>
      </w:pPr>
      <w:r w:rsidRPr="00724C23">
        <w:rPr>
          <w:rFonts w:ascii="Times New Roman" w:hAnsi="Times New Roman" w:cs="Times New Roman"/>
          <w:sz w:val="20"/>
          <w:szCs w:val="20"/>
        </w:rPr>
        <w:lastRenderedPageBreak/>
        <w:t>(2) Any person who contravenes subsection (1)(</w:t>
      </w:r>
      <w:r w:rsidRPr="00724C23">
        <w:rPr>
          <w:rFonts w:ascii="Times New Roman" w:hAnsi="Times New Roman" w:cs="Times New Roman"/>
          <w:i/>
          <w:iCs/>
          <w:sz w:val="20"/>
          <w:szCs w:val="20"/>
        </w:rPr>
        <w:t>a</w:t>
      </w:r>
      <w:r w:rsidRPr="00724C23">
        <w:rPr>
          <w:rFonts w:ascii="Times New Roman" w:hAnsi="Times New Roman" w:cs="Times New Roman"/>
          <w:sz w:val="20"/>
          <w:szCs w:val="20"/>
        </w:rPr>
        <w:t>) or (</w:t>
      </w:r>
      <w:r w:rsidRPr="00724C23">
        <w:rPr>
          <w:rFonts w:ascii="Times New Roman" w:hAnsi="Times New Roman" w:cs="Times New Roman"/>
          <w:i/>
          <w:iCs/>
          <w:sz w:val="20"/>
          <w:szCs w:val="20"/>
        </w:rPr>
        <w:t>c</w:t>
      </w:r>
      <w:r w:rsidRPr="00724C23">
        <w:rPr>
          <w:rFonts w:ascii="Times New Roman" w:hAnsi="Times New Roman" w:cs="Times New Roman"/>
          <w:sz w:val="20"/>
          <w:szCs w:val="20"/>
        </w:rPr>
        <w:t xml:space="preserve">) shall be guilty of an offence and liable to a fine not exceeding level fourteen or to imprisonment for a period not exceeding five years or to both such fine and such imprisonment. </w:t>
      </w:r>
    </w:p>
    <w:p w14:paraId="144891B1" w14:textId="77777777" w:rsidR="00614B1E" w:rsidRPr="00724C23" w:rsidRDefault="00614B1E" w:rsidP="00836EE1">
      <w:pPr>
        <w:pStyle w:val="NoSpacing"/>
        <w:spacing w:line="360" w:lineRule="auto"/>
        <w:ind w:left="851"/>
        <w:jc w:val="both"/>
        <w:rPr>
          <w:rFonts w:ascii="Times New Roman" w:hAnsi="Times New Roman" w:cs="Times New Roman"/>
          <w:sz w:val="20"/>
          <w:szCs w:val="20"/>
        </w:rPr>
      </w:pPr>
      <w:r w:rsidRPr="00724C23">
        <w:rPr>
          <w:rFonts w:ascii="Times New Roman" w:hAnsi="Times New Roman" w:cs="Times New Roman"/>
          <w:sz w:val="20"/>
          <w:szCs w:val="20"/>
        </w:rPr>
        <w:t>(3) Without derogating from subsection (2), where a person advances a loan or credit to another person in the course of microfinance business that is conducted in contravention of subsection (1)(</w:t>
      </w:r>
      <w:r w:rsidRPr="00724C23">
        <w:rPr>
          <w:rFonts w:ascii="Times New Roman" w:hAnsi="Times New Roman" w:cs="Times New Roman"/>
          <w:i/>
          <w:iCs/>
          <w:sz w:val="20"/>
          <w:szCs w:val="20"/>
        </w:rPr>
        <w:t>a</w:t>
      </w:r>
      <w:r w:rsidRPr="00724C23">
        <w:rPr>
          <w:rFonts w:ascii="Times New Roman" w:hAnsi="Times New Roman" w:cs="Times New Roman"/>
          <w:sz w:val="20"/>
          <w:szCs w:val="20"/>
        </w:rPr>
        <w:t xml:space="preserve">)— </w:t>
      </w:r>
    </w:p>
    <w:p w14:paraId="3F09DEE9" w14:textId="77777777" w:rsidR="00614B1E" w:rsidRPr="00724C23" w:rsidRDefault="00614B1E" w:rsidP="00836EE1">
      <w:pPr>
        <w:pStyle w:val="NoSpacing"/>
        <w:spacing w:line="360" w:lineRule="auto"/>
        <w:ind w:left="851"/>
        <w:jc w:val="both"/>
        <w:rPr>
          <w:rFonts w:ascii="Times New Roman" w:hAnsi="Times New Roman" w:cs="Times New Roman"/>
          <w:sz w:val="20"/>
          <w:szCs w:val="20"/>
        </w:rPr>
      </w:pPr>
      <w:r w:rsidRPr="00724C23">
        <w:rPr>
          <w:rFonts w:ascii="Times New Roman" w:hAnsi="Times New Roman" w:cs="Times New Roman"/>
          <w:sz w:val="20"/>
          <w:szCs w:val="20"/>
        </w:rPr>
        <w:t>(</w:t>
      </w:r>
      <w:r w:rsidRPr="00724C23">
        <w:rPr>
          <w:rFonts w:ascii="Times New Roman" w:hAnsi="Times New Roman" w:cs="Times New Roman"/>
          <w:i/>
          <w:iCs/>
          <w:sz w:val="20"/>
          <w:szCs w:val="20"/>
        </w:rPr>
        <w:t>a</w:t>
      </w:r>
      <w:r w:rsidRPr="00724C23">
        <w:rPr>
          <w:rFonts w:ascii="Times New Roman" w:hAnsi="Times New Roman" w:cs="Times New Roman"/>
          <w:sz w:val="20"/>
          <w:szCs w:val="20"/>
        </w:rPr>
        <w:t xml:space="preserve">) no interest shall be payable on the loan or advance; and </w:t>
      </w:r>
    </w:p>
    <w:p w14:paraId="78B95F8A" w14:textId="4437B46C" w:rsidR="00614B1E" w:rsidRPr="00724C23" w:rsidRDefault="00614B1E" w:rsidP="00836EE1">
      <w:pPr>
        <w:pStyle w:val="NoSpacing"/>
        <w:spacing w:line="360" w:lineRule="auto"/>
        <w:ind w:left="851"/>
        <w:jc w:val="both"/>
        <w:rPr>
          <w:rFonts w:ascii="Times New Roman" w:hAnsi="Times New Roman" w:cs="Times New Roman"/>
          <w:sz w:val="20"/>
          <w:szCs w:val="20"/>
        </w:rPr>
      </w:pPr>
      <w:r w:rsidRPr="00724C23">
        <w:rPr>
          <w:rFonts w:ascii="Times New Roman" w:hAnsi="Times New Roman" w:cs="Times New Roman"/>
          <w:sz w:val="20"/>
          <w:szCs w:val="20"/>
        </w:rPr>
        <w:t>(</w:t>
      </w:r>
      <w:r w:rsidRPr="00724C23">
        <w:rPr>
          <w:rFonts w:ascii="Times New Roman" w:hAnsi="Times New Roman" w:cs="Times New Roman"/>
          <w:i/>
          <w:iCs/>
          <w:sz w:val="20"/>
          <w:szCs w:val="20"/>
        </w:rPr>
        <w:t>b</w:t>
      </w:r>
      <w:r w:rsidRPr="00724C23">
        <w:rPr>
          <w:rFonts w:ascii="Times New Roman" w:hAnsi="Times New Roman" w:cs="Times New Roman"/>
          <w:sz w:val="20"/>
          <w:szCs w:val="20"/>
        </w:rPr>
        <w:t xml:space="preserve">) the capital sum of the loan or advance shall not be recoverable from the borrower unless a competent court, on application by the lender, has condoned the lender’s failure to comply with </w:t>
      </w:r>
      <w:r w:rsidR="00A8437C" w:rsidRPr="00724C23">
        <w:rPr>
          <w:rFonts w:ascii="Times New Roman" w:hAnsi="Times New Roman" w:cs="Times New Roman"/>
          <w:sz w:val="20"/>
          <w:szCs w:val="20"/>
        </w:rPr>
        <w:t>subsection (</w:t>
      </w:r>
      <w:r w:rsidRPr="00724C23">
        <w:rPr>
          <w:rFonts w:ascii="Times New Roman" w:hAnsi="Times New Roman" w:cs="Times New Roman"/>
          <w:sz w:val="20"/>
          <w:szCs w:val="20"/>
        </w:rPr>
        <w:t xml:space="preserve">1). </w:t>
      </w:r>
    </w:p>
    <w:p w14:paraId="78F10ACA" w14:textId="7A933B99" w:rsidR="00614B1E" w:rsidRPr="00724C23" w:rsidRDefault="00614B1E" w:rsidP="00836EE1">
      <w:pPr>
        <w:pStyle w:val="NoSpacing"/>
        <w:spacing w:line="360" w:lineRule="auto"/>
        <w:ind w:left="851"/>
        <w:jc w:val="both"/>
        <w:rPr>
          <w:rFonts w:ascii="Times New Roman" w:hAnsi="Times New Roman" w:cs="Times New Roman"/>
          <w:sz w:val="20"/>
          <w:szCs w:val="20"/>
        </w:rPr>
      </w:pPr>
      <w:r w:rsidRPr="00724C23">
        <w:rPr>
          <w:rFonts w:ascii="Times New Roman" w:hAnsi="Times New Roman" w:cs="Times New Roman"/>
          <w:sz w:val="20"/>
          <w:szCs w:val="20"/>
        </w:rPr>
        <w:t>(4) Subsection (3) applies whether or not there has been a prosecution for an offence referred to in subsection (2).</w:t>
      </w:r>
    </w:p>
    <w:p w14:paraId="4D00518B" w14:textId="77777777" w:rsidR="00724C23" w:rsidRDefault="00724C23" w:rsidP="00A8437C">
      <w:pPr>
        <w:spacing w:line="360" w:lineRule="auto"/>
        <w:ind w:left="851"/>
        <w:jc w:val="both"/>
        <w:rPr>
          <w:rFonts w:ascii="Times New Roman" w:hAnsi="Times New Roman" w:cs="Times New Roman"/>
          <w:sz w:val="24"/>
          <w:szCs w:val="24"/>
        </w:rPr>
      </w:pPr>
    </w:p>
    <w:p w14:paraId="16A69EE0" w14:textId="73896810" w:rsidR="00724C23" w:rsidRPr="00836EE1" w:rsidRDefault="00724C23" w:rsidP="00836EE1">
      <w:pPr>
        <w:spacing w:line="360" w:lineRule="auto"/>
        <w:ind w:left="851"/>
        <w:jc w:val="both"/>
        <w:rPr>
          <w:rFonts w:ascii="Times New Roman" w:eastAsia="Calibri" w:hAnsi="Times New Roman" w:cs="Times New Roman"/>
          <w:b/>
          <w:bCs/>
          <w:sz w:val="20"/>
          <w:szCs w:val="20"/>
          <w14:ligatures w14:val="standardContextual"/>
        </w:rPr>
      </w:pPr>
      <w:r w:rsidRPr="00836EE1">
        <w:rPr>
          <w:rFonts w:ascii="Times New Roman" w:hAnsi="Times New Roman" w:cs="Times New Roman"/>
          <w:b/>
          <w:bCs/>
          <w:sz w:val="20"/>
          <w:szCs w:val="20"/>
        </w:rPr>
        <w:t>Section 26 of the Microfinance Act</w:t>
      </w:r>
    </w:p>
    <w:p w14:paraId="7023903D" w14:textId="77777777" w:rsidR="00724C23" w:rsidRPr="00724C23" w:rsidRDefault="00724C23" w:rsidP="00836EE1">
      <w:pPr>
        <w:pStyle w:val="NoSpacing"/>
        <w:spacing w:line="360" w:lineRule="auto"/>
        <w:ind w:left="851"/>
        <w:jc w:val="both"/>
        <w:rPr>
          <w:rFonts w:ascii="Times New Roman" w:hAnsi="Times New Roman" w:cs="Times New Roman"/>
          <w:sz w:val="20"/>
          <w:szCs w:val="20"/>
        </w:rPr>
      </w:pPr>
      <w:r w:rsidRPr="00724C23">
        <w:rPr>
          <w:rFonts w:ascii="Times New Roman" w:hAnsi="Times New Roman" w:cs="Times New Roman"/>
          <w:sz w:val="20"/>
          <w:szCs w:val="20"/>
        </w:rPr>
        <w:t xml:space="preserve">26 Requirements for lending by microfinance institutions </w:t>
      </w:r>
    </w:p>
    <w:p w14:paraId="1F6163CE" w14:textId="77777777" w:rsidR="00724C23" w:rsidRPr="00724C23" w:rsidRDefault="00724C23" w:rsidP="00836EE1">
      <w:pPr>
        <w:pStyle w:val="NoSpacing"/>
        <w:spacing w:line="360" w:lineRule="auto"/>
        <w:ind w:left="851"/>
        <w:jc w:val="both"/>
        <w:rPr>
          <w:rFonts w:ascii="Times New Roman" w:hAnsi="Times New Roman" w:cs="Times New Roman"/>
          <w:sz w:val="20"/>
          <w:szCs w:val="20"/>
        </w:rPr>
      </w:pPr>
      <w:r w:rsidRPr="00724C23">
        <w:rPr>
          <w:rFonts w:ascii="Times New Roman" w:hAnsi="Times New Roman" w:cs="Times New Roman"/>
          <w:sz w:val="20"/>
          <w:szCs w:val="20"/>
        </w:rPr>
        <w:t xml:space="preserve">(1) Before a microfinance institution makes a loan or advances credit to a borrower, the institution shall take reasonable steps to ensure that— </w:t>
      </w:r>
    </w:p>
    <w:p w14:paraId="763EA22F" w14:textId="77777777" w:rsidR="00724C23" w:rsidRPr="00724C23" w:rsidRDefault="00724C23" w:rsidP="00836EE1">
      <w:pPr>
        <w:pStyle w:val="NoSpacing"/>
        <w:spacing w:line="360" w:lineRule="auto"/>
        <w:ind w:left="851"/>
        <w:jc w:val="both"/>
        <w:rPr>
          <w:rFonts w:ascii="Times New Roman" w:hAnsi="Times New Roman" w:cs="Times New Roman"/>
          <w:sz w:val="20"/>
          <w:szCs w:val="20"/>
        </w:rPr>
      </w:pPr>
      <w:r w:rsidRPr="00724C23">
        <w:rPr>
          <w:rFonts w:ascii="Times New Roman" w:hAnsi="Times New Roman" w:cs="Times New Roman"/>
          <w:sz w:val="20"/>
          <w:szCs w:val="20"/>
        </w:rPr>
        <w:t>(</w:t>
      </w:r>
      <w:r w:rsidRPr="00724C23">
        <w:rPr>
          <w:rFonts w:ascii="Times New Roman" w:hAnsi="Times New Roman" w:cs="Times New Roman"/>
          <w:i/>
          <w:iCs/>
          <w:sz w:val="20"/>
          <w:szCs w:val="20"/>
        </w:rPr>
        <w:t>a</w:t>
      </w:r>
      <w:r w:rsidRPr="00724C23">
        <w:rPr>
          <w:rFonts w:ascii="Times New Roman" w:hAnsi="Times New Roman" w:cs="Times New Roman"/>
          <w:sz w:val="20"/>
          <w:szCs w:val="20"/>
        </w:rPr>
        <w:t xml:space="preserve">) the borrower will be able to fulfil his or her obligations under the agreement while still being able to meet the necessary living expenses of himself or herself and his or her family; and </w:t>
      </w:r>
    </w:p>
    <w:p w14:paraId="5BE0E8CC" w14:textId="77777777" w:rsidR="00724C23" w:rsidRPr="00724C23" w:rsidRDefault="00724C23" w:rsidP="00836EE1">
      <w:pPr>
        <w:pStyle w:val="NoSpacing"/>
        <w:spacing w:line="360" w:lineRule="auto"/>
        <w:ind w:left="851"/>
        <w:jc w:val="both"/>
        <w:rPr>
          <w:rFonts w:ascii="Times New Roman" w:hAnsi="Times New Roman" w:cs="Times New Roman"/>
          <w:sz w:val="20"/>
          <w:szCs w:val="20"/>
        </w:rPr>
      </w:pPr>
      <w:r w:rsidRPr="00724C23">
        <w:rPr>
          <w:rFonts w:ascii="Times New Roman" w:hAnsi="Times New Roman" w:cs="Times New Roman"/>
          <w:sz w:val="20"/>
          <w:szCs w:val="20"/>
        </w:rPr>
        <w:t>(</w:t>
      </w:r>
      <w:r w:rsidRPr="00724C23">
        <w:rPr>
          <w:rFonts w:ascii="Times New Roman" w:hAnsi="Times New Roman" w:cs="Times New Roman"/>
          <w:i/>
          <w:iCs/>
          <w:sz w:val="20"/>
          <w:szCs w:val="20"/>
        </w:rPr>
        <w:t>b</w:t>
      </w:r>
      <w:r w:rsidRPr="00724C23">
        <w:rPr>
          <w:rFonts w:ascii="Times New Roman" w:hAnsi="Times New Roman" w:cs="Times New Roman"/>
          <w:sz w:val="20"/>
          <w:szCs w:val="20"/>
        </w:rPr>
        <w:t xml:space="preserve">) the capital sum of the loan or advance shall be recoverable from the borrower in a manner that will be agreed upon between the microfinance institution and borrower, failure of which, the loan or advance will be recoverable through an application by the lender to a competent court on the terms that safeguard the interests of both parties </w:t>
      </w:r>
    </w:p>
    <w:p w14:paraId="5E4FC089" w14:textId="77777777" w:rsidR="00724C23" w:rsidRPr="00724C23" w:rsidRDefault="00724C23" w:rsidP="00836EE1">
      <w:pPr>
        <w:pStyle w:val="NoSpacing"/>
        <w:spacing w:line="360" w:lineRule="auto"/>
        <w:ind w:left="851"/>
        <w:jc w:val="both"/>
        <w:rPr>
          <w:rFonts w:ascii="Times New Roman" w:hAnsi="Times New Roman" w:cs="Times New Roman"/>
          <w:sz w:val="20"/>
          <w:szCs w:val="20"/>
        </w:rPr>
      </w:pPr>
      <w:r w:rsidRPr="00724C23">
        <w:rPr>
          <w:rFonts w:ascii="Times New Roman" w:hAnsi="Times New Roman" w:cs="Times New Roman"/>
          <w:sz w:val="20"/>
          <w:szCs w:val="20"/>
        </w:rPr>
        <w:t xml:space="preserve">[Paragraph amended by Act 6 of 2019] </w:t>
      </w:r>
    </w:p>
    <w:p w14:paraId="349A2D39" w14:textId="77777777" w:rsidR="00724C23" w:rsidRPr="00724C23" w:rsidRDefault="00724C23" w:rsidP="00836EE1">
      <w:pPr>
        <w:pStyle w:val="NoSpacing"/>
        <w:spacing w:line="360" w:lineRule="auto"/>
        <w:ind w:left="851"/>
        <w:jc w:val="both"/>
        <w:rPr>
          <w:rFonts w:ascii="Times New Roman" w:hAnsi="Times New Roman" w:cs="Times New Roman"/>
          <w:sz w:val="20"/>
          <w:szCs w:val="20"/>
        </w:rPr>
      </w:pPr>
      <w:r w:rsidRPr="00724C23">
        <w:rPr>
          <w:rFonts w:ascii="Times New Roman" w:hAnsi="Times New Roman" w:cs="Times New Roman"/>
          <w:sz w:val="20"/>
          <w:szCs w:val="20"/>
        </w:rPr>
        <w:t>(</w:t>
      </w:r>
      <w:r w:rsidRPr="00724C23">
        <w:rPr>
          <w:rFonts w:ascii="Times New Roman" w:hAnsi="Times New Roman" w:cs="Times New Roman"/>
          <w:i/>
          <w:iCs/>
          <w:sz w:val="20"/>
          <w:szCs w:val="20"/>
        </w:rPr>
        <w:t>c</w:t>
      </w:r>
      <w:r w:rsidRPr="00724C23">
        <w:rPr>
          <w:rFonts w:ascii="Times New Roman" w:hAnsi="Times New Roman" w:cs="Times New Roman"/>
          <w:sz w:val="20"/>
          <w:szCs w:val="20"/>
        </w:rPr>
        <w:t xml:space="preserve">) a credit control advisor provides the borrower with the necessary information to enable him or her to manage his or her credit. </w:t>
      </w:r>
    </w:p>
    <w:p w14:paraId="19C5BB4D" w14:textId="77777777" w:rsidR="00724C23" w:rsidRPr="00724C23" w:rsidRDefault="00724C23" w:rsidP="00836EE1">
      <w:pPr>
        <w:pStyle w:val="NoSpacing"/>
        <w:spacing w:line="360" w:lineRule="auto"/>
        <w:ind w:left="851"/>
        <w:jc w:val="both"/>
        <w:rPr>
          <w:rFonts w:ascii="Times New Roman" w:hAnsi="Times New Roman" w:cs="Times New Roman"/>
          <w:sz w:val="20"/>
          <w:szCs w:val="20"/>
        </w:rPr>
      </w:pPr>
      <w:r w:rsidRPr="00724C23">
        <w:rPr>
          <w:rFonts w:ascii="Times New Roman" w:hAnsi="Times New Roman" w:cs="Times New Roman"/>
          <w:sz w:val="20"/>
          <w:szCs w:val="20"/>
        </w:rPr>
        <w:t xml:space="preserve">(2) A microfinance institution shall allow a borrower an opportunity to read the loan agreement or to have it read to him or her, before he or she signs it, and shall provide the borrower with a copy of the agreement when he or she had signed it. </w:t>
      </w:r>
    </w:p>
    <w:p w14:paraId="51AF3969" w14:textId="77777777" w:rsidR="00724C23" w:rsidRPr="00724C23" w:rsidRDefault="00724C23" w:rsidP="00836EE1">
      <w:pPr>
        <w:pStyle w:val="NoSpacing"/>
        <w:spacing w:line="360" w:lineRule="auto"/>
        <w:ind w:left="851"/>
        <w:jc w:val="both"/>
        <w:rPr>
          <w:rFonts w:ascii="Times New Roman" w:hAnsi="Times New Roman" w:cs="Times New Roman"/>
          <w:sz w:val="20"/>
          <w:szCs w:val="20"/>
        </w:rPr>
      </w:pPr>
      <w:r w:rsidRPr="00724C23">
        <w:rPr>
          <w:rFonts w:ascii="Times New Roman" w:hAnsi="Times New Roman" w:cs="Times New Roman"/>
          <w:sz w:val="20"/>
          <w:szCs w:val="20"/>
        </w:rPr>
        <w:t xml:space="preserve">(3) If a microfinance institution makes a loan or advances credit without complying with subsection (1) or (2)— </w:t>
      </w:r>
    </w:p>
    <w:p w14:paraId="4A3A5313" w14:textId="77777777" w:rsidR="00724C23" w:rsidRPr="00724C23" w:rsidRDefault="00724C23" w:rsidP="00836EE1">
      <w:pPr>
        <w:pStyle w:val="NoSpacing"/>
        <w:spacing w:line="360" w:lineRule="auto"/>
        <w:ind w:left="851"/>
        <w:jc w:val="both"/>
        <w:rPr>
          <w:rFonts w:ascii="Times New Roman" w:hAnsi="Times New Roman" w:cs="Times New Roman"/>
          <w:sz w:val="20"/>
          <w:szCs w:val="20"/>
        </w:rPr>
      </w:pPr>
      <w:r w:rsidRPr="00724C23">
        <w:rPr>
          <w:rFonts w:ascii="Times New Roman" w:hAnsi="Times New Roman" w:cs="Times New Roman"/>
          <w:sz w:val="20"/>
          <w:szCs w:val="20"/>
        </w:rPr>
        <w:t>(</w:t>
      </w:r>
      <w:r w:rsidRPr="00724C23">
        <w:rPr>
          <w:rFonts w:ascii="Times New Roman" w:hAnsi="Times New Roman" w:cs="Times New Roman"/>
          <w:i/>
          <w:iCs/>
          <w:sz w:val="20"/>
          <w:szCs w:val="20"/>
        </w:rPr>
        <w:t>a</w:t>
      </w:r>
      <w:r w:rsidRPr="00724C23">
        <w:rPr>
          <w:rFonts w:ascii="Times New Roman" w:hAnsi="Times New Roman" w:cs="Times New Roman"/>
          <w:sz w:val="20"/>
          <w:szCs w:val="20"/>
        </w:rPr>
        <w:t xml:space="preserve">) no interest shall be payable on the loan or advance; and </w:t>
      </w:r>
    </w:p>
    <w:p w14:paraId="1DBD874F" w14:textId="4E60EDE9" w:rsidR="00614B1E" w:rsidRDefault="00724C23" w:rsidP="006F4633">
      <w:pPr>
        <w:pStyle w:val="NoSpacing"/>
        <w:spacing w:line="360" w:lineRule="auto"/>
        <w:ind w:left="851"/>
        <w:jc w:val="both"/>
        <w:rPr>
          <w:rFonts w:ascii="Times New Roman" w:hAnsi="Times New Roman" w:cs="Times New Roman"/>
          <w:sz w:val="20"/>
          <w:szCs w:val="20"/>
        </w:rPr>
      </w:pPr>
      <w:r w:rsidRPr="00724C23">
        <w:rPr>
          <w:rFonts w:ascii="Times New Roman" w:hAnsi="Times New Roman" w:cs="Times New Roman"/>
          <w:sz w:val="20"/>
          <w:szCs w:val="20"/>
        </w:rPr>
        <w:t>(</w:t>
      </w:r>
      <w:r w:rsidRPr="00724C23">
        <w:rPr>
          <w:rFonts w:ascii="Times New Roman" w:hAnsi="Times New Roman" w:cs="Times New Roman"/>
          <w:i/>
          <w:iCs/>
          <w:sz w:val="20"/>
          <w:szCs w:val="20"/>
        </w:rPr>
        <w:t>b</w:t>
      </w:r>
      <w:r w:rsidRPr="00724C23">
        <w:rPr>
          <w:rFonts w:ascii="Times New Roman" w:hAnsi="Times New Roman" w:cs="Times New Roman"/>
          <w:sz w:val="20"/>
          <w:szCs w:val="20"/>
        </w:rPr>
        <w:t>) the capital sum of the loan or advance shall not be recoverable from the borrower unless a competent court, on application by the microfinance institution, has condoned the institution’s failure to comply with the provision concerned.</w:t>
      </w:r>
    </w:p>
    <w:p w14:paraId="0106144E" w14:textId="77777777" w:rsidR="006F4633" w:rsidRDefault="006F4633" w:rsidP="006F4633">
      <w:pPr>
        <w:pStyle w:val="NoSpacing"/>
        <w:spacing w:line="360" w:lineRule="auto"/>
        <w:ind w:left="851"/>
        <w:jc w:val="both"/>
        <w:rPr>
          <w:rFonts w:ascii="Times New Roman" w:eastAsia="Calibri" w:hAnsi="Times New Roman" w:cs="Times New Roman"/>
          <w:sz w:val="24"/>
          <w:szCs w:val="24"/>
          <w14:ligatures w14:val="standardContextual"/>
        </w:rPr>
      </w:pPr>
    </w:p>
    <w:p w14:paraId="58D94EC3" w14:textId="67C5B24A" w:rsidR="0038555E" w:rsidRDefault="00891602" w:rsidP="00634B06">
      <w:pPr>
        <w:autoSpaceDE w:val="0"/>
        <w:autoSpaceDN w:val="0"/>
        <w:adjustRightInd w:val="0"/>
        <w:spacing w:after="0" w:line="360" w:lineRule="auto"/>
        <w:jc w:val="both"/>
        <w:rPr>
          <w:rFonts w:ascii="Times New Roman" w:eastAsia="Calibri" w:hAnsi="Times New Roman" w:cs="Times New Roman"/>
          <w:sz w:val="24"/>
          <w:szCs w:val="24"/>
          <w14:ligatures w14:val="standardContextual"/>
        </w:rPr>
      </w:pPr>
      <w:r w:rsidRPr="001B0810">
        <w:rPr>
          <w:rFonts w:ascii="Times New Roman" w:eastAsia="Calibri" w:hAnsi="Times New Roman" w:cs="Times New Roman"/>
          <w:sz w:val="24"/>
          <w:szCs w:val="24"/>
          <w14:ligatures w14:val="standardContextual"/>
        </w:rPr>
        <w:lastRenderedPageBreak/>
        <w:t xml:space="preserve">[7] </w:t>
      </w:r>
      <w:r w:rsidR="0093767B" w:rsidRPr="001B0810">
        <w:rPr>
          <w:rFonts w:ascii="Times New Roman" w:eastAsia="Calibri" w:hAnsi="Times New Roman" w:cs="Times New Roman"/>
          <w:sz w:val="24"/>
          <w:szCs w:val="24"/>
          <w14:ligatures w14:val="standardContextual"/>
        </w:rPr>
        <w:t xml:space="preserve">On the licence, Mr </w:t>
      </w:r>
      <w:r w:rsidR="0093767B" w:rsidRPr="001B0810">
        <w:rPr>
          <w:rFonts w:ascii="Times New Roman" w:eastAsia="Calibri" w:hAnsi="Times New Roman" w:cs="Times New Roman"/>
          <w:i/>
          <w:iCs/>
          <w:sz w:val="24"/>
          <w:szCs w:val="24"/>
          <w14:ligatures w14:val="standardContextual"/>
        </w:rPr>
        <w:t>Mutero</w:t>
      </w:r>
      <w:r w:rsidR="0093767B" w:rsidRPr="001B0810">
        <w:rPr>
          <w:rFonts w:ascii="Times New Roman" w:eastAsia="Calibri" w:hAnsi="Times New Roman" w:cs="Times New Roman"/>
          <w:sz w:val="24"/>
          <w:szCs w:val="24"/>
          <w14:ligatures w14:val="standardContextual"/>
        </w:rPr>
        <w:t xml:space="preserve"> argued that the court`s finding on evidence amounted to requiring the applicants to prove</w:t>
      </w:r>
      <w:r w:rsidR="0093767B">
        <w:rPr>
          <w:rFonts w:ascii="Times New Roman" w:eastAsia="Calibri" w:hAnsi="Times New Roman" w:cs="Times New Roman"/>
          <w:sz w:val="24"/>
          <w:szCs w:val="24"/>
          <w14:ligatures w14:val="standardContextual"/>
        </w:rPr>
        <w:t xml:space="preserve"> a negative. </w:t>
      </w:r>
      <w:r w:rsidR="006B6405">
        <w:rPr>
          <w:rFonts w:ascii="Times New Roman" w:eastAsia="Calibri" w:hAnsi="Times New Roman" w:cs="Times New Roman"/>
          <w:sz w:val="24"/>
          <w:szCs w:val="24"/>
          <w14:ligatures w14:val="standardContextual"/>
        </w:rPr>
        <w:t xml:space="preserve">There was no onus to prove a negative-he submitted citing </w:t>
      </w:r>
      <w:r w:rsidR="003661B3">
        <w:rPr>
          <w:rFonts w:ascii="Times New Roman" w:eastAsia="Calibri" w:hAnsi="Times New Roman" w:cs="Times New Roman"/>
          <w:sz w:val="24"/>
          <w:szCs w:val="24"/>
          <w14:ligatures w14:val="standardContextual"/>
        </w:rPr>
        <w:t>the court`s re</w:t>
      </w:r>
      <w:r w:rsidR="0088361E">
        <w:rPr>
          <w:rFonts w:ascii="Times New Roman" w:eastAsia="Calibri" w:hAnsi="Times New Roman" w:cs="Times New Roman"/>
          <w:sz w:val="24"/>
          <w:szCs w:val="24"/>
          <w14:ligatures w14:val="standardContextual"/>
        </w:rPr>
        <w:t xml:space="preserve">asoning </w:t>
      </w:r>
      <w:r w:rsidR="003661B3">
        <w:rPr>
          <w:rFonts w:ascii="Times New Roman" w:eastAsia="Calibri" w:hAnsi="Times New Roman" w:cs="Times New Roman"/>
          <w:sz w:val="24"/>
          <w:szCs w:val="24"/>
          <w14:ligatures w14:val="standardContextual"/>
        </w:rPr>
        <w:t xml:space="preserve">in </w:t>
      </w:r>
      <w:r w:rsidR="003661B3" w:rsidRPr="001B0810">
        <w:rPr>
          <w:rFonts w:ascii="TimesNewRomanPS-BoldItalicMT" w:hAnsi="TimesNewRomanPS-BoldItalicMT" w:cs="TimesNewRomanPS-BoldItalicMT"/>
          <w:i/>
          <w:iCs/>
          <w:sz w:val="24"/>
          <w:szCs w:val="24"/>
        </w:rPr>
        <w:t>Mangwana v Kasukuwere &amp; Ors</w:t>
      </w:r>
      <w:r w:rsidR="003661B3" w:rsidRPr="00634B06">
        <w:rPr>
          <w:rFonts w:ascii="Times New Roman" w:eastAsia="Calibri" w:hAnsi="Times New Roman" w:cs="Times New Roman"/>
          <w:sz w:val="24"/>
          <w:szCs w:val="24"/>
          <w14:ligatures w14:val="standardContextual"/>
        </w:rPr>
        <w:t xml:space="preserve"> </w:t>
      </w:r>
      <w:r w:rsidR="0088361E">
        <w:rPr>
          <w:rFonts w:ascii="Times New Roman" w:eastAsia="Calibri" w:hAnsi="Times New Roman" w:cs="Times New Roman"/>
          <w:sz w:val="24"/>
          <w:szCs w:val="24"/>
          <w14:ligatures w14:val="standardContextual"/>
        </w:rPr>
        <w:t xml:space="preserve">418-23. </w:t>
      </w:r>
      <w:r w:rsidRPr="00634B06">
        <w:rPr>
          <w:rFonts w:ascii="Times New Roman" w:eastAsia="Calibri" w:hAnsi="Times New Roman" w:cs="Times New Roman"/>
          <w:sz w:val="24"/>
          <w:szCs w:val="24"/>
          <w14:ligatures w14:val="standardContextual"/>
        </w:rPr>
        <w:t xml:space="preserve">Lastly, </w:t>
      </w:r>
      <w:r w:rsidR="00111C78">
        <w:rPr>
          <w:rFonts w:ascii="Times New Roman" w:eastAsia="Calibri" w:hAnsi="Times New Roman" w:cs="Times New Roman"/>
          <w:sz w:val="24"/>
          <w:szCs w:val="24"/>
          <w14:ligatures w14:val="standardContextual"/>
        </w:rPr>
        <w:t xml:space="preserve">Mr </w:t>
      </w:r>
      <w:r w:rsidR="00111C78" w:rsidRPr="006F4633">
        <w:rPr>
          <w:rFonts w:ascii="Times New Roman" w:eastAsia="Calibri" w:hAnsi="Times New Roman" w:cs="Times New Roman"/>
          <w:i/>
          <w:iCs/>
          <w:sz w:val="24"/>
          <w:szCs w:val="24"/>
          <w14:ligatures w14:val="standardContextual"/>
        </w:rPr>
        <w:t xml:space="preserve">Mutero </w:t>
      </w:r>
      <w:r w:rsidR="00111C78">
        <w:rPr>
          <w:rFonts w:ascii="Times New Roman" w:eastAsia="Calibri" w:hAnsi="Times New Roman" w:cs="Times New Roman"/>
          <w:sz w:val="24"/>
          <w:szCs w:val="24"/>
          <w14:ligatures w14:val="standardContextual"/>
        </w:rPr>
        <w:t xml:space="preserve">submitted that </w:t>
      </w:r>
      <w:r w:rsidR="00111C78" w:rsidRPr="0093767B">
        <w:rPr>
          <w:rFonts w:ascii="Times New Roman" w:hAnsi="Times New Roman" w:cs="Times New Roman"/>
          <w:sz w:val="24"/>
          <w:szCs w:val="24"/>
        </w:rPr>
        <w:t>the loan agreement, being a local transaction as defined</w:t>
      </w:r>
      <w:r w:rsidR="00111C78" w:rsidRPr="00634B06">
        <w:rPr>
          <w:rFonts w:ascii="Times New Roman" w:hAnsi="Times New Roman" w:cs="Times New Roman"/>
          <w:i/>
          <w:iCs/>
          <w:sz w:val="24"/>
          <w:szCs w:val="24"/>
        </w:rPr>
        <w:t xml:space="preserve"> </w:t>
      </w:r>
      <w:r w:rsidR="00111C78" w:rsidRPr="0093767B">
        <w:rPr>
          <w:rFonts w:ascii="Times New Roman" w:hAnsi="Times New Roman" w:cs="Times New Roman"/>
          <w:sz w:val="24"/>
          <w:szCs w:val="24"/>
        </w:rPr>
        <w:t>by s 3 of the</w:t>
      </w:r>
      <w:r w:rsidR="00111C78" w:rsidRPr="00634B06">
        <w:rPr>
          <w:rFonts w:ascii="Times New Roman" w:hAnsi="Times New Roman" w:cs="Times New Roman"/>
          <w:i/>
          <w:iCs/>
          <w:sz w:val="24"/>
          <w:szCs w:val="24"/>
        </w:rPr>
        <w:t xml:space="preserve"> </w:t>
      </w:r>
      <w:r w:rsidR="00111C78" w:rsidRPr="00634B06">
        <w:rPr>
          <w:rFonts w:ascii="Times New Roman" w:hAnsi="Times New Roman" w:cs="Times New Roman"/>
          <w:color w:val="000008"/>
          <w:sz w:val="24"/>
          <w:szCs w:val="24"/>
        </w:rPr>
        <w:t xml:space="preserve">Exchange Control (Exclusive Use of Zimbabwe Dollar for Domestic Transactions) Regulations, 2019, SI 212 of </w:t>
      </w:r>
      <w:r w:rsidR="00111C78">
        <w:rPr>
          <w:rFonts w:ascii="Times New Roman" w:hAnsi="Times New Roman" w:cs="Times New Roman"/>
          <w:color w:val="000008"/>
          <w:sz w:val="24"/>
          <w:szCs w:val="24"/>
        </w:rPr>
        <w:t>2022 could only be settled in local currency. For that reason, t</w:t>
      </w:r>
      <w:r w:rsidRPr="00634B06">
        <w:rPr>
          <w:rFonts w:ascii="Times New Roman" w:eastAsia="Calibri" w:hAnsi="Times New Roman" w:cs="Times New Roman"/>
          <w:sz w:val="24"/>
          <w:szCs w:val="24"/>
          <w14:ligatures w14:val="standardContextual"/>
        </w:rPr>
        <w:t xml:space="preserve">he </w:t>
      </w:r>
      <w:r w:rsidR="00111C78">
        <w:rPr>
          <w:rFonts w:ascii="Times New Roman" w:eastAsia="Calibri" w:hAnsi="Times New Roman" w:cs="Times New Roman"/>
          <w:sz w:val="24"/>
          <w:szCs w:val="24"/>
          <w14:ligatures w14:val="standardContextual"/>
        </w:rPr>
        <w:t xml:space="preserve">respondent`s </w:t>
      </w:r>
      <w:r w:rsidRPr="00634B06">
        <w:rPr>
          <w:rFonts w:ascii="Times New Roman" w:eastAsia="Calibri" w:hAnsi="Times New Roman" w:cs="Times New Roman"/>
          <w:sz w:val="24"/>
          <w:szCs w:val="24"/>
          <w14:ligatures w14:val="standardContextual"/>
        </w:rPr>
        <w:t>claim</w:t>
      </w:r>
      <w:r w:rsidR="00111C78">
        <w:rPr>
          <w:rFonts w:ascii="Times New Roman" w:eastAsia="Calibri" w:hAnsi="Times New Roman" w:cs="Times New Roman"/>
          <w:sz w:val="24"/>
          <w:szCs w:val="24"/>
          <w14:ligatures w14:val="standardContextual"/>
        </w:rPr>
        <w:t xml:space="preserve"> was incompetent in that it was founded </w:t>
      </w:r>
      <w:r w:rsidRPr="00634B06">
        <w:rPr>
          <w:rFonts w:ascii="Times New Roman" w:eastAsia="Calibri" w:hAnsi="Times New Roman" w:cs="Times New Roman"/>
          <w:sz w:val="24"/>
          <w:szCs w:val="24"/>
          <w14:ligatures w14:val="standardContextual"/>
        </w:rPr>
        <w:t xml:space="preserve">exclusively in United States </w:t>
      </w:r>
      <w:r w:rsidR="0093767B" w:rsidRPr="00634B06">
        <w:rPr>
          <w:rFonts w:ascii="Times New Roman" w:eastAsia="Calibri" w:hAnsi="Times New Roman" w:cs="Times New Roman"/>
          <w:sz w:val="24"/>
          <w:szCs w:val="24"/>
          <w14:ligatures w14:val="standardContextual"/>
        </w:rPr>
        <w:t>Dollars. It</w:t>
      </w:r>
      <w:r w:rsidR="0093767B">
        <w:rPr>
          <w:rFonts w:ascii="Times New Roman" w:eastAsia="Calibri" w:hAnsi="Times New Roman" w:cs="Times New Roman"/>
          <w:sz w:val="24"/>
          <w:szCs w:val="24"/>
          <w14:ligatures w14:val="standardContextual"/>
        </w:rPr>
        <w:t xml:space="preserve"> had, by right, to provide for the </w:t>
      </w:r>
      <w:r w:rsidRPr="00634B06">
        <w:rPr>
          <w:rFonts w:ascii="Times New Roman" w:eastAsia="Calibri" w:hAnsi="Times New Roman" w:cs="Times New Roman"/>
          <w:sz w:val="24"/>
          <w:szCs w:val="24"/>
          <w14:ligatures w14:val="standardContextual"/>
        </w:rPr>
        <w:t xml:space="preserve">option of settlement in local </w:t>
      </w:r>
      <w:r w:rsidR="00111C78" w:rsidRPr="00634B06">
        <w:rPr>
          <w:rFonts w:ascii="Times New Roman" w:eastAsia="Calibri" w:hAnsi="Times New Roman" w:cs="Times New Roman"/>
          <w:sz w:val="24"/>
          <w:szCs w:val="24"/>
          <w14:ligatures w14:val="standardContextual"/>
        </w:rPr>
        <w:t>currency</w:t>
      </w:r>
      <w:r w:rsidR="00111C78">
        <w:rPr>
          <w:rFonts w:ascii="Times New Roman" w:eastAsia="Calibri" w:hAnsi="Times New Roman" w:cs="Times New Roman"/>
          <w:sz w:val="24"/>
          <w:szCs w:val="24"/>
          <w14:ligatures w14:val="standardContextual"/>
        </w:rPr>
        <w:t>.</w:t>
      </w:r>
      <w:r w:rsidR="00111C78" w:rsidRPr="00634B06">
        <w:rPr>
          <w:rFonts w:ascii="Times New Roman" w:eastAsia="Calibri" w:hAnsi="Times New Roman" w:cs="Times New Roman"/>
          <w:sz w:val="24"/>
          <w:szCs w:val="24"/>
          <w14:ligatures w14:val="standardContextual"/>
        </w:rPr>
        <w:t xml:space="preserve"> </w:t>
      </w:r>
    </w:p>
    <w:p w14:paraId="1F18614D" w14:textId="77777777" w:rsidR="0038555E" w:rsidRDefault="0038555E" w:rsidP="00634B06">
      <w:pPr>
        <w:autoSpaceDE w:val="0"/>
        <w:autoSpaceDN w:val="0"/>
        <w:adjustRightInd w:val="0"/>
        <w:spacing w:after="0" w:line="360" w:lineRule="auto"/>
        <w:jc w:val="both"/>
        <w:rPr>
          <w:rFonts w:ascii="Times New Roman" w:eastAsia="Calibri" w:hAnsi="Times New Roman" w:cs="Times New Roman"/>
          <w:sz w:val="24"/>
          <w:szCs w:val="24"/>
          <w14:ligatures w14:val="standardContextual"/>
        </w:rPr>
      </w:pPr>
    </w:p>
    <w:p w14:paraId="08F2271C" w14:textId="67E8467C" w:rsidR="00532873" w:rsidRPr="00111C78" w:rsidRDefault="0038555E" w:rsidP="00111C78">
      <w:pPr>
        <w:autoSpaceDE w:val="0"/>
        <w:autoSpaceDN w:val="0"/>
        <w:adjustRightInd w:val="0"/>
        <w:spacing w:after="0" w:line="360" w:lineRule="auto"/>
        <w:jc w:val="both"/>
        <w:rPr>
          <w:rFonts w:ascii="Times New Roman" w:eastAsia="Calibri" w:hAnsi="Times New Roman" w:cs="Times New Roman"/>
          <w:sz w:val="24"/>
          <w:szCs w:val="24"/>
          <w14:ligatures w14:val="standardContextual"/>
        </w:rPr>
      </w:pPr>
      <w:r>
        <w:rPr>
          <w:rFonts w:ascii="Times New Roman" w:eastAsia="Calibri" w:hAnsi="Times New Roman" w:cs="Times New Roman"/>
          <w:sz w:val="24"/>
          <w:szCs w:val="24"/>
          <w14:ligatures w14:val="standardContextual"/>
        </w:rPr>
        <w:t xml:space="preserve">[8] </w:t>
      </w:r>
      <w:r w:rsidR="00111C78" w:rsidRPr="00634B06">
        <w:rPr>
          <w:rFonts w:ascii="Times New Roman" w:eastAsia="Calibri" w:hAnsi="Times New Roman" w:cs="Times New Roman"/>
          <w:sz w:val="24"/>
          <w:szCs w:val="24"/>
          <w14:ligatures w14:val="standardContextual"/>
        </w:rPr>
        <w:t>Mr</w:t>
      </w:r>
      <w:r w:rsidR="00532873" w:rsidRPr="00634B06">
        <w:rPr>
          <w:rFonts w:ascii="Times New Roman" w:eastAsia="Calibri" w:hAnsi="Times New Roman" w:cs="Times New Roman"/>
          <w:sz w:val="24"/>
          <w:szCs w:val="24"/>
          <w14:ligatures w14:val="standardContextual"/>
        </w:rPr>
        <w:t xml:space="preserve"> </w:t>
      </w:r>
      <w:r w:rsidR="00532873" w:rsidRPr="0093767B">
        <w:rPr>
          <w:rFonts w:ascii="Times New Roman" w:eastAsia="Calibri" w:hAnsi="Times New Roman" w:cs="Times New Roman"/>
          <w:i/>
          <w:iCs/>
          <w:sz w:val="24"/>
          <w:szCs w:val="24"/>
          <w14:ligatures w14:val="standardContextual"/>
        </w:rPr>
        <w:t>Mutero</w:t>
      </w:r>
      <w:r w:rsidR="00532873" w:rsidRPr="00634B06">
        <w:rPr>
          <w:rFonts w:ascii="Times New Roman" w:eastAsia="Calibri" w:hAnsi="Times New Roman" w:cs="Times New Roman"/>
          <w:sz w:val="24"/>
          <w:szCs w:val="24"/>
          <w14:ligatures w14:val="standardContextual"/>
        </w:rPr>
        <w:t xml:space="preserve"> relied, in that argument, on this court`s decisions </w:t>
      </w:r>
      <w:r w:rsidR="00634B06" w:rsidRPr="00634B06">
        <w:rPr>
          <w:rFonts w:ascii="Times New Roman" w:eastAsia="Calibri" w:hAnsi="Times New Roman" w:cs="Times New Roman"/>
          <w:sz w:val="24"/>
          <w:szCs w:val="24"/>
          <w14:ligatures w14:val="standardContextual"/>
        </w:rPr>
        <w:t xml:space="preserve">of </w:t>
      </w:r>
      <w:r w:rsidR="00634B06" w:rsidRPr="00111C78">
        <w:rPr>
          <w:rFonts w:ascii="Times New Roman" w:eastAsia="Calibri" w:hAnsi="Times New Roman" w:cs="Times New Roman"/>
          <w:i/>
          <w:iCs/>
          <w:sz w:val="24"/>
          <w:szCs w:val="24"/>
          <w14:ligatures w14:val="standardContextual"/>
        </w:rPr>
        <w:t>Nyahuma’s</w:t>
      </w:r>
      <w:r w:rsidR="00532873" w:rsidRPr="00111C78">
        <w:rPr>
          <w:rFonts w:ascii="Times New Roman" w:hAnsi="Times New Roman" w:cs="Times New Roman"/>
          <w:i/>
          <w:iCs/>
          <w:sz w:val="24"/>
          <w:szCs w:val="24"/>
        </w:rPr>
        <w:t xml:space="preserve"> Law</w:t>
      </w:r>
      <w:r w:rsidR="00532873" w:rsidRPr="00634B06">
        <w:rPr>
          <w:rFonts w:ascii="Times New Roman" w:hAnsi="Times New Roman" w:cs="Times New Roman"/>
          <w:i/>
          <w:iCs/>
          <w:sz w:val="24"/>
          <w:szCs w:val="24"/>
        </w:rPr>
        <w:t xml:space="preserve"> Golden Stairs Chambers v Busha</w:t>
      </w:r>
      <w:r w:rsidR="00532873" w:rsidRPr="00634B06">
        <w:rPr>
          <w:rFonts w:ascii="Times New Roman" w:hAnsi="Times New Roman" w:cs="Times New Roman"/>
          <w:color w:val="000008"/>
          <w:sz w:val="24"/>
          <w:szCs w:val="24"/>
        </w:rPr>
        <w:t xml:space="preserve"> HH 304</w:t>
      </w:r>
      <w:r w:rsidR="00111C78">
        <w:rPr>
          <w:rFonts w:ascii="Times New Roman" w:hAnsi="Times New Roman" w:cs="Times New Roman"/>
          <w:color w:val="000008"/>
          <w:sz w:val="24"/>
          <w:szCs w:val="24"/>
        </w:rPr>
        <w:t>-</w:t>
      </w:r>
      <w:r w:rsidR="00532873" w:rsidRPr="00634B06">
        <w:rPr>
          <w:rFonts w:ascii="Times New Roman" w:hAnsi="Times New Roman" w:cs="Times New Roman"/>
          <w:color w:val="000008"/>
          <w:sz w:val="24"/>
          <w:szCs w:val="24"/>
        </w:rPr>
        <w:t xml:space="preserve">21 and </w:t>
      </w:r>
      <w:r w:rsidR="00532873" w:rsidRPr="00634B06">
        <w:rPr>
          <w:rFonts w:ascii="Times New Roman" w:hAnsi="Times New Roman" w:cs="Times New Roman"/>
          <w:i/>
          <w:iCs/>
          <w:sz w:val="24"/>
          <w:szCs w:val="24"/>
        </w:rPr>
        <w:t xml:space="preserve">Manifest Security (Pvt) Ltd v Zesa Holdings (Pvt) Ltd </w:t>
      </w:r>
      <w:r w:rsidR="00532873" w:rsidRPr="00111C78">
        <w:rPr>
          <w:rFonts w:ascii="Times New Roman" w:hAnsi="Times New Roman" w:cs="Times New Roman"/>
          <w:sz w:val="24"/>
          <w:szCs w:val="24"/>
        </w:rPr>
        <w:t>HH 18-24</w:t>
      </w:r>
      <w:r w:rsidR="00532873" w:rsidRPr="00634B06">
        <w:rPr>
          <w:rFonts w:ascii="Times New Roman" w:hAnsi="Times New Roman" w:cs="Times New Roman"/>
          <w:i/>
          <w:iCs/>
          <w:sz w:val="24"/>
          <w:szCs w:val="24"/>
        </w:rPr>
        <w:t>.</w:t>
      </w:r>
      <w:r w:rsidR="00111C78" w:rsidRPr="00111C78">
        <w:rPr>
          <w:rFonts w:ascii="Times New Roman" w:hAnsi="Times New Roman" w:cs="Times New Roman"/>
          <w:sz w:val="24"/>
          <w:szCs w:val="24"/>
        </w:rPr>
        <w:t xml:space="preserve"> Not even the redeeming provisions of </w:t>
      </w:r>
      <w:r w:rsidR="00111C78" w:rsidRPr="00111C78">
        <w:rPr>
          <w:rFonts w:ascii="Times New Roman" w:eastAsia="Calibri" w:hAnsi="Times New Roman" w:cs="Times New Roman"/>
          <w:sz w:val="24"/>
          <w:szCs w:val="24"/>
          <w14:ligatures w14:val="standardContextual"/>
        </w:rPr>
        <w:t>the</w:t>
      </w:r>
      <w:r w:rsidR="00891602" w:rsidRPr="00111C78">
        <w:rPr>
          <w:rFonts w:ascii="Times New Roman" w:eastAsia="Calibri" w:hAnsi="Times New Roman" w:cs="Times New Roman"/>
          <w:sz w:val="24"/>
          <w:szCs w:val="24"/>
          <w14:ligatures w14:val="standardContextual"/>
        </w:rPr>
        <w:t xml:space="preserve"> Exchange Control Act [Chapter 22:05] (“Exchange Control Act”</w:t>
      </w:r>
      <w:r w:rsidR="00F072E2" w:rsidRPr="00111C78">
        <w:rPr>
          <w:rFonts w:ascii="Times New Roman" w:eastAsia="Calibri" w:hAnsi="Times New Roman" w:cs="Times New Roman"/>
          <w:sz w:val="24"/>
          <w:szCs w:val="24"/>
          <w14:ligatures w14:val="standardContextual"/>
        </w:rPr>
        <w:t xml:space="preserve">]. </w:t>
      </w:r>
      <w:r w:rsidR="00532873" w:rsidRPr="00111C78">
        <w:rPr>
          <w:rFonts w:ascii="Times New Roman" w:hAnsi="Times New Roman" w:cs="Times New Roman"/>
          <w:sz w:val="24"/>
          <w:szCs w:val="24"/>
        </w:rPr>
        <w:t>Statutory Instrument 118A</w:t>
      </w:r>
      <w:r w:rsidR="00836EE1">
        <w:rPr>
          <w:rFonts w:ascii="Times New Roman" w:hAnsi="Times New Roman" w:cs="Times New Roman"/>
          <w:sz w:val="24"/>
          <w:szCs w:val="24"/>
        </w:rPr>
        <w:t xml:space="preserve"> of </w:t>
      </w:r>
      <w:r w:rsidR="00532873" w:rsidRPr="00111C78">
        <w:rPr>
          <w:rFonts w:ascii="Times New Roman" w:hAnsi="Times New Roman" w:cs="Times New Roman"/>
          <w:sz w:val="24"/>
          <w:szCs w:val="24"/>
        </w:rPr>
        <w:t>22 (Presidential Powers (Temporary Measures</w:t>
      </w:r>
      <w:r w:rsidR="00111C78" w:rsidRPr="00111C78">
        <w:rPr>
          <w:rFonts w:ascii="Times New Roman" w:hAnsi="Times New Roman" w:cs="Times New Roman"/>
          <w:sz w:val="24"/>
          <w:szCs w:val="24"/>
        </w:rPr>
        <w:t>), (</w:t>
      </w:r>
      <w:r w:rsidR="00532873" w:rsidRPr="00111C78">
        <w:rPr>
          <w:rFonts w:ascii="Times New Roman" w:hAnsi="Times New Roman" w:cs="Times New Roman"/>
          <w:sz w:val="24"/>
          <w:szCs w:val="24"/>
        </w:rPr>
        <w:t xml:space="preserve">Amendment of Exchange Control Act) Regulations, 2022 which permitted lenders to recover loans in the currency advanced, could not avail the respondent, argued Mr </w:t>
      </w:r>
      <w:r w:rsidR="00532873" w:rsidRPr="00111C78">
        <w:rPr>
          <w:rFonts w:ascii="Times New Roman" w:hAnsi="Times New Roman" w:cs="Times New Roman"/>
          <w:i/>
          <w:iCs/>
          <w:sz w:val="24"/>
          <w:szCs w:val="24"/>
        </w:rPr>
        <w:t>Mutero</w:t>
      </w:r>
      <w:r w:rsidR="00532873" w:rsidRPr="00111C78">
        <w:rPr>
          <w:rFonts w:ascii="Times New Roman" w:hAnsi="Times New Roman" w:cs="Times New Roman"/>
          <w:sz w:val="24"/>
          <w:szCs w:val="24"/>
        </w:rPr>
        <w:t xml:space="preserve">. </w:t>
      </w:r>
    </w:p>
    <w:p w14:paraId="59D62F18" w14:textId="77777777" w:rsidR="00532873" w:rsidRDefault="00532873" w:rsidP="00532873">
      <w:pPr>
        <w:autoSpaceDE w:val="0"/>
        <w:autoSpaceDN w:val="0"/>
        <w:adjustRightInd w:val="0"/>
        <w:spacing w:after="0" w:line="240" w:lineRule="auto"/>
        <w:rPr>
          <w:rFonts w:ascii="Times New Roman" w:eastAsia="Calibri" w:hAnsi="Times New Roman" w:cs="Times New Roman"/>
          <w:sz w:val="24"/>
          <w:szCs w:val="24"/>
          <w14:ligatures w14:val="standardContextual"/>
        </w:rPr>
      </w:pPr>
    </w:p>
    <w:p w14:paraId="76594F46" w14:textId="77777777" w:rsidR="00216AE2" w:rsidRDefault="00111C78" w:rsidP="00111C78">
      <w:pPr>
        <w:autoSpaceDE w:val="0"/>
        <w:autoSpaceDN w:val="0"/>
        <w:adjustRightInd w:val="0"/>
        <w:spacing w:after="0" w:line="360" w:lineRule="auto"/>
        <w:jc w:val="both"/>
        <w:rPr>
          <w:rFonts w:ascii="Times New Roman" w:eastAsia="Calibri" w:hAnsi="Times New Roman" w:cs="Times New Roman"/>
          <w:sz w:val="24"/>
          <w:szCs w:val="24"/>
          <w14:ligatures w14:val="standardContextual"/>
        </w:rPr>
      </w:pPr>
      <w:r>
        <w:rPr>
          <w:rFonts w:ascii="Times New Roman" w:eastAsia="Calibri" w:hAnsi="Times New Roman" w:cs="Times New Roman"/>
          <w:sz w:val="24"/>
          <w:szCs w:val="24"/>
          <w14:ligatures w14:val="standardContextual"/>
        </w:rPr>
        <w:t xml:space="preserve">[9] </w:t>
      </w:r>
      <w:r w:rsidR="00F072E2">
        <w:rPr>
          <w:rFonts w:ascii="Times New Roman" w:eastAsia="Calibri" w:hAnsi="Times New Roman" w:cs="Times New Roman"/>
          <w:sz w:val="24"/>
          <w:szCs w:val="24"/>
          <w14:ligatures w14:val="standardContextual"/>
        </w:rPr>
        <w:t>This</w:t>
      </w:r>
      <w:r w:rsidR="00891602">
        <w:rPr>
          <w:rFonts w:ascii="Times New Roman" w:eastAsia="Calibri" w:hAnsi="Times New Roman" w:cs="Times New Roman"/>
          <w:sz w:val="24"/>
          <w:szCs w:val="24"/>
          <w14:ligatures w14:val="standardContextual"/>
        </w:rPr>
        <w:t xml:space="preserve"> argument </w:t>
      </w:r>
      <w:r>
        <w:rPr>
          <w:rFonts w:ascii="Times New Roman" w:eastAsia="Calibri" w:hAnsi="Times New Roman" w:cs="Times New Roman"/>
          <w:sz w:val="24"/>
          <w:szCs w:val="24"/>
          <w14:ligatures w14:val="standardContextual"/>
        </w:rPr>
        <w:t>did not find favour with the court. In the main, I dismissed</w:t>
      </w:r>
      <w:r w:rsidR="00891602">
        <w:rPr>
          <w:rFonts w:ascii="Times New Roman" w:eastAsia="Calibri" w:hAnsi="Times New Roman" w:cs="Times New Roman"/>
          <w:sz w:val="24"/>
          <w:szCs w:val="24"/>
          <w14:ligatures w14:val="standardContextual"/>
        </w:rPr>
        <w:t xml:space="preserve"> </w:t>
      </w:r>
      <w:r>
        <w:rPr>
          <w:rFonts w:ascii="Times New Roman" w:eastAsia="Calibri" w:hAnsi="Times New Roman" w:cs="Times New Roman"/>
          <w:sz w:val="24"/>
          <w:szCs w:val="24"/>
          <w14:ligatures w14:val="standardContextual"/>
        </w:rPr>
        <w:t xml:space="preserve">it </w:t>
      </w:r>
      <w:r w:rsidR="00F072E2">
        <w:rPr>
          <w:rFonts w:ascii="Times New Roman" w:eastAsia="Calibri" w:hAnsi="Times New Roman" w:cs="Times New Roman"/>
          <w:sz w:val="24"/>
          <w:szCs w:val="24"/>
          <w14:ligatures w14:val="standardContextual"/>
        </w:rPr>
        <w:t>because the</w:t>
      </w:r>
      <w:r w:rsidR="00891602">
        <w:rPr>
          <w:rFonts w:ascii="Times New Roman" w:eastAsia="Calibri" w:hAnsi="Times New Roman" w:cs="Times New Roman"/>
          <w:sz w:val="24"/>
          <w:szCs w:val="24"/>
          <w14:ligatures w14:val="standardContextual"/>
        </w:rPr>
        <w:t xml:space="preserve"> applicants tendered insufficient evidence to disprove respondent`s contention that the claim was based on a renegotiated agreement framed exclusively in United States </w:t>
      </w:r>
      <w:r>
        <w:rPr>
          <w:rFonts w:ascii="Times New Roman" w:eastAsia="Calibri" w:hAnsi="Times New Roman" w:cs="Times New Roman"/>
          <w:sz w:val="24"/>
          <w:szCs w:val="24"/>
          <w14:ligatures w14:val="standardContextual"/>
        </w:rPr>
        <w:t xml:space="preserve">Dollars. </w:t>
      </w:r>
      <w:r w:rsidR="00836EE1">
        <w:rPr>
          <w:rFonts w:ascii="Times New Roman" w:eastAsia="Calibri" w:hAnsi="Times New Roman" w:cs="Times New Roman"/>
          <w:sz w:val="24"/>
          <w:szCs w:val="24"/>
          <w14:ligatures w14:val="standardContextual"/>
        </w:rPr>
        <w:t xml:space="preserve">This finding has now been impugned by the applicants on the grounds that </w:t>
      </w:r>
      <w:r>
        <w:rPr>
          <w:rFonts w:ascii="Times New Roman" w:eastAsia="Calibri" w:hAnsi="Times New Roman" w:cs="Times New Roman"/>
          <w:sz w:val="24"/>
          <w:szCs w:val="24"/>
          <w14:ligatures w14:val="standardContextual"/>
        </w:rPr>
        <w:t xml:space="preserve">the court did not pay regard to the </w:t>
      </w:r>
      <w:r w:rsidR="00E71FD3">
        <w:rPr>
          <w:rFonts w:ascii="Times New Roman" w:eastAsia="Calibri" w:hAnsi="Times New Roman" w:cs="Times New Roman"/>
          <w:sz w:val="24"/>
          <w:szCs w:val="24"/>
          <w14:ligatures w14:val="standardContextual"/>
        </w:rPr>
        <w:t>transactional</w:t>
      </w:r>
      <w:r>
        <w:rPr>
          <w:rFonts w:ascii="Times New Roman" w:eastAsia="Calibri" w:hAnsi="Times New Roman" w:cs="Times New Roman"/>
          <w:sz w:val="24"/>
          <w:szCs w:val="24"/>
          <w14:ligatures w14:val="standardContextual"/>
        </w:rPr>
        <w:t xml:space="preserve"> history </w:t>
      </w:r>
      <w:r w:rsidR="00E71FD3">
        <w:rPr>
          <w:rFonts w:ascii="Times New Roman" w:eastAsia="Calibri" w:hAnsi="Times New Roman" w:cs="Times New Roman"/>
          <w:sz w:val="24"/>
          <w:szCs w:val="24"/>
          <w14:ligatures w14:val="standardContextual"/>
        </w:rPr>
        <w:t xml:space="preserve">behind </w:t>
      </w:r>
      <w:r>
        <w:rPr>
          <w:rFonts w:ascii="Times New Roman" w:eastAsia="Calibri" w:hAnsi="Times New Roman" w:cs="Times New Roman"/>
          <w:sz w:val="24"/>
          <w:szCs w:val="24"/>
          <w14:ligatures w14:val="standardContextual"/>
        </w:rPr>
        <w:t>the claim.</w:t>
      </w:r>
    </w:p>
    <w:p w14:paraId="39774227" w14:textId="77777777" w:rsidR="00216AE2" w:rsidRDefault="00216AE2" w:rsidP="00111C78">
      <w:pPr>
        <w:autoSpaceDE w:val="0"/>
        <w:autoSpaceDN w:val="0"/>
        <w:adjustRightInd w:val="0"/>
        <w:spacing w:after="0" w:line="360" w:lineRule="auto"/>
        <w:jc w:val="both"/>
        <w:rPr>
          <w:rFonts w:ascii="Times New Roman" w:eastAsia="Calibri" w:hAnsi="Times New Roman" w:cs="Times New Roman"/>
          <w:sz w:val="24"/>
          <w:szCs w:val="24"/>
          <w14:ligatures w14:val="standardContextual"/>
        </w:rPr>
      </w:pPr>
    </w:p>
    <w:p w14:paraId="0D8F243F" w14:textId="2CB58DCC" w:rsidR="00F072E2" w:rsidRDefault="00216AE2" w:rsidP="00111C78">
      <w:pPr>
        <w:autoSpaceDE w:val="0"/>
        <w:autoSpaceDN w:val="0"/>
        <w:adjustRightInd w:val="0"/>
        <w:spacing w:after="0" w:line="360" w:lineRule="auto"/>
        <w:jc w:val="both"/>
        <w:rPr>
          <w:rFonts w:ascii="TimesNewRomanPSMT" w:hAnsi="TimesNewRomanPSMT" w:cs="TimesNewRomanPSMT"/>
          <w:sz w:val="24"/>
          <w:szCs w:val="24"/>
        </w:rPr>
      </w:pPr>
      <w:r>
        <w:rPr>
          <w:rFonts w:ascii="Times New Roman" w:eastAsia="Calibri" w:hAnsi="Times New Roman" w:cs="Times New Roman"/>
          <w:sz w:val="24"/>
          <w:szCs w:val="24"/>
          <w14:ligatures w14:val="standardContextual"/>
        </w:rPr>
        <w:t>[10] Before</w:t>
      </w:r>
      <w:r w:rsidR="00111C78">
        <w:rPr>
          <w:rFonts w:ascii="Times New Roman" w:eastAsia="Calibri" w:hAnsi="Times New Roman" w:cs="Times New Roman"/>
          <w:sz w:val="24"/>
          <w:szCs w:val="24"/>
          <w14:ligatures w14:val="standardContextual"/>
        </w:rPr>
        <w:t xml:space="preserve"> the court was a succession of renegotiated or restructured loans. </w:t>
      </w:r>
      <w:r w:rsidR="00E71FD3">
        <w:rPr>
          <w:rFonts w:ascii="Times New Roman" w:eastAsia="Calibri" w:hAnsi="Times New Roman" w:cs="Times New Roman"/>
          <w:sz w:val="24"/>
          <w:szCs w:val="24"/>
          <w14:ligatures w14:val="standardContextual"/>
        </w:rPr>
        <w:t>Their genesis</w:t>
      </w:r>
      <w:r w:rsidR="00111C78">
        <w:rPr>
          <w:rFonts w:ascii="Times New Roman" w:eastAsia="Calibri" w:hAnsi="Times New Roman" w:cs="Times New Roman"/>
          <w:sz w:val="24"/>
          <w:szCs w:val="24"/>
          <w14:ligatures w14:val="standardContextual"/>
        </w:rPr>
        <w:t xml:space="preserve"> </w:t>
      </w:r>
      <w:r w:rsidR="00E71FD3">
        <w:rPr>
          <w:rFonts w:ascii="Times New Roman" w:eastAsia="Calibri" w:hAnsi="Times New Roman" w:cs="Times New Roman"/>
          <w:sz w:val="24"/>
          <w:szCs w:val="24"/>
          <w14:ligatures w14:val="standardContextual"/>
        </w:rPr>
        <w:t xml:space="preserve">being the </w:t>
      </w:r>
      <w:r w:rsidR="00F072E2">
        <w:rPr>
          <w:rFonts w:ascii="Times New Roman" w:eastAsia="Calibri" w:hAnsi="Times New Roman" w:cs="Times New Roman"/>
          <w:sz w:val="24"/>
          <w:szCs w:val="24"/>
          <w14:ligatures w14:val="standardContextual"/>
        </w:rPr>
        <w:t xml:space="preserve">facility of 25 November 2021 </w:t>
      </w:r>
      <w:r w:rsidR="00E71FD3">
        <w:rPr>
          <w:rFonts w:ascii="Times New Roman" w:eastAsia="Calibri" w:hAnsi="Times New Roman" w:cs="Times New Roman"/>
          <w:sz w:val="24"/>
          <w:szCs w:val="24"/>
          <w14:ligatures w14:val="standardContextual"/>
        </w:rPr>
        <w:t xml:space="preserve">in terms of which respondent advanced </w:t>
      </w:r>
      <w:r w:rsidR="00F072E2">
        <w:rPr>
          <w:rFonts w:ascii="TimesNewRomanPSMT" w:hAnsi="TimesNewRomanPSMT" w:cs="TimesNewRomanPSMT"/>
          <w:sz w:val="24"/>
          <w:szCs w:val="24"/>
        </w:rPr>
        <w:t>US$50</w:t>
      </w:r>
      <w:r w:rsidR="00E71FD3">
        <w:rPr>
          <w:rFonts w:ascii="TimesNewRomanPSMT" w:hAnsi="TimesNewRomanPSMT" w:cs="TimesNewRomanPSMT"/>
          <w:sz w:val="24"/>
          <w:szCs w:val="24"/>
        </w:rPr>
        <w:t>,</w:t>
      </w:r>
      <w:r w:rsidR="00F072E2">
        <w:rPr>
          <w:rFonts w:ascii="TimesNewRomanPSMT" w:hAnsi="TimesNewRomanPSMT" w:cs="TimesNewRomanPSMT"/>
          <w:sz w:val="24"/>
          <w:szCs w:val="24"/>
        </w:rPr>
        <w:t>000</w:t>
      </w:r>
      <w:r w:rsidR="00836EE1">
        <w:rPr>
          <w:rFonts w:ascii="TimesNewRomanPSMT" w:hAnsi="TimesNewRomanPSMT" w:cs="TimesNewRomanPSMT"/>
          <w:sz w:val="24"/>
          <w:szCs w:val="24"/>
        </w:rPr>
        <w:t>.00</w:t>
      </w:r>
      <w:r w:rsidR="00F072E2">
        <w:rPr>
          <w:rFonts w:ascii="TimesNewRomanPSMT" w:hAnsi="TimesNewRomanPSMT" w:cs="TimesNewRomanPSMT"/>
          <w:sz w:val="24"/>
          <w:szCs w:val="24"/>
        </w:rPr>
        <w:t xml:space="preserve"> and RTGS$10</w:t>
      </w:r>
      <w:r w:rsidR="00E71FD3">
        <w:rPr>
          <w:rFonts w:ascii="TimesNewRomanPSMT" w:hAnsi="TimesNewRomanPSMT" w:cs="TimesNewRomanPSMT"/>
          <w:sz w:val="24"/>
          <w:szCs w:val="24"/>
        </w:rPr>
        <w:t>,</w:t>
      </w:r>
      <w:r w:rsidR="00F072E2">
        <w:rPr>
          <w:rFonts w:ascii="TimesNewRomanPSMT" w:hAnsi="TimesNewRomanPSMT" w:cs="TimesNewRomanPSMT"/>
          <w:sz w:val="24"/>
          <w:szCs w:val="24"/>
        </w:rPr>
        <w:t>300.00</w:t>
      </w:r>
      <w:r w:rsidR="00E71FD3">
        <w:rPr>
          <w:rFonts w:ascii="TimesNewRomanPSMT" w:hAnsi="TimesNewRomanPSMT" w:cs="TimesNewRomanPSMT"/>
          <w:sz w:val="24"/>
          <w:szCs w:val="24"/>
        </w:rPr>
        <w:t xml:space="preserve"> to first applicant</w:t>
      </w:r>
      <w:r w:rsidR="00F072E2">
        <w:rPr>
          <w:rFonts w:ascii="TimesNewRomanPSMT" w:hAnsi="TimesNewRomanPSMT" w:cs="TimesNewRomanPSMT"/>
          <w:sz w:val="24"/>
          <w:szCs w:val="24"/>
        </w:rPr>
        <w:t xml:space="preserve">. As such, the subsequent variations or restructurings could not escape this base configuration of the loan into </w:t>
      </w:r>
      <w:r w:rsidR="00E71FD3">
        <w:rPr>
          <w:rFonts w:ascii="TimesNewRomanPSMT" w:hAnsi="TimesNewRomanPSMT" w:cs="TimesNewRomanPSMT"/>
          <w:sz w:val="24"/>
          <w:szCs w:val="24"/>
        </w:rPr>
        <w:t xml:space="preserve">a </w:t>
      </w:r>
      <w:r w:rsidR="00F072E2">
        <w:rPr>
          <w:rFonts w:ascii="TimesNewRomanPSMT" w:hAnsi="TimesNewRomanPSMT" w:cs="TimesNewRomanPSMT"/>
          <w:sz w:val="24"/>
          <w:szCs w:val="24"/>
        </w:rPr>
        <w:t>U</w:t>
      </w:r>
      <w:r w:rsidR="0038555E">
        <w:rPr>
          <w:rFonts w:ascii="TimesNewRomanPSMT" w:hAnsi="TimesNewRomanPSMT" w:cs="TimesNewRomanPSMT"/>
          <w:sz w:val="24"/>
          <w:szCs w:val="24"/>
        </w:rPr>
        <w:t>S dollar-</w:t>
      </w:r>
      <w:r w:rsidR="00F072E2">
        <w:rPr>
          <w:rFonts w:ascii="TimesNewRomanPSMT" w:hAnsi="TimesNewRomanPSMT" w:cs="TimesNewRomanPSMT"/>
          <w:sz w:val="24"/>
          <w:szCs w:val="24"/>
        </w:rPr>
        <w:t>local currency</w:t>
      </w:r>
      <w:r w:rsidR="00E71FD3">
        <w:rPr>
          <w:rFonts w:ascii="TimesNewRomanPSMT" w:hAnsi="TimesNewRomanPSMT" w:cs="TimesNewRomanPSMT"/>
          <w:sz w:val="24"/>
          <w:szCs w:val="24"/>
        </w:rPr>
        <w:t xml:space="preserve"> split</w:t>
      </w:r>
      <w:r w:rsidR="00F072E2">
        <w:rPr>
          <w:rFonts w:ascii="TimesNewRomanPSMT" w:hAnsi="TimesNewRomanPSMT" w:cs="TimesNewRomanPSMT"/>
          <w:sz w:val="24"/>
          <w:szCs w:val="24"/>
        </w:rPr>
        <w:t>. It mattered not</w:t>
      </w:r>
      <w:r w:rsidR="00532873">
        <w:rPr>
          <w:rFonts w:ascii="TimesNewRomanPSMT" w:hAnsi="TimesNewRomanPSMT" w:cs="TimesNewRomanPSMT"/>
          <w:sz w:val="24"/>
          <w:szCs w:val="24"/>
        </w:rPr>
        <w:t xml:space="preserve">, according to the </w:t>
      </w:r>
      <w:r w:rsidR="00E71FD3">
        <w:rPr>
          <w:rFonts w:ascii="TimesNewRomanPSMT" w:hAnsi="TimesNewRomanPSMT" w:cs="TimesNewRomanPSMT"/>
          <w:sz w:val="24"/>
          <w:szCs w:val="24"/>
        </w:rPr>
        <w:t>applicants, that</w:t>
      </w:r>
      <w:r w:rsidR="00F072E2">
        <w:rPr>
          <w:rFonts w:ascii="TimesNewRomanPSMT" w:hAnsi="TimesNewRomanPSMT" w:cs="TimesNewRomanPSMT"/>
          <w:sz w:val="24"/>
          <w:szCs w:val="24"/>
        </w:rPr>
        <w:t xml:space="preserve"> </w:t>
      </w:r>
      <w:r w:rsidR="00532873">
        <w:rPr>
          <w:rFonts w:ascii="TimesNewRomanPSMT" w:hAnsi="TimesNewRomanPSMT" w:cs="TimesNewRomanPSMT"/>
          <w:sz w:val="24"/>
          <w:szCs w:val="24"/>
        </w:rPr>
        <w:t xml:space="preserve">under the last variation </w:t>
      </w:r>
      <w:r w:rsidR="00F072E2">
        <w:rPr>
          <w:rFonts w:ascii="TimesNewRomanPSMT" w:hAnsi="TimesNewRomanPSMT" w:cs="TimesNewRomanPSMT"/>
          <w:sz w:val="24"/>
          <w:szCs w:val="24"/>
        </w:rPr>
        <w:t>dated 20 July 2022</w:t>
      </w:r>
      <w:r w:rsidR="00532873">
        <w:rPr>
          <w:rFonts w:ascii="TimesNewRomanPSMT" w:hAnsi="TimesNewRomanPSMT" w:cs="TimesNewRomanPSMT"/>
          <w:sz w:val="24"/>
          <w:szCs w:val="24"/>
        </w:rPr>
        <w:t xml:space="preserve">, first applicant undertook to settle </w:t>
      </w:r>
      <w:r w:rsidR="00F072E2">
        <w:rPr>
          <w:rFonts w:ascii="TimesNewRomanPSMT" w:hAnsi="TimesNewRomanPSMT" w:cs="TimesNewRomanPSMT"/>
          <w:sz w:val="24"/>
          <w:szCs w:val="24"/>
        </w:rPr>
        <w:t xml:space="preserve">the “outstanding balance” </w:t>
      </w:r>
      <w:r w:rsidR="00532873">
        <w:rPr>
          <w:rFonts w:ascii="TimesNewRomanPSMT" w:hAnsi="TimesNewRomanPSMT" w:cs="TimesNewRomanPSMT"/>
          <w:sz w:val="24"/>
          <w:szCs w:val="24"/>
        </w:rPr>
        <w:t>of</w:t>
      </w:r>
      <w:r w:rsidR="00F072E2">
        <w:rPr>
          <w:rFonts w:ascii="TimesNewRomanPSMT" w:hAnsi="TimesNewRomanPSMT" w:cs="TimesNewRomanPSMT"/>
          <w:sz w:val="24"/>
          <w:szCs w:val="24"/>
        </w:rPr>
        <w:t xml:space="preserve"> US90,000. </w:t>
      </w:r>
    </w:p>
    <w:p w14:paraId="498599C0" w14:textId="77777777" w:rsidR="006F4633" w:rsidRDefault="006F4633" w:rsidP="00111C78">
      <w:pPr>
        <w:autoSpaceDE w:val="0"/>
        <w:autoSpaceDN w:val="0"/>
        <w:adjustRightInd w:val="0"/>
        <w:spacing w:after="0" w:line="360" w:lineRule="auto"/>
        <w:jc w:val="both"/>
        <w:rPr>
          <w:rFonts w:ascii="TimesNewRomanPSMT" w:hAnsi="TimesNewRomanPSMT" w:cs="TimesNewRomanPSMT"/>
          <w:sz w:val="24"/>
          <w:szCs w:val="24"/>
        </w:rPr>
      </w:pPr>
    </w:p>
    <w:p w14:paraId="2B2EE596" w14:textId="400B2C24" w:rsidR="006F4633" w:rsidRDefault="006F4633" w:rsidP="00111C78">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[1</w:t>
      </w:r>
      <w:r w:rsidR="00216AE2">
        <w:rPr>
          <w:rFonts w:ascii="TimesNewRomanPSMT" w:hAnsi="TimesNewRomanPSMT" w:cs="TimesNewRomanPSMT"/>
          <w:sz w:val="24"/>
          <w:szCs w:val="24"/>
        </w:rPr>
        <w:t>1</w:t>
      </w:r>
      <w:r>
        <w:rPr>
          <w:rFonts w:ascii="TimesNewRomanPSMT" w:hAnsi="TimesNewRomanPSMT" w:cs="TimesNewRomanPSMT"/>
          <w:sz w:val="24"/>
          <w:szCs w:val="24"/>
        </w:rPr>
        <w:t xml:space="preserve">] Mr </w:t>
      </w:r>
      <w:r w:rsidRPr="0093767B">
        <w:rPr>
          <w:rFonts w:ascii="TimesNewRomanPSMT" w:hAnsi="TimesNewRomanPSMT" w:cs="TimesNewRomanPSMT"/>
          <w:i/>
          <w:iCs/>
          <w:sz w:val="24"/>
          <w:szCs w:val="24"/>
        </w:rPr>
        <w:t>Banda</w:t>
      </w:r>
      <w:r>
        <w:rPr>
          <w:rFonts w:ascii="TimesNewRomanPSMT" w:hAnsi="TimesNewRomanPSMT" w:cs="TimesNewRomanPSMT"/>
          <w:sz w:val="24"/>
          <w:szCs w:val="24"/>
        </w:rPr>
        <w:t xml:space="preserve"> (for the respondent) defended the court`s judgment. He drew attention to what he considered the </w:t>
      </w:r>
      <w:r w:rsidR="006F04C6">
        <w:rPr>
          <w:rFonts w:ascii="TimesNewRomanPSMT" w:hAnsi="TimesNewRomanPSMT" w:cs="TimesNewRomanPSMT"/>
          <w:sz w:val="24"/>
          <w:szCs w:val="24"/>
        </w:rPr>
        <w:t xml:space="preserve">court`s </w:t>
      </w:r>
      <w:r>
        <w:rPr>
          <w:rFonts w:ascii="TimesNewRomanPSMT" w:hAnsi="TimesNewRomanPSMT" w:cs="TimesNewRomanPSMT"/>
          <w:sz w:val="24"/>
          <w:szCs w:val="24"/>
        </w:rPr>
        <w:t>ratio decidendi</w:t>
      </w:r>
      <w:r w:rsidR="006F04C6">
        <w:rPr>
          <w:rFonts w:ascii="TimesNewRomanPSMT" w:hAnsi="TimesNewRomanPSMT" w:cs="TimesNewRomanPSMT"/>
          <w:sz w:val="24"/>
          <w:szCs w:val="24"/>
        </w:rPr>
        <w:t xml:space="preserve"> in paragraph 35 of HH 231-25 </w:t>
      </w:r>
      <w:r>
        <w:rPr>
          <w:rFonts w:ascii="TimesNewRomanPSMT" w:hAnsi="TimesNewRomanPSMT" w:cs="TimesNewRomanPSMT"/>
          <w:sz w:val="24"/>
          <w:szCs w:val="24"/>
        </w:rPr>
        <w:t xml:space="preserve">-namely that the </w:t>
      </w:r>
      <w:r>
        <w:rPr>
          <w:rFonts w:ascii="TimesNewRomanPSMT" w:hAnsi="TimesNewRomanPSMT" w:cs="TimesNewRomanPSMT"/>
          <w:sz w:val="24"/>
          <w:szCs w:val="24"/>
        </w:rPr>
        <w:lastRenderedPageBreak/>
        <w:t xml:space="preserve">applicants tendered insufficient evidence to support their special plea. In that respect, the envisaged appeal did not enjoy prospects of success given the reluctance of an appellate court </w:t>
      </w:r>
      <w:r w:rsidR="006F04C6">
        <w:rPr>
          <w:rFonts w:ascii="TimesNewRomanPSMT" w:hAnsi="TimesNewRomanPSMT" w:cs="TimesNewRomanPSMT"/>
          <w:sz w:val="24"/>
          <w:szCs w:val="24"/>
        </w:rPr>
        <w:t xml:space="preserve">(as stated in </w:t>
      </w:r>
      <w:r w:rsidR="006F04C6" w:rsidRPr="006F04C6">
        <w:rPr>
          <w:rFonts w:ascii="TimesNewRomanPSMT" w:hAnsi="TimesNewRomanPSMT" w:cs="TimesNewRomanPSMT"/>
          <w:i/>
          <w:iCs/>
          <w:sz w:val="24"/>
          <w:szCs w:val="24"/>
        </w:rPr>
        <w:t>Barros v Chimpondah</w:t>
      </w:r>
      <w:r w:rsidR="006F04C6">
        <w:rPr>
          <w:rFonts w:ascii="TimesNewRomanPSMT" w:hAnsi="TimesNewRomanPSMT" w:cs="TimesNewRomanPSMT"/>
          <w:sz w:val="24"/>
          <w:szCs w:val="24"/>
        </w:rPr>
        <w:t xml:space="preserve"> 1999 (1) ZLR 58 (S)), to</w:t>
      </w:r>
      <w:r>
        <w:rPr>
          <w:rFonts w:ascii="TimesNewRomanPSMT" w:hAnsi="TimesNewRomanPSMT" w:cs="TimesNewRomanPSMT"/>
          <w:sz w:val="24"/>
          <w:szCs w:val="24"/>
        </w:rPr>
        <w:t xml:space="preserve"> unduly interfere with the factual findings of a trial court.</w:t>
      </w:r>
    </w:p>
    <w:p w14:paraId="2A141838" w14:textId="77777777" w:rsidR="006F04C6" w:rsidRDefault="006F04C6" w:rsidP="00111C78">
      <w:pPr>
        <w:autoSpaceDE w:val="0"/>
        <w:autoSpaceDN w:val="0"/>
        <w:adjustRightInd w:val="0"/>
        <w:spacing w:after="0" w:line="360" w:lineRule="auto"/>
        <w:jc w:val="both"/>
        <w:rPr>
          <w:rFonts w:ascii="TimesNewRomanPSMT" w:hAnsi="TimesNewRomanPSMT" w:cs="TimesNewRomanPSMT"/>
          <w:sz w:val="24"/>
          <w:szCs w:val="24"/>
        </w:rPr>
      </w:pPr>
    </w:p>
    <w:p w14:paraId="4AA34337" w14:textId="77777777" w:rsidR="00CC5C27" w:rsidRDefault="006F04C6" w:rsidP="00111C78">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[1</w:t>
      </w:r>
      <w:r w:rsidR="00CC5C27">
        <w:rPr>
          <w:rFonts w:ascii="TimesNewRomanPSMT" w:hAnsi="TimesNewRomanPSMT" w:cs="TimesNewRomanPSMT"/>
          <w:sz w:val="24"/>
          <w:szCs w:val="24"/>
        </w:rPr>
        <w:t>2</w:t>
      </w:r>
      <w:r>
        <w:rPr>
          <w:rFonts w:ascii="TimesNewRomanPSMT" w:hAnsi="TimesNewRomanPSMT" w:cs="TimesNewRomanPSMT"/>
          <w:sz w:val="24"/>
          <w:szCs w:val="24"/>
        </w:rPr>
        <w:t xml:space="preserve">] Mr </w:t>
      </w:r>
      <w:r w:rsidRPr="0093767B">
        <w:rPr>
          <w:rFonts w:ascii="TimesNewRomanPSMT" w:hAnsi="TimesNewRomanPSMT" w:cs="TimesNewRomanPSMT"/>
          <w:i/>
          <w:iCs/>
          <w:sz w:val="24"/>
          <w:szCs w:val="24"/>
        </w:rPr>
        <w:t>Banda</w:t>
      </w:r>
      <w:r>
        <w:rPr>
          <w:rFonts w:ascii="TimesNewRomanPSMT" w:hAnsi="TimesNewRomanPSMT" w:cs="TimesNewRomanPSMT"/>
          <w:sz w:val="24"/>
          <w:szCs w:val="24"/>
        </w:rPr>
        <w:t xml:space="preserve"> </w:t>
      </w:r>
      <w:r w:rsidR="000641AD">
        <w:rPr>
          <w:rFonts w:ascii="TimesNewRomanPSMT" w:hAnsi="TimesNewRomanPSMT" w:cs="TimesNewRomanPSMT"/>
          <w:sz w:val="24"/>
          <w:szCs w:val="24"/>
        </w:rPr>
        <w:t>further supported the court`s findings that the obligation sounded exclusively in US dollars as consistent with the parties` contractual provisions. Counsel strongly</w:t>
      </w:r>
      <w:r>
        <w:rPr>
          <w:rFonts w:ascii="TimesNewRomanPSMT" w:hAnsi="TimesNewRomanPSMT" w:cs="TimesNewRomanPSMT"/>
          <w:sz w:val="24"/>
          <w:szCs w:val="24"/>
        </w:rPr>
        <w:t xml:space="preserve"> urged the court to consider the balance of convenience which favoured resolving the dispute on the merits. </w:t>
      </w:r>
    </w:p>
    <w:p w14:paraId="34928CB1" w14:textId="77777777" w:rsidR="00CC5C27" w:rsidRDefault="00CC5C27" w:rsidP="00111C78">
      <w:pPr>
        <w:autoSpaceDE w:val="0"/>
        <w:autoSpaceDN w:val="0"/>
        <w:adjustRightInd w:val="0"/>
        <w:spacing w:after="0" w:line="360" w:lineRule="auto"/>
        <w:jc w:val="both"/>
        <w:rPr>
          <w:rFonts w:ascii="TimesNewRomanPSMT" w:hAnsi="TimesNewRomanPSMT" w:cs="TimesNewRomanPSMT"/>
          <w:sz w:val="24"/>
          <w:szCs w:val="24"/>
        </w:rPr>
      </w:pPr>
    </w:p>
    <w:p w14:paraId="5D36E082" w14:textId="33A9FCEB" w:rsidR="006F04C6" w:rsidRDefault="00CC5C27" w:rsidP="00111C78">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 xml:space="preserve">[13] </w:t>
      </w:r>
      <w:r w:rsidR="006F04C6">
        <w:rPr>
          <w:rFonts w:ascii="TimesNewRomanPSMT" w:hAnsi="TimesNewRomanPSMT" w:cs="TimesNewRomanPSMT"/>
          <w:sz w:val="24"/>
          <w:szCs w:val="24"/>
        </w:rPr>
        <w:t xml:space="preserve">The appeal was the typical recalcitrant debtor`s ploy to evade responsibility, counsel contended. He </w:t>
      </w:r>
      <w:r w:rsidR="000641AD">
        <w:rPr>
          <w:rFonts w:ascii="TimesNewRomanPSMT" w:hAnsi="TimesNewRomanPSMT" w:cs="TimesNewRomanPSMT"/>
          <w:sz w:val="24"/>
          <w:szCs w:val="24"/>
        </w:rPr>
        <w:t xml:space="preserve">sustained this argument in his prayer for an order of punitive costs against the applicants. Before returning to these arguments, I will set out the principles governing applications for leave to appeal. </w:t>
      </w:r>
    </w:p>
    <w:p w14:paraId="44E7E75A" w14:textId="77777777" w:rsidR="00E71FD3" w:rsidRDefault="00E71FD3" w:rsidP="00111C78">
      <w:pPr>
        <w:autoSpaceDE w:val="0"/>
        <w:autoSpaceDN w:val="0"/>
        <w:adjustRightInd w:val="0"/>
        <w:spacing w:after="0" w:line="360" w:lineRule="auto"/>
        <w:jc w:val="both"/>
        <w:rPr>
          <w:rFonts w:ascii="Times New Roman" w:eastAsia="Calibri" w:hAnsi="Times New Roman" w:cs="Times New Roman"/>
          <w:sz w:val="24"/>
          <w:szCs w:val="24"/>
          <w14:ligatures w14:val="standardContextual"/>
        </w:rPr>
      </w:pPr>
    </w:p>
    <w:p w14:paraId="244119D9" w14:textId="77777777" w:rsidR="00F072E2" w:rsidRPr="006A1FFC" w:rsidRDefault="00F072E2" w:rsidP="00F072E2">
      <w:pPr>
        <w:spacing w:line="360" w:lineRule="auto"/>
        <w:jc w:val="both"/>
        <w:rPr>
          <w:rFonts w:ascii="Times New Roman" w:hAnsi="Times New Roman" w:cs="Times New Roman"/>
        </w:rPr>
      </w:pPr>
      <w:r w:rsidRPr="006A1FFC">
        <w:rPr>
          <w:rFonts w:ascii="Times New Roman" w:hAnsi="Times New Roman" w:cs="Times New Roman"/>
        </w:rPr>
        <w:t>THE PRINCIPLES GOVERNING APPLICATIONS FOR LEAVE TO APPEAL</w:t>
      </w:r>
    </w:p>
    <w:p w14:paraId="234C1236" w14:textId="1B11ABAF" w:rsidR="00ED13F0" w:rsidRDefault="007A4801" w:rsidP="00FD0CBF">
      <w:pPr>
        <w:spacing w:line="360" w:lineRule="auto"/>
        <w:jc w:val="both"/>
        <w:rPr>
          <w:rFonts w:ascii="Times New Roman" w:eastAsia="Calibri" w:hAnsi="Times New Roman" w:cs="Times New Roman"/>
          <w:sz w:val="24"/>
          <w:szCs w:val="24"/>
          <w14:ligatures w14:val="standardContextual"/>
        </w:rPr>
      </w:pPr>
      <w:r w:rsidRPr="006A1FFC">
        <w:rPr>
          <w:rFonts w:ascii="Times New Roman" w:eastAsia="Calibri" w:hAnsi="Times New Roman" w:cs="Times New Roman"/>
          <w:sz w:val="24"/>
          <w:szCs w:val="24"/>
          <w14:ligatures w14:val="standardContextual"/>
        </w:rPr>
        <w:t>[</w:t>
      </w:r>
      <w:r w:rsidR="00F03536" w:rsidRPr="006A1FFC">
        <w:rPr>
          <w:rFonts w:ascii="Times New Roman" w:eastAsia="Calibri" w:hAnsi="Times New Roman" w:cs="Times New Roman"/>
          <w:sz w:val="24"/>
          <w:szCs w:val="24"/>
          <w14:ligatures w14:val="standardContextual"/>
        </w:rPr>
        <w:t>1</w:t>
      </w:r>
      <w:r w:rsidR="000641AD">
        <w:rPr>
          <w:rFonts w:ascii="Times New Roman" w:eastAsia="Calibri" w:hAnsi="Times New Roman" w:cs="Times New Roman"/>
          <w:sz w:val="24"/>
          <w:szCs w:val="24"/>
          <w14:ligatures w14:val="standardContextual"/>
        </w:rPr>
        <w:t>4</w:t>
      </w:r>
      <w:r w:rsidRPr="006A1FFC">
        <w:rPr>
          <w:rFonts w:ascii="Times New Roman" w:eastAsia="Calibri" w:hAnsi="Times New Roman" w:cs="Times New Roman"/>
          <w:sz w:val="24"/>
          <w:szCs w:val="24"/>
          <w14:ligatures w14:val="standardContextual"/>
        </w:rPr>
        <w:t xml:space="preserve">] </w:t>
      </w:r>
      <w:r w:rsidR="0038555E">
        <w:rPr>
          <w:rFonts w:ascii="Times New Roman" w:eastAsia="Calibri" w:hAnsi="Times New Roman" w:cs="Times New Roman"/>
          <w:sz w:val="24"/>
          <w:szCs w:val="24"/>
          <w14:ligatures w14:val="standardContextual"/>
        </w:rPr>
        <w:t xml:space="preserve">It is necessary to commence an examination of the applicable legal principles with a recognition of two key considerations set out in s 43 of the High Court Act. </w:t>
      </w:r>
      <w:r w:rsidR="00ED13F0">
        <w:rPr>
          <w:rFonts w:ascii="Times New Roman" w:eastAsia="Calibri" w:hAnsi="Times New Roman" w:cs="Times New Roman"/>
          <w:sz w:val="24"/>
          <w:szCs w:val="24"/>
          <w14:ligatures w14:val="standardContextual"/>
        </w:rPr>
        <w:t>Before doing so, I set hereunder, the said provision which states that; -</w:t>
      </w:r>
    </w:p>
    <w:p w14:paraId="2F15A3F1" w14:textId="77777777" w:rsidR="00ED13F0" w:rsidRPr="00ED13F0" w:rsidRDefault="00ED13F0" w:rsidP="00836EE1">
      <w:pPr>
        <w:autoSpaceDE w:val="0"/>
        <w:autoSpaceDN w:val="0"/>
        <w:adjustRightInd w:val="0"/>
        <w:spacing w:after="0" w:line="360" w:lineRule="auto"/>
        <w:ind w:left="851"/>
        <w:jc w:val="both"/>
        <w:rPr>
          <w:rFonts w:ascii="Times New Roman" w:hAnsi="Times New Roman" w:cs="Times New Roman"/>
          <w:b/>
          <w:bCs/>
          <w:color w:val="231F20"/>
          <w:sz w:val="20"/>
          <w:szCs w:val="20"/>
        </w:rPr>
      </w:pPr>
      <w:r w:rsidRPr="00ED13F0">
        <w:rPr>
          <w:rFonts w:ascii="Times New Roman" w:hAnsi="Times New Roman" w:cs="Times New Roman"/>
          <w:b/>
          <w:bCs/>
          <w:color w:val="231F20"/>
          <w:sz w:val="20"/>
          <w:szCs w:val="20"/>
        </w:rPr>
        <w:t>43 Right of appeal from High Court in civil cases</w:t>
      </w:r>
    </w:p>
    <w:p w14:paraId="6C3F2B64" w14:textId="77777777" w:rsidR="00ED13F0" w:rsidRDefault="00ED13F0" w:rsidP="00836EE1">
      <w:pPr>
        <w:autoSpaceDE w:val="0"/>
        <w:autoSpaceDN w:val="0"/>
        <w:adjustRightInd w:val="0"/>
        <w:spacing w:after="0" w:line="360" w:lineRule="auto"/>
        <w:ind w:left="851"/>
        <w:jc w:val="both"/>
        <w:rPr>
          <w:rFonts w:ascii="Times New Roman" w:hAnsi="Times New Roman" w:cs="Times New Roman"/>
          <w:color w:val="231F20"/>
          <w:sz w:val="21"/>
          <w:szCs w:val="21"/>
        </w:rPr>
      </w:pPr>
      <w:r>
        <w:rPr>
          <w:rFonts w:ascii="Times New Roman" w:hAnsi="Times New Roman" w:cs="Times New Roman"/>
          <w:color w:val="231F20"/>
          <w:sz w:val="21"/>
          <w:szCs w:val="21"/>
        </w:rPr>
        <w:t>(1) Subject to this section, an appeal in any civil case shall lie to the Supreme Court from any</w:t>
      </w:r>
    </w:p>
    <w:p w14:paraId="4E70892C" w14:textId="77777777" w:rsidR="00ED13F0" w:rsidRDefault="00ED13F0" w:rsidP="00836EE1">
      <w:pPr>
        <w:autoSpaceDE w:val="0"/>
        <w:autoSpaceDN w:val="0"/>
        <w:adjustRightInd w:val="0"/>
        <w:spacing w:after="0" w:line="360" w:lineRule="auto"/>
        <w:ind w:left="851"/>
        <w:jc w:val="both"/>
        <w:rPr>
          <w:rFonts w:ascii="Times New Roman" w:hAnsi="Times New Roman" w:cs="Times New Roman"/>
          <w:color w:val="231F20"/>
          <w:sz w:val="21"/>
          <w:szCs w:val="21"/>
        </w:rPr>
      </w:pPr>
      <w:r>
        <w:rPr>
          <w:rFonts w:ascii="Times New Roman" w:hAnsi="Times New Roman" w:cs="Times New Roman"/>
          <w:color w:val="231F20"/>
          <w:sz w:val="21"/>
          <w:szCs w:val="21"/>
        </w:rPr>
        <w:t>judgment of the High Court, whether in the exercise of its original or its appellate jurisdiction.</w:t>
      </w:r>
    </w:p>
    <w:p w14:paraId="4E4B41EA" w14:textId="77777777" w:rsidR="00ED13F0" w:rsidRDefault="00ED13F0" w:rsidP="00836EE1">
      <w:pPr>
        <w:autoSpaceDE w:val="0"/>
        <w:autoSpaceDN w:val="0"/>
        <w:adjustRightInd w:val="0"/>
        <w:spacing w:after="0" w:line="360" w:lineRule="auto"/>
        <w:ind w:left="851"/>
        <w:jc w:val="both"/>
        <w:rPr>
          <w:rFonts w:ascii="Times New Roman" w:hAnsi="Times New Roman" w:cs="Times New Roman"/>
          <w:color w:val="231F20"/>
          <w:sz w:val="21"/>
          <w:szCs w:val="21"/>
        </w:rPr>
      </w:pPr>
      <w:r>
        <w:rPr>
          <w:rFonts w:ascii="Times New Roman" w:hAnsi="Times New Roman" w:cs="Times New Roman"/>
          <w:color w:val="231F20"/>
          <w:sz w:val="21"/>
          <w:szCs w:val="21"/>
        </w:rPr>
        <w:t>(2) No appeal shall lie—</w:t>
      </w:r>
    </w:p>
    <w:p w14:paraId="382C7B2F" w14:textId="77777777" w:rsidR="00ED13F0" w:rsidRDefault="00ED13F0" w:rsidP="00836EE1">
      <w:pPr>
        <w:autoSpaceDE w:val="0"/>
        <w:autoSpaceDN w:val="0"/>
        <w:adjustRightInd w:val="0"/>
        <w:spacing w:after="0" w:line="360" w:lineRule="auto"/>
        <w:ind w:left="851"/>
        <w:jc w:val="both"/>
        <w:rPr>
          <w:rFonts w:ascii="Times New Roman" w:hAnsi="Times New Roman" w:cs="Times New Roman"/>
          <w:color w:val="231F20"/>
          <w:sz w:val="21"/>
          <w:szCs w:val="21"/>
        </w:rPr>
      </w:pPr>
      <w:r>
        <w:rPr>
          <w:rFonts w:ascii="Times New Roman" w:hAnsi="Times New Roman" w:cs="Times New Roman"/>
          <w:color w:val="231F20"/>
          <w:sz w:val="21"/>
          <w:szCs w:val="21"/>
        </w:rPr>
        <w:t>(</w:t>
      </w:r>
      <w:r>
        <w:rPr>
          <w:rFonts w:ascii="Times New Roman" w:hAnsi="Times New Roman" w:cs="Times New Roman"/>
          <w:i/>
          <w:iCs/>
          <w:color w:val="231F20"/>
          <w:sz w:val="21"/>
          <w:szCs w:val="21"/>
        </w:rPr>
        <w:t>a</w:t>
      </w:r>
      <w:r>
        <w:rPr>
          <w:rFonts w:ascii="Times New Roman" w:hAnsi="Times New Roman" w:cs="Times New Roman"/>
          <w:color w:val="231F20"/>
          <w:sz w:val="21"/>
          <w:szCs w:val="21"/>
        </w:rPr>
        <w:t>) from an order allowing an extension of time for appealing from a judgment;</w:t>
      </w:r>
    </w:p>
    <w:p w14:paraId="1D7E975D" w14:textId="77777777" w:rsidR="00ED13F0" w:rsidRDefault="00ED13F0" w:rsidP="00836EE1">
      <w:pPr>
        <w:autoSpaceDE w:val="0"/>
        <w:autoSpaceDN w:val="0"/>
        <w:adjustRightInd w:val="0"/>
        <w:spacing w:after="0" w:line="360" w:lineRule="auto"/>
        <w:ind w:left="851"/>
        <w:jc w:val="both"/>
        <w:rPr>
          <w:rFonts w:ascii="Times New Roman" w:hAnsi="Times New Roman" w:cs="Times New Roman"/>
          <w:color w:val="231F20"/>
          <w:sz w:val="21"/>
          <w:szCs w:val="21"/>
        </w:rPr>
      </w:pPr>
      <w:r>
        <w:rPr>
          <w:rFonts w:ascii="Times New Roman" w:hAnsi="Times New Roman" w:cs="Times New Roman"/>
          <w:color w:val="231F20"/>
          <w:sz w:val="21"/>
          <w:szCs w:val="21"/>
        </w:rPr>
        <w:t>(</w:t>
      </w:r>
      <w:r>
        <w:rPr>
          <w:rFonts w:ascii="Times New Roman" w:hAnsi="Times New Roman" w:cs="Times New Roman"/>
          <w:i/>
          <w:iCs/>
          <w:color w:val="231F20"/>
          <w:sz w:val="21"/>
          <w:szCs w:val="21"/>
        </w:rPr>
        <w:t>b</w:t>
      </w:r>
      <w:r>
        <w:rPr>
          <w:rFonts w:ascii="Times New Roman" w:hAnsi="Times New Roman" w:cs="Times New Roman"/>
          <w:color w:val="231F20"/>
          <w:sz w:val="21"/>
          <w:szCs w:val="21"/>
        </w:rPr>
        <w:t>) from an order of a judge of the High Court in which he refuses an application for summary</w:t>
      </w:r>
    </w:p>
    <w:p w14:paraId="1C8183BC" w14:textId="77777777" w:rsidR="00ED13F0" w:rsidRDefault="00ED13F0" w:rsidP="00836EE1">
      <w:pPr>
        <w:autoSpaceDE w:val="0"/>
        <w:autoSpaceDN w:val="0"/>
        <w:adjustRightInd w:val="0"/>
        <w:spacing w:after="0" w:line="360" w:lineRule="auto"/>
        <w:ind w:left="851"/>
        <w:jc w:val="both"/>
        <w:rPr>
          <w:rFonts w:ascii="Times New Roman" w:hAnsi="Times New Roman" w:cs="Times New Roman"/>
          <w:color w:val="231F20"/>
          <w:sz w:val="21"/>
          <w:szCs w:val="21"/>
        </w:rPr>
      </w:pPr>
      <w:r>
        <w:rPr>
          <w:rFonts w:ascii="Times New Roman" w:hAnsi="Times New Roman" w:cs="Times New Roman"/>
          <w:color w:val="231F20"/>
          <w:sz w:val="21"/>
          <w:szCs w:val="21"/>
        </w:rPr>
        <w:t>judgment and gives unconditional leave to defend an action;</w:t>
      </w:r>
    </w:p>
    <w:p w14:paraId="2FA77892" w14:textId="77777777" w:rsidR="00ED13F0" w:rsidRDefault="00ED13F0" w:rsidP="00836EE1">
      <w:pPr>
        <w:autoSpaceDE w:val="0"/>
        <w:autoSpaceDN w:val="0"/>
        <w:adjustRightInd w:val="0"/>
        <w:spacing w:after="0" w:line="360" w:lineRule="auto"/>
        <w:ind w:left="851"/>
        <w:jc w:val="both"/>
        <w:rPr>
          <w:rFonts w:ascii="Times New Roman" w:hAnsi="Times New Roman" w:cs="Times New Roman"/>
          <w:color w:val="231F20"/>
          <w:sz w:val="21"/>
          <w:szCs w:val="21"/>
        </w:rPr>
      </w:pPr>
      <w:r>
        <w:rPr>
          <w:rFonts w:ascii="Times New Roman" w:hAnsi="Times New Roman" w:cs="Times New Roman"/>
          <w:color w:val="231F20"/>
          <w:sz w:val="21"/>
          <w:szCs w:val="21"/>
        </w:rPr>
        <w:t>(</w:t>
      </w:r>
      <w:r>
        <w:rPr>
          <w:rFonts w:ascii="Times New Roman" w:hAnsi="Times New Roman" w:cs="Times New Roman"/>
          <w:i/>
          <w:iCs/>
          <w:color w:val="231F20"/>
          <w:sz w:val="21"/>
          <w:szCs w:val="21"/>
        </w:rPr>
        <w:t>c</w:t>
      </w:r>
      <w:r>
        <w:rPr>
          <w:rFonts w:ascii="Times New Roman" w:hAnsi="Times New Roman" w:cs="Times New Roman"/>
          <w:color w:val="231F20"/>
          <w:sz w:val="21"/>
          <w:szCs w:val="21"/>
        </w:rPr>
        <w:t>) from—</w:t>
      </w:r>
    </w:p>
    <w:p w14:paraId="46C9587F" w14:textId="77777777" w:rsidR="00ED13F0" w:rsidRDefault="00ED13F0" w:rsidP="00836EE1">
      <w:pPr>
        <w:autoSpaceDE w:val="0"/>
        <w:autoSpaceDN w:val="0"/>
        <w:adjustRightInd w:val="0"/>
        <w:spacing w:after="0" w:line="360" w:lineRule="auto"/>
        <w:ind w:left="851"/>
        <w:jc w:val="both"/>
        <w:rPr>
          <w:rFonts w:ascii="Times New Roman" w:hAnsi="Times New Roman" w:cs="Times New Roman"/>
          <w:color w:val="231F20"/>
          <w:sz w:val="21"/>
          <w:szCs w:val="21"/>
        </w:rPr>
      </w:pPr>
      <w:r>
        <w:rPr>
          <w:rFonts w:ascii="Times New Roman" w:hAnsi="Times New Roman" w:cs="Times New Roman"/>
          <w:color w:val="231F20"/>
          <w:sz w:val="21"/>
          <w:szCs w:val="21"/>
        </w:rPr>
        <w:t>(i) an order of the High Court or any judge thereof made with the consent of the parties; or</w:t>
      </w:r>
    </w:p>
    <w:p w14:paraId="3554E9B6" w14:textId="77777777" w:rsidR="00ED13F0" w:rsidRDefault="00ED13F0" w:rsidP="00836EE1">
      <w:pPr>
        <w:autoSpaceDE w:val="0"/>
        <w:autoSpaceDN w:val="0"/>
        <w:adjustRightInd w:val="0"/>
        <w:spacing w:after="0" w:line="360" w:lineRule="auto"/>
        <w:ind w:left="851"/>
        <w:jc w:val="both"/>
        <w:rPr>
          <w:rFonts w:ascii="Times New Roman" w:hAnsi="Times New Roman" w:cs="Times New Roman"/>
          <w:color w:val="231F20"/>
          <w:sz w:val="21"/>
          <w:szCs w:val="21"/>
        </w:rPr>
      </w:pPr>
      <w:r>
        <w:rPr>
          <w:rFonts w:ascii="Times New Roman" w:hAnsi="Times New Roman" w:cs="Times New Roman"/>
          <w:color w:val="231F20"/>
          <w:sz w:val="21"/>
          <w:szCs w:val="21"/>
        </w:rPr>
        <w:t>(ii) an order as to costs only which by law is left to the discretion of the court, without the</w:t>
      </w:r>
    </w:p>
    <w:p w14:paraId="1596C256" w14:textId="77777777" w:rsidR="00ED13F0" w:rsidRDefault="00ED13F0" w:rsidP="00836EE1">
      <w:pPr>
        <w:autoSpaceDE w:val="0"/>
        <w:autoSpaceDN w:val="0"/>
        <w:adjustRightInd w:val="0"/>
        <w:spacing w:after="0" w:line="360" w:lineRule="auto"/>
        <w:ind w:left="851"/>
        <w:jc w:val="both"/>
        <w:rPr>
          <w:rFonts w:ascii="Times New Roman" w:hAnsi="Times New Roman" w:cs="Times New Roman"/>
          <w:color w:val="231F20"/>
          <w:sz w:val="21"/>
          <w:szCs w:val="21"/>
        </w:rPr>
      </w:pPr>
      <w:r>
        <w:rPr>
          <w:rFonts w:ascii="Times New Roman" w:hAnsi="Times New Roman" w:cs="Times New Roman"/>
          <w:color w:val="231F20"/>
          <w:sz w:val="21"/>
          <w:szCs w:val="21"/>
        </w:rPr>
        <w:t>leave of the High Court or of the judge who made the order or, if that has been refused,</w:t>
      </w:r>
    </w:p>
    <w:p w14:paraId="53AA2134" w14:textId="77777777" w:rsidR="00ED13F0" w:rsidRDefault="00ED13F0" w:rsidP="00836EE1">
      <w:pPr>
        <w:autoSpaceDE w:val="0"/>
        <w:autoSpaceDN w:val="0"/>
        <w:adjustRightInd w:val="0"/>
        <w:spacing w:after="0" w:line="360" w:lineRule="auto"/>
        <w:ind w:left="851"/>
        <w:jc w:val="both"/>
        <w:rPr>
          <w:rFonts w:ascii="Times New Roman" w:hAnsi="Times New Roman" w:cs="Times New Roman"/>
          <w:color w:val="231F20"/>
          <w:sz w:val="21"/>
          <w:szCs w:val="21"/>
        </w:rPr>
      </w:pPr>
      <w:r>
        <w:rPr>
          <w:rFonts w:ascii="Times New Roman" w:hAnsi="Times New Roman" w:cs="Times New Roman"/>
          <w:color w:val="231F20"/>
          <w:sz w:val="21"/>
          <w:szCs w:val="21"/>
        </w:rPr>
        <w:t>without the leave of a judge of the Supreme Court;</w:t>
      </w:r>
    </w:p>
    <w:p w14:paraId="40C89810" w14:textId="77777777" w:rsidR="00ED13F0" w:rsidRDefault="00ED13F0" w:rsidP="00836EE1">
      <w:pPr>
        <w:autoSpaceDE w:val="0"/>
        <w:autoSpaceDN w:val="0"/>
        <w:adjustRightInd w:val="0"/>
        <w:spacing w:after="0" w:line="360" w:lineRule="auto"/>
        <w:ind w:left="851"/>
        <w:jc w:val="both"/>
        <w:rPr>
          <w:rFonts w:ascii="Times New Roman" w:hAnsi="Times New Roman" w:cs="Times New Roman"/>
          <w:color w:val="231F20"/>
          <w:sz w:val="21"/>
          <w:szCs w:val="21"/>
        </w:rPr>
      </w:pPr>
      <w:r>
        <w:rPr>
          <w:rFonts w:ascii="Times New Roman" w:hAnsi="Times New Roman" w:cs="Times New Roman"/>
          <w:color w:val="231F20"/>
          <w:sz w:val="21"/>
          <w:szCs w:val="21"/>
        </w:rPr>
        <w:t>(</w:t>
      </w:r>
      <w:r>
        <w:rPr>
          <w:rFonts w:ascii="Times New Roman" w:hAnsi="Times New Roman" w:cs="Times New Roman"/>
          <w:i/>
          <w:iCs/>
          <w:color w:val="231F20"/>
          <w:sz w:val="21"/>
          <w:szCs w:val="21"/>
        </w:rPr>
        <w:t>d</w:t>
      </w:r>
      <w:r>
        <w:rPr>
          <w:rFonts w:ascii="Times New Roman" w:hAnsi="Times New Roman" w:cs="Times New Roman"/>
          <w:color w:val="231F20"/>
          <w:sz w:val="21"/>
          <w:szCs w:val="21"/>
        </w:rPr>
        <w:t>) from an interlocutory order or interlocutory judgment made or given by a judge of the High</w:t>
      </w:r>
    </w:p>
    <w:p w14:paraId="12CC3BCE" w14:textId="471D5248" w:rsidR="00ED13F0" w:rsidRDefault="00ED13F0" w:rsidP="00836EE1">
      <w:pPr>
        <w:autoSpaceDE w:val="0"/>
        <w:autoSpaceDN w:val="0"/>
        <w:adjustRightInd w:val="0"/>
        <w:spacing w:after="0" w:line="360" w:lineRule="auto"/>
        <w:ind w:left="851"/>
        <w:jc w:val="both"/>
        <w:rPr>
          <w:rFonts w:ascii="Times New Roman" w:hAnsi="Times New Roman" w:cs="Times New Roman"/>
          <w:color w:val="231F20"/>
          <w:sz w:val="21"/>
          <w:szCs w:val="21"/>
        </w:rPr>
      </w:pPr>
      <w:r>
        <w:rPr>
          <w:rFonts w:ascii="Times New Roman" w:hAnsi="Times New Roman" w:cs="Times New Roman"/>
          <w:color w:val="231F20"/>
          <w:sz w:val="21"/>
          <w:szCs w:val="21"/>
        </w:rPr>
        <w:lastRenderedPageBreak/>
        <w:t>Court, without the leave of that judge or, if that has been refused, without the leave of a judge of the Supreme Court, except in the following cases—</w:t>
      </w:r>
    </w:p>
    <w:p w14:paraId="401F1219" w14:textId="77777777" w:rsidR="00ED13F0" w:rsidRDefault="00ED13F0" w:rsidP="00836EE1">
      <w:pPr>
        <w:autoSpaceDE w:val="0"/>
        <w:autoSpaceDN w:val="0"/>
        <w:adjustRightInd w:val="0"/>
        <w:spacing w:after="0" w:line="360" w:lineRule="auto"/>
        <w:ind w:left="851"/>
        <w:jc w:val="both"/>
        <w:rPr>
          <w:rFonts w:ascii="Times New Roman" w:hAnsi="Times New Roman" w:cs="Times New Roman"/>
          <w:color w:val="231F20"/>
          <w:sz w:val="21"/>
          <w:szCs w:val="21"/>
        </w:rPr>
      </w:pPr>
      <w:r>
        <w:rPr>
          <w:rFonts w:ascii="Times New Roman" w:hAnsi="Times New Roman" w:cs="Times New Roman"/>
          <w:color w:val="231F20"/>
          <w:sz w:val="21"/>
          <w:szCs w:val="21"/>
        </w:rPr>
        <w:t>(i) where the liberty of the subject or the custody of minors is concerned;</w:t>
      </w:r>
    </w:p>
    <w:p w14:paraId="03060EC5" w14:textId="77777777" w:rsidR="00ED13F0" w:rsidRDefault="00ED13F0" w:rsidP="00836EE1">
      <w:pPr>
        <w:autoSpaceDE w:val="0"/>
        <w:autoSpaceDN w:val="0"/>
        <w:adjustRightInd w:val="0"/>
        <w:spacing w:after="0" w:line="360" w:lineRule="auto"/>
        <w:ind w:left="851"/>
        <w:jc w:val="both"/>
        <w:rPr>
          <w:rFonts w:ascii="Times New Roman" w:hAnsi="Times New Roman" w:cs="Times New Roman"/>
          <w:color w:val="231F20"/>
          <w:sz w:val="21"/>
          <w:szCs w:val="21"/>
        </w:rPr>
      </w:pPr>
      <w:r>
        <w:rPr>
          <w:rFonts w:ascii="Times New Roman" w:hAnsi="Times New Roman" w:cs="Times New Roman"/>
          <w:color w:val="231F20"/>
          <w:sz w:val="21"/>
          <w:szCs w:val="21"/>
        </w:rPr>
        <w:t>(ii) where an interdict is granted or refused;</w:t>
      </w:r>
    </w:p>
    <w:p w14:paraId="25CCE2A3" w14:textId="6B27AE3E" w:rsidR="00ED13F0" w:rsidRDefault="00ED13F0" w:rsidP="00836EE1">
      <w:pPr>
        <w:spacing w:line="360" w:lineRule="auto"/>
        <w:ind w:left="851"/>
        <w:jc w:val="both"/>
        <w:rPr>
          <w:rFonts w:ascii="Times New Roman" w:eastAsia="Calibri" w:hAnsi="Times New Roman" w:cs="Times New Roman"/>
          <w:sz w:val="24"/>
          <w:szCs w:val="24"/>
          <w14:ligatures w14:val="standardContextual"/>
        </w:rPr>
      </w:pPr>
      <w:r>
        <w:rPr>
          <w:rFonts w:ascii="Times New Roman" w:hAnsi="Times New Roman" w:cs="Times New Roman"/>
          <w:color w:val="231F20"/>
          <w:sz w:val="21"/>
          <w:szCs w:val="21"/>
        </w:rPr>
        <w:t>(iii) in the case of an order on a special case stated under any law relating to arbitration</w:t>
      </w:r>
      <w:r w:rsidR="00836EE1">
        <w:rPr>
          <w:rFonts w:ascii="Times New Roman" w:hAnsi="Times New Roman" w:cs="Times New Roman"/>
          <w:color w:val="231F20"/>
          <w:sz w:val="21"/>
          <w:szCs w:val="21"/>
        </w:rPr>
        <w:t>.</w:t>
      </w:r>
    </w:p>
    <w:p w14:paraId="1D143F09" w14:textId="5BDFBBFA" w:rsidR="00ED13F0" w:rsidRDefault="00ED13F0" w:rsidP="009A432F">
      <w:pPr>
        <w:spacing w:after="0" w:line="360" w:lineRule="auto"/>
        <w:jc w:val="both"/>
        <w:rPr>
          <w:rFonts w:ascii="Times New Roman" w:eastAsia="Calibri" w:hAnsi="Times New Roman" w:cs="Times New Roman"/>
          <w:sz w:val="24"/>
          <w:szCs w:val="24"/>
          <w14:ligatures w14:val="standardContextual"/>
        </w:rPr>
      </w:pPr>
      <w:r>
        <w:rPr>
          <w:rFonts w:ascii="Times New Roman" w:eastAsia="Calibri" w:hAnsi="Times New Roman" w:cs="Times New Roman"/>
          <w:sz w:val="24"/>
          <w:szCs w:val="24"/>
          <w14:ligatures w14:val="standardContextual"/>
        </w:rPr>
        <w:t>[1</w:t>
      </w:r>
      <w:r w:rsidR="000641AD">
        <w:rPr>
          <w:rFonts w:ascii="Times New Roman" w:eastAsia="Calibri" w:hAnsi="Times New Roman" w:cs="Times New Roman"/>
          <w:sz w:val="24"/>
          <w:szCs w:val="24"/>
          <w14:ligatures w14:val="standardContextual"/>
        </w:rPr>
        <w:t>5</w:t>
      </w:r>
      <w:r>
        <w:rPr>
          <w:rFonts w:ascii="Times New Roman" w:eastAsia="Calibri" w:hAnsi="Times New Roman" w:cs="Times New Roman"/>
          <w:sz w:val="24"/>
          <w:szCs w:val="24"/>
          <w14:ligatures w14:val="standardContextual"/>
        </w:rPr>
        <w:t xml:space="preserve">] Section 43 has been variously interpreted. In all instances, s 43 (1) stipulates the right of appeal, a </w:t>
      </w:r>
      <w:r w:rsidR="0038555E">
        <w:rPr>
          <w:rFonts w:ascii="Times New Roman" w:eastAsia="Calibri" w:hAnsi="Times New Roman" w:cs="Times New Roman"/>
          <w:sz w:val="24"/>
          <w:szCs w:val="24"/>
          <w14:ligatures w14:val="standardContextual"/>
        </w:rPr>
        <w:t>sacrosanct principle of our law</w:t>
      </w:r>
      <w:r>
        <w:rPr>
          <w:rFonts w:ascii="Times New Roman" w:eastAsia="Calibri" w:hAnsi="Times New Roman" w:cs="Times New Roman"/>
          <w:sz w:val="24"/>
          <w:szCs w:val="24"/>
          <w14:ligatures w14:val="standardContextual"/>
        </w:rPr>
        <w:t xml:space="preserve"> which was articulated as follows by the Supreme Court per </w:t>
      </w:r>
      <w:r w:rsidRPr="009A432F">
        <w:rPr>
          <w:rFonts w:ascii="Times New Roman" w:eastAsia="Calibri" w:hAnsi="Times New Roman" w:cs="Times New Roman"/>
          <w14:ligatures w14:val="standardContextual"/>
        </w:rPr>
        <w:t>MALABA DCJ</w:t>
      </w:r>
      <w:r>
        <w:rPr>
          <w:rFonts w:ascii="Times New Roman" w:eastAsia="Calibri" w:hAnsi="Times New Roman" w:cs="Times New Roman"/>
          <w:sz w:val="24"/>
          <w:szCs w:val="24"/>
          <w14:ligatures w14:val="standardContextual"/>
        </w:rPr>
        <w:t xml:space="preserve"> (as he then was) in </w:t>
      </w:r>
      <w:r w:rsidRPr="009A432F">
        <w:rPr>
          <w:rFonts w:ascii="Times New Roman" w:eastAsia="Calibri" w:hAnsi="Times New Roman" w:cs="Times New Roman"/>
          <w:i/>
          <w:iCs/>
          <w14:ligatures w14:val="standardContextual"/>
        </w:rPr>
        <w:t>CFI</w:t>
      </w:r>
      <w:r w:rsidRPr="009A432F">
        <w:rPr>
          <w:rFonts w:ascii="Times New Roman" w:eastAsia="Calibri" w:hAnsi="Times New Roman" w:cs="Times New Roman"/>
          <w:i/>
          <w:iCs/>
          <w:sz w:val="24"/>
          <w:szCs w:val="24"/>
          <w14:ligatures w14:val="standardContextual"/>
        </w:rPr>
        <w:t xml:space="preserve"> Retail (Pvt) Ltd v Eric Masese Nyika</w:t>
      </w:r>
      <w:r>
        <w:rPr>
          <w:rFonts w:ascii="Times New Roman" w:eastAsia="Calibri" w:hAnsi="Times New Roman" w:cs="Times New Roman"/>
          <w:sz w:val="24"/>
          <w:szCs w:val="24"/>
          <w14:ligatures w14:val="standardContextual"/>
        </w:rPr>
        <w:t xml:space="preserve"> SC </w:t>
      </w:r>
      <w:r w:rsidR="0038555E">
        <w:rPr>
          <w:rFonts w:ascii="Times New Roman" w:eastAsia="Calibri" w:hAnsi="Times New Roman" w:cs="Times New Roman"/>
          <w:sz w:val="24"/>
          <w:szCs w:val="24"/>
          <w14:ligatures w14:val="standardContextual"/>
        </w:rPr>
        <w:t xml:space="preserve"> </w:t>
      </w:r>
      <w:r>
        <w:rPr>
          <w:rFonts w:ascii="Times New Roman" w:eastAsia="Calibri" w:hAnsi="Times New Roman" w:cs="Times New Roman"/>
          <w:sz w:val="24"/>
          <w:szCs w:val="24"/>
          <w14:ligatures w14:val="standardContextual"/>
        </w:rPr>
        <w:t>8-16 at page 6; -</w:t>
      </w:r>
    </w:p>
    <w:p w14:paraId="602DB847" w14:textId="77777777" w:rsidR="00ED13F0" w:rsidRDefault="00ED13F0" w:rsidP="009A432F">
      <w:pPr>
        <w:spacing w:after="0" w:line="360" w:lineRule="auto"/>
        <w:jc w:val="both"/>
        <w:rPr>
          <w:rFonts w:ascii="Times New Roman" w:eastAsia="Calibri" w:hAnsi="Times New Roman" w:cs="Times New Roman"/>
          <w:sz w:val="24"/>
          <w:szCs w:val="24"/>
          <w14:ligatures w14:val="standardContextual"/>
        </w:rPr>
      </w:pPr>
    </w:p>
    <w:p w14:paraId="47408552" w14:textId="16F7F82E" w:rsidR="00ED13F0" w:rsidRPr="00ED13F0" w:rsidRDefault="009A432F" w:rsidP="009A432F">
      <w:pPr>
        <w:spacing w:after="0" w:line="360" w:lineRule="auto"/>
        <w:ind w:left="851"/>
        <w:jc w:val="both"/>
        <w:rPr>
          <w:rFonts w:ascii="Times New Roman" w:eastAsia="Calibri" w:hAnsi="Times New Roman" w:cs="Times New Roman"/>
          <w:sz w:val="24"/>
          <w:szCs w:val="24"/>
          <w:lang w:val="en-US"/>
        </w:rPr>
      </w:pPr>
      <w:r>
        <w:rPr>
          <w:rFonts w:ascii="Times New Roman" w:eastAsia="Calibri" w:hAnsi="Times New Roman" w:cs="Times New Roman"/>
          <w:sz w:val="24"/>
          <w:szCs w:val="24"/>
          <w14:ligatures w14:val="standardContextual"/>
        </w:rPr>
        <w:t>“In</w:t>
      </w:r>
      <w:r w:rsidR="00ED13F0" w:rsidRPr="00ED13F0">
        <w:rPr>
          <w:rFonts w:ascii="Times New Roman" w:eastAsia="Calibri" w:hAnsi="Times New Roman" w:cs="Times New Roman"/>
          <w:sz w:val="24"/>
          <w:szCs w:val="24"/>
          <w:lang w:val="en-US"/>
        </w:rPr>
        <w:t xml:space="preserve"> the case of </w:t>
      </w:r>
      <w:bookmarkStart w:id="0" w:name="_Hlk221187005"/>
      <w:r w:rsidR="00ED13F0" w:rsidRPr="00ED13F0">
        <w:rPr>
          <w:rFonts w:ascii="Times New Roman" w:eastAsia="Calibri" w:hAnsi="Times New Roman" w:cs="Times New Roman"/>
          <w:i/>
          <w:sz w:val="24"/>
          <w:szCs w:val="24"/>
          <w:lang w:val="en-US"/>
        </w:rPr>
        <w:t xml:space="preserve">Zimbabwe Mining Development Corporation &amp; Anor v African Consolidated Resources </w:t>
      </w:r>
      <w:r w:rsidR="00ED13F0" w:rsidRPr="009A432F">
        <w:rPr>
          <w:rFonts w:ascii="Times New Roman" w:eastAsia="Calibri" w:hAnsi="Times New Roman" w:cs="Times New Roman"/>
          <w:i/>
          <w:lang w:val="en-US"/>
        </w:rPr>
        <w:t>PLOC</w:t>
      </w:r>
      <w:r w:rsidR="00ED13F0" w:rsidRPr="009A432F">
        <w:rPr>
          <w:rFonts w:ascii="Times New Roman" w:eastAsia="Calibri" w:hAnsi="Times New Roman" w:cs="Times New Roman"/>
          <w:lang w:val="en-US"/>
        </w:rPr>
        <w:t xml:space="preserve"> SC</w:t>
      </w:r>
      <w:r w:rsidR="00ED13F0" w:rsidRPr="00ED13F0">
        <w:rPr>
          <w:rFonts w:ascii="Times New Roman" w:eastAsia="Calibri" w:hAnsi="Times New Roman" w:cs="Times New Roman"/>
          <w:sz w:val="24"/>
          <w:szCs w:val="24"/>
          <w:lang w:val="en-US"/>
        </w:rPr>
        <w:t xml:space="preserve"> 1</w:t>
      </w:r>
      <w:r>
        <w:rPr>
          <w:rFonts w:ascii="Times New Roman" w:eastAsia="Calibri" w:hAnsi="Times New Roman" w:cs="Times New Roman"/>
          <w:sz w:val="24"/>
          <w:szCs w:val="24"/>
          <w:lang w:val="en-US"/>
        </w:rPr>
        <w:t>-</w:t>
      </w:r>
      <w:r w:rsidR="00ED13F0" w:rsidRPr="00ED13F0">
        <w:rPr>
          <w:rFonts w:ascii="Times New Roman" w:eastAsia="Calibri" w:hAnsi="Times New Roman" w:cs="Times New Roman"/>
          <w:sz w:val="24"/>
          <w:szCs w:val="24"/>
          <w:lang w:val="en-US"/>
        </w:rPr>
        <w:t>10</w:t>
      </w:r>
      <w:bookmarkEnd w:id="0"/>
      <w:r w:rsidR="00ED13F0" w:rsidRPr="00ED13F0">
        <w:rPr>
          <w:rFonts w:ascii="Times New Roman" w:eastAsia="Calibri" w:hAnsi="Times New Roman" w:cs="Times New Roman"/>
          <w:sz w:val="24"/>
          <w:szCs w:val="24"/>
          <w:lang w:val="en-US"/>
        </w:rPr>
        <w:t xml:space="preserve">, </w:t>
      </w:r>
      <w:r w:rsidR="00ED13F0" w:rsidRPr="009A432F">
        <w:rPr>
          <w:rFonts w:ascii="Times New Roman" w:eastAsia="Calibri" w:hAnsi="Times New Roman" w:cs="Times New Roman"/>
          <w:lang w:val="en-US"/>
        </w:rPr>
        <w:t>CHIDYAUSIKU CJ</w:t>
      </w:r>
      <w:r w:rsidR="00ED13F0" w:rsidRPr="00ED13F0">
        <w:rPr>
          <w:rFonts w:ascii="Times New Roman" w:eastAsia="Calibri" w:hAnsi="Times New Roman" w:cs="Times New Roman"/>
          <w:sz w:val="24"/>
          <w:szCs w:val="24"/>
          <w:lang w:val="en-US"/>
        </w:rPr>
        <w:t xml:space="preserve"> stated the </w:t>
      </w:r>
      <w:r w:rsidRPr="00ED13F0">
        <w:rPr>
          <w:rFonts w:ascii="Times New Roman" w:eastAsia="Calibri" w:hAnsi="Times New Roman" w:cs="Times New Roman"/>
          <w:sz w:val="24"/>
          <w:szCs w:val="24"/>
          <w:lang w:val="en-US"/>
        </w:rPr>
        <w:t>following: “The</w:t>
      </w:r>
      <w:r w:rsidR="00ED13F0" w:rsidRPr="00ED13F0">
        <w:rPr>
          <w:rFonts w:ascii="Times New Roman" w:eastAsia="Calibri" w:hAnsi="Times New Roman" w:cs="Times New Roman"/>
          <w:sz w:val="24"/>
          <w:szCs w:val="24"/>
          <w:lang w:val="en-US"/>
        </w:rPr>
        <w:t xml:space="preserve"> right of appeal is fundamental and critical to our justice system.  Where the law confers the right of appeal on a litigant it should not be rendered nugatory or abrogated without due process.  Due process requires that a case proceeds to finality, namely the giving of a judgment.  Once a judgment is given, the losing party who has a right to appeal is entitled, if he so wishes to note an appeal.”</w:t>
      </w:r>
      <w:r>
        <w:rPr>
          <w:rFonts w:ascii="Times New Roman" w:eastAsia="Calibri" w:hAnsi="Times New Roman" w:cs="Times New Roman"/>
          <w:sz w:val="24"/>
          <w:szCs w:val="24"/>
          <w:lang w:val="en-US"/>
        </w:rPr>
        <w:t xml:space="preserve"> </w:t>
      </w:r>
      <w:r w:rsidR="00ED13F0" w:rsidRPr="00ED13F0">
        <w:rPr>
          <w:rFonts w:ascii="Times New Roman" w:eastAsia="Calibri" w:hAnsi="Times New Roman" w:cs="Times New Roman"/>
          <w:sz w:val="24"/>
          <w:szCs w:val="24"/>
          <w:lang w:val="en-US"/>
        </w:rPr>
        <w:t xml:space="preserve">See also </w:t>
      </w:r>
      <w:r w:rsidR="00ED13F0" w:rsidRPr="00ED13F0">
        <w:rPr>
          <w:rFonts w:ascii="Times New Roman" w:eastAsia="Calibri" w:hAnsi="Times New Roman" w:cs="Times New Roman"/>
          <w:i/>
          <w:sz w:val="24"/>
          <w:szCs w:val="24"/>
          <w:lang w:val="en-US"/>
        </w:rPr>
        <w:t>Claudius Marimo and Anor v The Minister of Justice, Legal and Parliamentary Affairs</w:t>
      </w:r>
      <w:r w:rsidR="00ED13F0" w:rsidRPr="00ED13F0">
        <w:rPr>
          <w:rFonts w:ascii="Times New Roman" w:eastAsia="Calibri" w:hAnsi="Times New Roman" w:cs="Times New Roman"/>
          <w:sz w:val="24"/>
          <w:szCs w:val="24"/>
          <w:lang w:val="en-US"/>
        </w:rPr>
        <w:t xml:space="preserve"> S-25-06.</w:t>
      </w:r>
      <w:r>
        <w:rPr>
          <w:rFonts w:ascii="Times New Roman" w:eastAsia="Calibri" w:hAnsi="Times New Roman" w:cs="Times New Roman"/>
          <w:sz w:val="24"/>
          <w:szCs w:val="24"/>
          <w:lang w:val="en-US"/>
        </w:rPr>
        <w:t>”</w:t>
      </w:r>
    </w:p>
    <w:p w14:paraId="7ED8D86A" w14:textId="11476306" w:rsidR="00ED13F0" w:rsidRPr="00ED13F0" w:rsidRDefault="00ED13F0" w:rsidP="00ED13F0">
      <w:pPr>
        <w:spacing w:after="0" w:line="240" w:lineRule="auto"/>
        <w:jc w:val="both"/>
        <w:rPr>
          <w:rFonts w:ascii="Times New Roman" w:eastAsia="Calibri" w:hAnsi="Times New Roman" w:cs="Times New Roman"/>
          <w:sz w:val="24"/>
          <w:szCs w:val="24"/>
          <w:lang w:val="en-US"/>
          <w14:ligatures w14:val="standardContextual"/>
        </w:rPr>
      </w:pPr>
    </w:p>
    <w:p w14:paraId="54AA4508" w14:textId="05AFBB3C" w:rsidR="00C44D34" w:rsidRDefault="00841F5E" w:rsidP="00841F5E">
      <w:pPr>
        <w:spacing w:line="360" w:lineRule="auto"/>
        <w:jc w:val="both"/>
        <w:rPr>
          <w:rFonts w:ascii="Times New Roman" w:eastAsia="Calibri" w:hAnsi="Times New Roman" w:cs="Times New Roman"/>
          <w:bCs/>
          <w:sz w:val="24"/>
          <w:szCs w:val="24"/>
          <w:lang w:val="en-US"/>
        </w:rPr>
      </w:pPr>
      <w:r w:rsidRPr="00841F5E">
        <w:rPr>
          <w:rFonts w:ascii="Times New Roman" w:eastAsia="Calibri" w:hAnsi="Times New Roman" w:cs="Times New Roman"/>
          <w:bCs/>
          <w:sz w:val="24"/>
          <w:szCs w:val="24"/>
          <w:lang w:val="en-US"/>
        </w:rPr>
        <w:t>[1</w:t>
      </w:r>
      <w:r w:rsidR="000641AD">
        <w:rPr>
          <w:rFonts w:ascii="Times New Roman" w:eastAsia="Calibri" w:hAnsi="Times New Roman" w:cs="Times New Roman"/>
          <w:bCs/>
          <w:sz w:val="24"/>
          <w:szCs w:val="24"/>
          <w:lang w:val="en-US"/>
        </w:rPr>
        <w:t>6</w:t>
      </w:r>
      <w:r w:rsidRPr="00841F5E">
        <w:rPr>
          <w:rFonts w:ascii="Times New Roman" w:eastAsia="Calibri" w:hAnsi="Times New Roman" w:cs="Times New Roman"/>
          <w:bCs/>
          <w:sz w:val="24"/>
          <w:szCs w:val="24"/>
          <w:lang w:val="en-US"/>
        </w:rPr>
        <w:t xml:space="preserve">] This right is not absolute. It is tempered by the pragmatism which must characterize-as an inherent and indispensable standard- the entire process of </w:t>
      </w:r>
      <w:r w:rsidR="00C44D34" w:rsidRPr="00841F5E">
        <w:rPr>
          <w:rFonts w:ascii="Times New Roman" w:eastAsia="Calibri" w:hAnsi="Times New Roman" w:cs="Times New Roman"/>
          <w:bCs/>
          <w:sz w:val="24"/>
          <w:szCs w:val="24"/>
          <w:lang w:val="en-US"/>
        </w:rPr>
        <w:t>litigation.</w:t>
      </w:r>
      <w:r w:rsidR="00C44D34">
        <w:rPr>
          <w:rFonts w:ascii="Times New Roman" w:eastAsia="Calibri" w:hAnsi="Times New Roman" w:cs="Times New Roman"/>
          <w:bCs/>
          <w:sz w:val="24"/>
          <w:szCs w:val="24"/>
          <w:lang w:val="en-US"/>
        </w:rPr>
        <w:t xml:space="preserve"> Rule </w:t>
      </w:r>
      <w:r w:rsidR="00CC5C27">
        <w:rPr>
          <w:rFonts w:ascii="Times New Roman" w:eastAsia="Calibri" w:hAnsi="Times New Roman" w:cs="Times New Roman"/>
          <w:bCs/>
          <w:sz w:val="24"/>
          <w:szCs w:val="24"/>
          <w:lang w:val="en-US"/>
        </w:rPr>
        <w:t xml:space="preserve">44 (2) </w:t>
      </w:r>
      <w:r w:rsidR="00C44D34">
        <w:rPr>
          <w:rFonts w:ascii="Times New Roman" w:eastAsia="Calibri" w:hAnsi="Times New Roman" w:cs="Times New Roman"/>
          <w:bCs/>
          <w:sz w:val="24"/>
          <w:szCs w:val="24"/>
          <w:lang w:val="en-US"/>
        </w:rPr>
        <w:t xml:space="preserve">of the Commercial Court Rules” in fact limits </w:t>
      </w:r>
      <w:r w:rsidR="00CC5C27">
        <w:rPr>
          <w:rFonts w:ascii="Times New Roman" w:eastAsia="Calibri" w:hAnsi="Times New Roman" w:cs="Times New Roman"/>
          <w:bCs/>
          <w:sz w:val="24"/>
          <w:szCs w:val="24"/>
          <w:lang w:val="en-US"/>
        </w:rPr>
        <w:t>these right-on substantive matters-</w:t>
      </w:r>
      <w:r w:rsidR="00C44D34">
        <w:rPr>
          <w:rFonts w:ascii="Times New Roman" w:eastAsia="Calibri" w:hAnsi="Times New Roman" w:cs="Times New Roman"/>
          <w:bCs/>
          <w:sz w:val="24"/>
          <w:szCs w:val="24"/>
          <w:lang w:val="en-US"/>
        </w:rPr>
        <w:t xml:space="preserve"> in the following terms; -</w:t>
      </w:r>
    </w:p>
    <w:p w14:paraId="08DA878A" w14:textId="77777777" w:rsidR="00C44D34" w:rsidRPr="00C44D34" w:rsidRDefault="00C44D34" w:rsidP="00C44D34">
      <w:pPr>
        <w:pStyle w:val="Default"/>
        <w:ind w:left="851"/>
        <w:jc w:val="both"/>
        <w:rPr>
          <w:sz w:val="20"/>
          <w:szCs w:val="20"/>
          <w:u w:val="single"/>
        </w:rPr>
      </w:pPr>
      <w:r w:rsidRPr="00C44D34">
        <w:rPr>
          <w:sz w:val="20"/>
          <w:szCs w:val="20"/>
          <w:u w:val="single"/>
        </w:rPr>
        <w:t xml:space="preserve">44. Appeals from the court </w:t>
      </w:r>
    </w:p>
    <w:p w14:paraId="428E63EB" w14:textId="77777777" w:rsidR="00C44D34" w:rsidRPr="00C44D34" w:rsidRDefault="00C44D34" w:rsidP="00C44D34">
      <w:pPr>
        <w:pStyle w:val="Default"/>
        <w:spacing w:line="360" w:lineRule="auto"/>
        <w:ind w:left="851"/>
        <w:jc w:val="both"/>
        <w:rPr>
          <w:sz w:val="20"/>
          <w:szCs w:val="20"/>
        </w:rPr>
      </w:pPr>
      <w:r w:rsidRPr="00C44D34">
        <w:rPr>
          <w:sz w:val="20"/>
          <w:szCs w:val="20"/>
        </w:rPr>
        <w:t xml:space="preserve">(1) The provisions of Part VI of the Supreme Court Rules, 2018 shall apply mutatis mutandis in relation to appeals from the court. </w:t>
      </w:r>
    </w:p>
    <w:p w14:paraId="6B9BFD58" w14:textId="77777777" w:rsidR="00C44D34" w:rsidRPr="00C44D34" w:rsidRDefault="00C44D34" w:rsidP="00C44D34">
      <w:pPr>
        <w:pStyle w:val="Default"/>
        <w:spacing w:line="360" w:lineRule="auto"/>
        <w:ind w:left="851"/>
        <w:jc w:val="both"/>
        <w:rPr>
          <w:sz w:val="20"/>
          <w:szCs w:val="20"/>
        </w:rPr>
      </w:pPr>
      <w:r w:rsidRPr="00C44D34">
        <w:rPr>
          <w:sz w:val="20"/>
          <w:szCs w:val="20"/>
        </w:rPr>
        <w:t xml:space="preserve">(2) </w:t>
      </w:r>
      <w:r w:rsidRPr="00C44D34">
        <w:rPr>
          <w:b/>
          <w:bCs/>
          <w:sz w:val="20"/>
          <w:szCs w:val="20"/>
        </w:rPr>
        <w:t>An appeal from the decision of the court shall not suspend the operation of the decision appealed against</w:t>
      </w:r>
      <w:r w:rsidRPr="00C44D34">
        <w:rPr>
          <w:sz w:val="20"/>
          <w:szCs w:val="20"/>
        </w:rPr>
        <w:t xml:space="preserve">, unless the court or judge directs otherwise on application by the aggrieved party. </w:t>
      </w:r>
    </w:p>
    <w:p w14:paraId="3CE9954C" w14:textId="315F4B9A" w:rsidR="00C44D34" w:rsidRDefault="00C44D34" w:rsidP="00C44D34">
      <w:pPr>
        <w:spacing w:line="360" w:lineRule="auto"/>
        <w:ind w:left="851"/>
        <w:jc w:val="both"/>
        <w:rPr>
          <w:rFonts w:ascii="Times New Roman" w:eastAsia="Calibri" w:hAnsi="Times New Roman" w:cs="Times New Roman"/>
          <w:bCs/>
          <w:sz w:val="24"/>
          <w:szCs w:val="24"/>
          <w:lang w:val="en-US"/>
        </w:rPr>
      </w:pPr>
      <w:r w:rsidRPr="00C44D34">
        <w:rPr>
          <w:rFonts w:ascii="Times New Roman" w:hAnsi="Times New Roman" w:cs="Times New Roman"/>
          <w:sz w:val="20"/>
          <w:szCs w:val="20"/>
        </w:rPr>
        <w:t xml:space="preserve">(3) Subject to the provisions of the High Court Act [Chapter 7:06], </w:t>
      </w:r>
      <w:r w:rsidRPr="00C44D34">
        <w:rPr>
          <w:rFonts w:ascii="Times New Roman" w:hAnsi="Times New Roman" w:cs="Times New Roman"/>
          <w:b/>
          <w:bCs/>
          <w:sz w:val="20"/>
          <w:szCs w:val="20"/>
        </w:rPr>
        <w:t>no appeal shall lie from an order or directive issued at a case management meeting and interlocutory orders</w:t>
      </w:r>
      <w:r w:rsidRPr="00C44D34">
        <w:rPr>
          <w:rFonts w:ascii="Times New Roman" w:hAnsi="Times New Roman" w:cs="Times New Roman"/>
          <w:sz w:val="20"/>
          <w:szCs w:val="20"/>
        </w:rPr>
        <w:t>.</w:t>
      </w:r>
      <w:r>
        <w:rPr>
          <w:rFonts w:ascii="Times New Roman" w:hAnsi="Times New Roman" w:cs="Times New Roman"/>
          <w:sz w:val="20"/>
          <w:szCs w:val="20"/>
        </w:rPr>
        <w:t xml:space="preserve"> [Marked in bold for emphasis] </w:t>
      </w:r>
    </w:p>
    <w:p w14:paraId="6F376652" w14:textId="733A5BA9" w:rsidR="00841F5E" w:rsidRPr="00841F5E" w:rsidRDefault="00C44D34" w:rsidP="00841F5E">
      <w:pPr>
        <w:spacing w:line="360" w:lineRule="auto"/>
        <w:jc w:val="both"/>
        <w:rPr>
          <w:rFonts w:ascii="Times New Roman" w:eastAsia="Calibri" w:hAnsi="Times New Roman" w:cs="Times New Roman"/>
          <w:bCs/>
          <w:kern w:val="2"/>
          <w:sz w:val="24"/>
          <w:szCs w:val="24"/>
          <w14:ligatures w14:val="standardContextual"/>
        </w:rPr>
      </w:pPr>
      <w:r>
        <w:rPr>
          <w:rFonts w:ascii="Times New Roman" w:eastAsia="Calibri" w:hAnsi="Times New Roman" w:cs="Times New Roman"/>
          <w:bCs/>
          <w:sz w:val="24"/>
          <w:szCs w:val="24"/>
          <w:lang w:val="en-US"/>
        </w:rPr>
        <w:lastRenderedPageBreak/>
        <w:t>[1</w:t>
      </w:r>
      <w:r w:rsidR="000641AD">
        <w:rPr>
          <w:rFonts w:ascii="Times New Roman" w:eastAsia="Calibri" w:hAnsi="Times New Roman" w:cs="Times New Roman"/>
          <w:bCs/>
          <w:sz w:val="24"/>
          <w:szCs w:val="24"/>
          <w:lang w:val="en-US"/>
        </w:rPr>
        <w:t>7</w:t>
      </w:r>
      <w:r>
        <w:rPr>
          <w:rFonts w:ascii="Times New Roman" w:eastAsia="Calibri" w:hAnsi="Times New Roman" w:cs="Times New Roman"/>
          <w:bCs/>
          <w:sz w:val="24"/>
          <w:szCs w:val="24"/>
          <w:lang w:val="en-US"/>
        </w:rPr>
        <w:t xml:space="preserve">] </w:t>
      </w:r>
      <w:r w:rsidRPr="00841F5E">
        <w:rPr>
          <w:rFonts w:ascii="Times New Roman" w:eastAsia="Calibri" w:hAnsi="Times New Roman" w:cs="Times New Roman"/>
          <w:bCs/>
          <w:sz w:val="24"/>
          <w:szCs w:val="24"/>
          <w:lang w:val="en-US"/>
        </w:rPr>
        <w:t>The</w:t>
      </w:r>
      <w:r w:rsidR="00841F5E" w:rsidRPr="00841F5E">
        <w:rPr>
          <w:rFonts w:ascii="Times New Roman" w:eastAsia="Calibri" w:hAnsi="Times New Roman" w:cs="Times New Roman"/>
          <w:bCs/>
          <w:sz w:val="24"/>
          <w:szCs w:val="24"/>
          <w:lang w:val="en-US"/>
        </w:rPr>
        <w:t xml:space="preserve"> below passage from the oft-cited case of </w:t>
      </w:r>
      <w:r w:rsidR="00841F5E" w:rsidRPr="00841F5E">
        <w:rPr>
          <w:rFonts w:ascii="Times New Roman" w:eastAsia="Calibri" w:hAnsi="Times New Roman" w:cs="Times New Roman"/>
          <w:bCs/>
          <w:i/>
          <w:iCs/>
          <w:kern w:val="2"/>
          <w:sz w:val="24"/>
          <w:szCs w:val="24"/>
          <w14:ligatures w14:val="standardContextual"/>
        </w:rPr>
        <w:t>Pretoria Garrison Institutes v Danish Variety Products</w:t>
      </w:r>
      <w:r w:rsidR="00841F5E" w:rsidRPr="00841F5E">
        <w:rPr>
          <w:rFonts w:ascii="Times New Roman" w:eastAsia="Calibri" w:hAnsi="Times New Roman" w:cs="Times New Roman"/>
          <w:bCs/>
          <w:kern w:val="2"/>
          <w:sz w:val="24"/>
          <w:szCs w:val="24"/>
          <w14:ligatures w14:val="standardContextual"/>
        </w:rPr>
        <w:t xml:space="preserve"> 1948(1) SA 839(A) at p </w:t>
      </w:r>
      <w:r w:rsidR="00406D75" w:rsidRPr="00841F5E">
        <w:rPr>
          <w:rFonts w:ascii="Times New Roman" w:eastAsia="Calibri" w:hAnsi="Times New Roman" w:cs="Times New Roman"/>
          <w:bCs/>
          <w:kern w:val="2"/>
          <w:sz w:val="24"/>
          <w:szCs w:val="24"/>
          <w14:ligatures w14:val="standardContextual"/>
        </w:rPr>
        <w:t>867</w:t>
      </w:r>
      <w:r w:rsidR="00406D75">
        <w:rPr>
          <w:rFonts w:ascii="Times New Roman" w:eastAsia="Calibri" w:hAnsi="Times New Roman" w:cs="Times New Roman"/>
          <w:bCs/>
          <w:kern w:val="2"/>
          <w:sz w:val="24"/>
          <w:szCs w:val="24"/>
          <w14:ligatures w14:val="standardContextual"/>
        </w:rPr>
        <w:t xml:space="preserve"> </w:t>
      </w:r>
      <w:r w:rsidR="00406D75" w:rsidRPr="00841F5E">
        <w:rPr>
          <w:rFonts w:ascii="Times New Roman" w:eastAsia="Calibri" w:hAnsi="Times New Roman" w:cs="Times New Roman"/>
          <w:bCs/>
          <w:kern w:val="2"/>
          <w:sz w:val="24"/>
          <w:szCs w:val="24"/>
          <w14:ligatures w14:val="standardContextual"/>
        </w:rPr>
        <w:t>amply</w:t>
      </w:r>
      <w:r w:rsidR="00841F5E" w:rsidRPr="00841F5E">
        <w:rPr>
          <w:rFonts w:ascii="Times New Roman" w:eastAsia="Calibri" w:hAnsi="Times New Roman" w:cs="Times New Roman"/>
          <w:bCs/>
          <w:kern w:val="2"/>
          <w:sz w:val="24"/>
          <w:szCs w:val="24"/>
          <w14:ligatures w14:val="standardContextual"/>
        </w:rPr>
        <w:t xml:space="preserve"> demonstrates </w:t>
      </w:r>
      <w:r w:rsidR="00406D75">
        <w:rPr>
          <w:rFonts w:ascii="Times New Roman" w:eastAsia="Calibri" w:hAnsi="Times New Roman" w:cs="Times New Roman"/>
          <w:bCs/>
          <w:kern w:val="2"/>
          <w:sz w:val="24"/>
          <w:szCs w:val="24"/>
          <w14:ligatures w14:val="standardContextual"/>
        </w:rPr>
        <w:t>part of the reasons behind restrictions to the right of appeal</w:t>
      </w:r>
      <w:r w:rsidR="00841F5E" w:rsidRPr="00841F5E">
        <w:rPr>
          <w:rFonts w:ascii="Times New Roman" w:eastAsia="Calibri" w:hAnsi="Times New Roman" w:cs="Times New Roman"/>
          <w:bCs/>
          <w:kern w:val="2"/>
          <w:sz w:val="24"/>
          <w:szCs w:val="24"/>
          <w14:ligatures w14:val="standardContextual"/>
        </w:rPr>
        <w:t xml:space="preserve">; - </w:t>
      </w:r>
    </w:p>
    <w:p w14:paraId="3B5D549F" w14:textId="25807627" w:rsidR="00841F5E" w:rsidRPr="00841F5E" w:rsidRDefault="00841F5E" w:rsidP="00841F5E">
      <w:pPr>
        <w:spacing w:line="360" w:lineRule="auto"/>
        <w:ind w:left="851"/>
        <w:jc w:val="both"/>
        <w:rPr>
          <w:rFonts w:ascii="Times New Roman" w:eastAsia="Calibri" w:hAnsi="Times New Roman" w:cs="Times New Roman"/>
          <w:kern w:val="2"/>
          <w:sz w:val="24"/>
          <w:szCs w:val="24"/>
          <w14:ligatures w14:val="standardContextual"/>
        </w:rPr>
      </w:pPr>
      <w:r w:rsidRPr="00841F5E">
        <w:rPr>
          <w:rFonts w:ascii="Times New Roman" w:eastAsia="Calibri" w:hAnsi="Times New Roman" w:cs="Times New Roman"/>
          <w:kern w:val="2"/>
          <w:sz w:val="24"/>
          <w:szCs w:val="24"/>
          <w14:ligatures w14:val="standardContextual"/>
        </w:rPr>
        <w:t xml:space="preserve">“A wholly unrestricted right of appeal from every judicial pronouncement might well lead to serious injustices. For, apart from the increased power which it would probably give the wealthier litigant to wear out his opponent, it might put a premium on delaying and obstructionist tactics. This latter consideration has, I imagine been the predominant one in leading legislators to try to restrain the bringing of appeals from orders of a preparatory or procedural character arising in the course of a legal battle.” </w:t>
      </w:r>
    </w:p>
    <w:p w14:paraId="66E17A7D" w14:textId="068422EB" w:rsidR="00ED13F0" w:rsidRPr="00ED13F0" w:rsidRDefault="00ED13F0" w:rsidP="00ED13F0">
      <w:pPr>
        <w:spacing w:after="0" w:line="240" w:lineRule="auto"/>
        <w:rPr>
          <w:rFonts w:ascii="Times New Roman" w:eastAsia="Calibri" w:hAnsi="Times New Roman" w:cs="Times New Roman"/>
          <w:b/>
          <w:sz w:val="24"/>
          <w:szCs w:val="24"/>
          <w:lang w:val="en-US"/>
        </w:rPr>
      </w:pPr>
    </w:p>
    <w:p w14:paraId="272F90AB" w14:textId="436D0C16" w:rsidR="00ED13F0" w:rsidRDefault="00841F5E" w:rsidP="00FD0CBF">
      <w:pPr>
        <w:spacing w:line="360" w:lineRule="auto"/>
        <w:jc w:val="both"/>
        <w:rPr>
          <w:rFonts w:ascii="Times New Roman" w:eastAsia="Calibri" w:hAnsi="Times New Roman" w:cs="Times New Roman"/>
          <w:sz w:val="24"/>
          <w:szCs w:val="24"/>
          <w14:ligatures w14:val="standardContextual"/>
        </w:rPr>
      </w:pPr>
      <w:r>
        <w:rPr>
          <w:rFonts w:ascii="Times New Roman" w:eastAsia="Calibri" w:hAnsi="Times New Roman" w:cs="Times New Roman"/>
          <w:sz w:val="24"/>
          <w:szCs w:val="24"/>
          <w14:ligatures w14:val="standardContextual"/>
        </w:rPr>
        <w:t>[1</w:t>
      </w:r>
      <w:r w:rsidR="000641AD">
        <w:rPr>
          <w:rFonts w:ascii="Times New Roman" w:eastAsia="Calibri" w:hAnsi="Times New Roman" w:cs="Times New Roman"/>
          <w:sz w:val="24"/>
          <w:szCs w:val="24"/>
          <w14:ligatures w14:val="standardContextual"/>
        </w:rPr>
        <w:t>8</w:t>
      </w:r>
      <w:r>
        <w:rPr>
          <w:rFonts w:ascii="Times New Roman" w:eastAsia="Calibri" w:hAnsi="Times New Roman" w:cs="Times New Roman"/>
          <w:sz w:val="24"/>
          <w:szCs w:val="24"/>
          <w14:ligatures w14:val="standardContextual"/>
        </w:rPr>
        <w:t>] In that respect, the courts have crafted guidelines to govern the treatment of applications for leave to appeal. These are normally listed as follows; -</w:t>
      </w:r>
      <w:r>
        <w:rPr>
          <w:rStyle w:val="FootnoteReference"/>
          <w:rFonts w:ascii="Times New Roman" w:eastAsia="Calibri" w:hAnsi="Times New Roman" w:cs="Times New Roman"/>
          <w:sz w:val="24"/>
          <w:szCs w:val="24"/>
          <w14:ligatures w14:val="standardContextual"/>
        </w:rPr>
        <w:footnoteReference w:id="1"/>
      </w:r>
    </w:p>
    <w:p w14:paraId="207552F2" w14:textId="77777777" w:rsidR="00841F5E" w:rsidRPr="00841F5E" w:rsidRDefault="00841F5E" w:rsidP="00841F5E">
      <w:pPr>
        <w:pStyle w:val="ListParagraph"/>
        <w:numPr>
          <w:ilvl w:val="0"/>
          <w:numId w:val="3"/>
        </w:numPr>
        <w:spacing w:after="200" w:line="360" w:lineRule="auto"/>
        <w:ind w:left="1434" w:hanging="357"/>
        <w:jc w:val="both"/>
        <w:rPr>
          <w:rFonts w:ascii="Times New Roman" w:eastAsia="Calibri" w:hAnsi="Times New Roman" w:cs="Times New Roman"/>
          <w:sz w:val="24"/>
          <w:szCs w:val="24"/>
        </w:rPr>
      </w:pPr>
      <w:r w:rsidRPr="00841F5E">
        <w:rPr>
          <w:rFonts w:ascii="Times New Roman" w:eastAsia="Calibri" w:hAnsi="Times New Roman" w:cs="Times New Roman"/>
          <w:sz w:val="24"/>
          <w:szCs w:val="24"/>
        </w:rPr>
        <w:t>that there are reasonable prospects of success;</w:t>
      </w:r>
    </w:p>
    <w:p w14:paraId="4FFBD41F" w14:textId="77777777" w:rsidR="00841F5E" w:rsidRPr="00841F5E" w:rsidRDefault="00841F5E" w:rsidP="00841F5E">
      <w:pPr>
        <w:pStyle w:val="ListParagraph"/>
        <w:numPr>
          <w:ilvl w:val="0"/>
          <w:numId w:val="3"/>
        </w:numPr>
        <w:spacing w:after="200" w:line="360" w:lineRule="auto"/>
        <w:ind w:left="1434" w:hanging="357"/>
        <w:jc w:val="both"/>
        <w:rPr>
          <w:rFonts w:ascii="Times New Roman" w:eastAsia="Calibri" w:hAnsi="Times New Roman" w:cs="Times New Roman"/>
          <w:sz w:val="24"/>
          <w:szCs w:val="24"/>
        </w:rPr>
      </w:pPr>
      <w:r w:rsidRPr="00841F5E">
        <w:rPr>
          <w:rFonts w:ascii="Times New Roman" w:eastAsia="Calibri" w:hAnsi="Times New Roman" w:cs="Times New Roman"/>
          <w:sz w:val="24"/>
          <w:szCs w:val="24"/>
        </w:rPr>
        <w:t>that the balance of convenience favours the grant of such leave;</w:t>
      </w:r>
    </w:p>
    <w:p w14:paraId="0B058AAC" w14:textId="77777777" w:rsidR="00841F5E" w:rsidRPr="00841F5E" w:rsidRDefault="00841F5E" w:rsidP="00841F5E">
      <w:pPr>
        <w:pStyle w:val="ListParagraph"/>
        <w:numPr>
          <w:ilvl w:val="0"/>
          <w:numId w:val="3"/>
        </w:numPr>
        <w:spacing w:after="200" w:line="360" w:lineRule="auto"/>
        <w:ind w:left="1434" w:hanging="357"/>
        <w:jc w:val="both"/>
        <w:rPr>
          <w:rFonts w:ascii="Times New Roman" w:eastAsia="Calibri" w:hAnsi="Times New Roman" w:cs="Times New Roman"/>
          <w:sz w:val="24"/>
          <w:szCs w:val="24"/>
        </w:rPr>
      </w:pPr>
      <w:r w:rsidRPr="00841F5E">
        <w:rPr>
          <w:rFonts w:ascii="Times New Roman" w:eastAsia="Calibri" w:hAnsi="Times New Roman" w:cs="Times New Roman"/>
          <w:sz w:val="24"/>
          <w:szCs w:val="24"/>
        </w:rPr>
        <w:t>that the matter is of substantial importance to one or both parties;</w:t>
      </w:r>
    </w:p>
    <w:p w14:paraId="6EA5A10D" w14:textId="77777777" w:rsidR="00841F5E" w:rsidRPr="00841F5E" w:rsidRDefault="00841F5E" w:rsidP="00841F5E">
      <w:pPr>
        <w:pStyle w:val="ListParagraph"/>
        <w:numPr>
          <w:ilvl w:val="0"/>
          <w:numId w:val="3"/>
        </w:numPr>
        <w:spacing w:after="200" w:line="360" w:lineRule="auto"/>
        <w:ind w:left="1434" w:hanging="357"/>
        <w:jc w:val="both"/>
        <w:rPr>
          <w:rFonts w:ascii="Times New Roman" w:eastAsia="Calibri" w:hAnsi="Times New Roman" w:cs="Times New Roman"/>
          <w:sz w:val="24"/>
          <w:szCs w:val="24"/>
        </w:rPr>
      </w:pPr>
      <w:r w:rsidRPr="00841F5E">
        <w:rPr>
          <w:rFonts w:ascii="Times New Roman" w:eastAsia="Calibri" w:hAnsi="Times New Roman" w:cs="Times New Roman"/>
          <w:sz w:val="24"/>
          <w:szCs w:val="24"/>
        </w:rPr>
        <w:t>that there is a point of law, or divergence of authorities on it that will be settled by the appeal court;</w:t>
      </w:r>
    </w:p>
    <w:p w14:paraId="6320753E" w14:textId="77777777" w:rsidR="00841F5E" w:rsidRPr="00841F5E" w:rsidRDefault="00841F5E" w:rsidP="00841F5E">
      <w:pPr>
        <w:pStyle w:val="ListParagraph"/>
        <w:numPr>
          <w:ilvl w:val="0"/>
          <w:numId w:val="3"/>
        </w:numPr>
        <w:spacing w:after="200" w:line="360" w:lineRule="auto"/>
        <w:ind w:left="1434" w:hanging="357"/>
        <w:jc w:val="both"/>
        <w:rPr>
          <w:rFonts w:ascii="Times New Roman" w:eastAsia="Calibri" w:hAnsi="Times New Roman" w:cs="Times New Roman"/>
          <w:sz w:val="24"/>
          <w:szCs w:val="24"/>
        </w:rPr>
      </w:pPr>
      <w:r w:rsidRPr="00841F5E">
        <w:rPr>
          <w:rFonts w:ascii="Times New Roman" w:eastAsia="Calibri" w:hAnsi="Times New Roman" w:cs="Times New Roman"/>
          <w:sz w:val="24"/>
          <w:szCs w:val="24"/>
        </w:rPr>
        <w:t xml:space="preserve">for a judgment sounding in money, that the amount in dispute is not trifling. </w:t>
      </w:r>
    </w:p>
    <w:p w14:paraId="2C0693CE" w14:textId="3E3040F6" w:rsidR="005A7EA4" w:rsidRDefault="00841F5E" w:rsidP="00FD0CBF">
      <w:pPr>
        <w:spacing w:line="360" w:lineRule="auto"/>
        <w:jc w:val="both"/>
        <w:rPr>
          <w:rFonts w:ascii="Times New Roman" w:eastAsia="Calibri" w:hAnsi="Times New Roman" w:cs="Times New Roman"/>
          <w:sz w:val="24"/>
          <w:szCs w:val="24"/>
          <w14:ligatures w14:val="standardContextual"/>
        </w:rPr>
      </w:pPr>
      <w:r>
        <w:rPr>
          <w:rFonts w:ascii="Times New Roman" w:eastAsia="Calibri" w:hAnsi="Times New Roman" w:cs="Times New Roman"/>
          <w:sz w:val="24"/>
          <w:szCs w:val="24"/>
          <w14:ligatures w14:val="standardContextual"/>
        </w:rPr>
        <w:t>[1</w:t>
      </w:r>
      <w:r w:rsidR="000641AD">
        <w:rPr>
          <w:rFonts w:ascii="Times New Roman" w:eastAsia="Calibri" w:hAnsi="Times New Roman" w:cs="Times New Roman"/>
          <w:sz w:val="24"/>
          <w:szCs w:val="24"/>
          <w14:ligatures w14:val="standardContextual"/>
        </w:rPr>
        <w:t>9</w:t>
      </w:r>
      <w:r>
        <w:rPr>
          <w:rFonts w:ascii="Times New Roman" w:eastAsia="Calibri" w:hAnsi="Times New Roman" w:cs="Times New Roman"/>
          <w:sz w:val="24"/>
          <w:szCs w:val="24"/>
          <w14:ligatures w14:val="standardContextual"/>
        </w:rPr>
        <w:t xml:space="preserve">] </w:t>
      </w:r>
      <w:r w:rsidRPr="005A7EA4">
        <w:rPr>
          <w:rFonts w:ascii="Times New Roman" w:eastAsia="Calibri" w:hAnsi="Times New Roman" w:cs="Times New Roman"/>
          <w14:ligatures w14:val="standardContextual"/>
        </w:rPr>
        <w:t>MAFUSIRE J</w:t>
      </w:r>
      <w:r>
        <w:rPr>
          <w:rFonts w:ascii="Times New Roman" w:eastAsia="Calibri" w:hAnsi="Times New Roman" w:cs="Times New Roman"/>
          <w:sz w:val="24"/>
          <w:szCs w:val="24"/>
          <w14:ligatures w14:val="standardContextual"/>
        </w:rPr>
        <w:t xml:space="preserve"> </w:t>
      </w:r>
      <w:r w:rsidR="005A7EA4">
        <w:rPr>
          <w:rFonts w:ascii="Times New Roman" w:eastAsia="Calibri" w:hAnsi="Times New Roman" w:cs="Times New Roman"/>
          <w:sz w:val="24"/>
          <w:szCs w:val="24"/>
          <w14:ligatures w14:val="standardContextual"/>
        </w:rPr>
        <w:t>(as</w:t>
      </w:r>
      <w:r>
        <w:rPr>
          <w:rFonts w:ascii="Times New Roman" w:eastAsia="Calibri" w:hAnsi="Times New Roman" w:cs="Times New Roman"/>
          <w:sz w:val="24"/>
          <w:szCs w:val="24"/>
          <w14:ligatures w14:val="standardContextual"/>
        </w:rPr>
        <w:t xml:space="preserve"> he then </w:t>
      </w:r>
      <w:r w:rsidR="005A7EA4">
        <w:rPr>
          <w:rFonts w:ascii="Times New Roman" w:eastAsia="Calibri" w:hAnsi="Times New Roman" w:cs="Times New Roman"/>
          <w:sz w:val="24"/>
          <w:szCs w:val="24"/>
          <w14:ligatures w14:val="standardContextual"/>
        </w:rPr>
        <w:t>was)</w:t>
      </w:r>
      <w:r>
        <w:rPr>
          <w:rFonts w:ascii="Times New Roman" w:eastAsia="Calibri" w:hAnsi="Times New Roman" w:cs="Times New Roman"/>
          <w:sz w:val="24"/>
          <w:szCs w:val="24"/>
          <w14:ligatures w14:val="standardContextual"/>
        </w:rPr>
        <w:t xml:space="preserve"> opined on these guidelines </w:t>
      </w:r>
      <w:r w:rsidR="005A7EA4">
        <w:rPr>
          <w:rFonts w:ascii="Times New Roman" w:eastAsia="Calibri" w:hAnsi="Times New Roman" w:cs="Times New Roman"/>
          <w:sz w:val="24"/>
          <w:szCs w:val="24"/>
          <w14:ligatures w14:val="standardContextual"/>
        </w:rPr>
        <w:t xml:space="preserve">to some detail in </w:t>
      </w:r>
      <w:r w:rsidR="005A7EA4" w:rsidRPr="005A7EA4">
        <w:rPr>
          <w:rFonts w:ascii="Times New Roman" w:eastAsia="Calibri" w:hAnsi="Times New Roman" w:cs="Times New Roman"/>
          <w:i/>
          <w:iCs/>
          <w:sz w:val="24"/>
          <w:szCs w:val="24"/>
          <w14:ligatures w14:val="standardContextual"/>
        </w:rPr>
        <w:t>Mahere</w:t>
      </w:r>
      <w:r w:rsidRPr="005A7EA4">
        <w:rPr>
          <w:rFonts w:ascii="Times New Roman" w:eastAsia="Calibri" w:hAnsi="Times New Roman" w:cs="Times New Roman"/>
          <w:i/>
          <w:iCs/>
          <w:sz w:val="24"/>
          <w:szCs w:val="24"/>
          <w14:ligatures w14:val="standardContextual"/>
        </w:rPr>
        <w:t xml:space="preserve"> v Gappah</w:t>
      </w:r>
      <w:r>
        <w:rPr>
          <w:rFonts w:ascii="Times New Roman" w:eastAsia="Calibri" w:hAnsi="Times New Roman" w:cs="Times New Roman"/>
          <w:sz w:val="24"/>
          <w:szCs w:val="24"/>
          <w14:ligatures w14:val="standardContextual"/>
        </w:rPr>
        <w:t xml:space="preserve"> HH </w:t>
      </w:r>
      <w:r w:rsidR="005A7EA4">
        <w:rPr>
          <w:rFonts w:ascii="Times New Roman" w:eastAsia="Calibri" w:hAnsi="Times New Roman" w:cs="Times New Roman"/>
          <w:sz w:val="24"/>
          <w:szCs w:val="24"/>
          <w14:ligatures w14:val="standardContextual"/>
        </w:rPr>
        <w:t xml:space="preserve">633-22. I cite the learned judge`s remarks in paragraphs </w:t>
      </w:r>
      <w:r w:rsidR="005A7EA4" w:rsidRPr="00836EE1">
        <w:rPr>
          <w:rFonts w:ascii="Times New Roman" w:eastAsia="Calibri" w:hAnsi="Times New Roman" w:cs="Times New Roman"/>
          <w:i/>
          <w:iCs/>
          <w:sz w:val="24"/>
          <w:szCs w:val="24"/>
          <w14:ligatures w14:val="standardContextual"/>
        </w:rPr>
        <w:t>[21]</w:t>
      </w:r>
      <w:r w:rsidR="005A7EA4">
        <w:rPr>
          <w:rFonts w:ascii="Times New Roman" w:eastAsia="Calibri" w:hAnsi="Times New Roman" w:cs="Times New Roman"/>
          <w:sz w:val="24"/>
          <w:szCs w:val="24"/>
          <w14:ligatures w14:val="standardContextual"/>
        </w:rPr>
        <w:t xml:space="preserve"> to </w:t>
      </w:r>
      <w:r w:rsidR="005A7EA4" w:rsidRPr="00836EE1">
        <w:rPr>
          <w:rFonts w:ascii="Times New Roman" w:eastAsia="Calibri" w:hAnsi="Times New Roman" w:cs="Times New Roman"/>
          <w:i/>
          <w:iCs/>
          <w:sz w:val="24"/>
          <w:szCs w:val="24"/>
          <w14:ligatures w14:val="standardContextual"/>
        </w:rPr>
        <w:t>[23]</w:t>
      </w:r>
      <w:r w:rsidR="005A7EA4">
        <w:rPr>
          <w:rFonts w:ascii="Times New Roman" w:eastAsia="Calibri" w:hAnsi="Times New Roman" w:cs="Times New Roman"/>
          <w:sz w:val="24"/>
          <w:szCs w:val="24"/>
          <w14:ligatures w14:val="standardContextual"/>
        </w:rPr>
        <w:t xml:space="preserve"> of that judgment; -</w:t>
      </w:r>
    </w:p>
    <w:p w14:paraId="7F873637" w14:textId="17285136" w:rsidR="005A7EA4" w:rsidRPr="005A7EA4" w:rsidRDefault="005A7EA4" w:rsidP="005A7EA4">
      <w:pPr>
        <w:spacing w:after="200" w:line="360" w:lineRule="auto"/>
        <w:ind w:left="851"/>
        <w:jc w:val="both"/>
        <w:rPr>
          <w:rFonts w:ascii="Times New Roman" w:eastAsia="Calibri" w:hAnsi="Times New Roman" w:cs="Times New Roman"/>
          <w:sz w:val="24"/>
          <w:szCs w:val="24"/>
        </w:rPr>
      </w:pPr>
      <w:r>
        <w:rPr>
          <w:rFonts w:ascii="Times New Roman" w:eastAsia="Calibri" w:hAnsi="Times New Roman" w:cs="Times New Roman"/>
          <w:i/>
          <w:iCs/>
          <w:sz w:val="24"/>
          <w:szCs w:val="24"/>
        </w:rPr>
        <w:t>“</w:t>
      </w:r>
      <w:r w:rsidRPr="005A7EA4">
        <w:rPr>
          <w:rFonts w:ascii="Times New Roman" w:eastAsia="Calibri" w:hAnsi="Times New Roman" w:cs="Times New Roman"/>
          <w:i/>
          <w:iCs/>
          <w:sz w:val="24"/>
          <w:szCs w:val="24"/>
        </w:rPr>
        <w:t>[21]</w:t>
      </w:r>
      <w:r w:rsidRPr="005A7EA4">
        <w:rPr>
          <w:rFonts w:ascii="Times New Roman" w:eastAsia="Calibri" w:hAnsi="Times New Roman" w:cs="Times New Roman"/>
          <w:sz w:val="24"/>
          <w:szCs w:val="24"/>
        </w:rPr>
        <w:tab/>
        <w:t xml:space="preserve">No single factor is exclusively determinant or decisive by itself. They have to be considered conjunctively and cumulatively. One or some or more factors may be more predominant in some cases than they may be in others. For example, in some cases, the absence of prospects of success may completely overshadow all the other factors, yet in other cases their existence may compensate for any inadequacies in the other factors. The court has a wide discretion. It exercises it judiciously. It </w:t>
      </w:r>
      <w:r w:rsidRPr="005A7EA4">
        <w:rPr>
          <w:rFonts w:ascii="Times New Roman" w:eastAsia="Calibri" w:hAnsi="Times New Roman" w:cs="Times New Roman"/>
          <w:sz w:val="24"/>
          <w:szCs w:val="24"/>
        </w:rPr>
        <w:lastRenderedPageBreak/>
        <w:t xml:space="preserve">should endeavour to be fair to all the parties involved: see </w:t>
      </w:r>
      <w:r w:rsidRPr="005A7EA4">
        <w:rPr>
          <w:rFonts w:ascii="Times New Roman" w:eastAsia="Calibri" w:hAnsi="Times New Roman" w:cs="Times New Roman"/>
          <w:i/>
          <w:sz w:val="24"/>
          <w:szCs w:val="24"/>
        </w:rPr>
        <w:t>Read v Gardiner &amp; Anor</w:t>
      </w:r>
      <w:r w:rsidRPr="005A7EA4">
        <w:rPr>
          <w:rFonts w:ascii="Times New Roman" w:eastAsia="Calibri" w:hAnsi="Times New Roman" w:cs="Times New Roman"/>
          <w:sz w:val="24"/>
          <w:szCs w:val="24"/>
        </w:rPr>
        <w:t xml:space="preserve"> SC70/19.  </w:t>
      </w:r>
    </w:p>
    <w:p w14:paraId="0137DB70" w14:textId="77777777" w:rsidR="005A7EA4" w:rsidRPr="005A7EA4" w:rsidRDefault="005A7EA4" w:rsidP="005A7EA4">
      <w:pPr>
        <w:spacing w:after="200" w:line="360" w:lineRule="auto"/>
        <w:ind w:left="851"/>
        <w:jc w:val="both"/>
        <w:rPr>
          <w:rFonts w:ascii="Times New Roman" w:eastAsia="Calibri" w:hAnsi="Times New Roman" w:cs="Times New Roman"/>
          <w:sz w:val="24"/>
          <w:szCs w:val="24"/>
        </w:rPr>
      </w:pPr>
      <w:r w:rsidRPr="005A7EA4">
        <w:rPr>
          <w:rFonts w:ascii="Times New Roman" w:eastAsia="Calibri" w:hAnsi="Times New Roman" w:cs="Times New Roman"/>
          <w:i/>
          <w:iCs/>
          <w:sz w:val="24"/>
          <w:szCs w:val="24"/>
        </w:rPr>
        <w:t>[22]</w:t>
      </w:r>
      <w:r w:rsidRPr="005A7EA4">
        <w:rPr>
          <w:rFonts w:ascii="Times New Roman" w:eastAsia="Calibri" w:hAnsi="Times New Roman" w:cs="Times New Roman"/>
          <w:sz w:val="24"/>
          <w:szCs w:val="24"/>
        </w:rPr>
        <w:tab/>
        <w:t xml:space="preserve">It is the duty of the court to examine closely the proposed grounds of appeal and, among other things, dispel the notion that the appeal is not a stratagem to harass an opponent by delaying the proceedings and stave off the day of reckoning. By its very nature, an appeal against an interlocutory judgment calls for greater scrutiny because it is potentially wasteful. It is an impeachment of merely an intermediary point that may arise during the course of the proceedings. The right of appeal to the Supreme Court in </w:t>
      </w:r>
      <w:r w:rsidRPr="005A7EA4">
        <w:rPr>
          <w:rFonts w:ascii="Times New Roman" w:eastAsia="Calibri" w:hAnsi="Times New Roman" w:cs="Times New Roman"/>
          <w:i/>
          <w:sz w:val="24"/>
          <w:szCs w:val="24"/>
          <w:u w:val="single"/>
        </w:rPr>
        <w:t>any</w:t>
      </w:r>
      <w:r w:rsidRPr="005A7EA4">
        <w:rPr>
          <w:rFonts w:ascii="Times New Roman" w:eastAsia="Calibri" w:hAnsi="Times New Roman" w:cs="Times New Roman"/>
          <w:sz w:val="24"/>
          <w:szCs w:val="24"/>
        </w:rPr>
        <w:t xml:space="preserve"> civil case against </w:t>
      </w:r>
      <w:r w:rsidRPr="005A7EA4">
        <w:rPr>
          <w:rFonts w:ascii="Times New Roman" w:eastAsia="Calibri" w:hAnsi="Times New Roman" w:cs="Times New Roman"/>
          <w:i/>
          <w:sz w:val="24"/>
          <w:szCs w:val="24"/>
          <w:u w:val="single"/>
        </w:rPr>
        <w:t>any</w:t>
      </w:r>
      <w:r w:rsidRPr="005A7EA4">
        <w:rPr>
          <w:rFonts w:ascii="Times New Roman" w:eastAsia="Calibri" w:hAnsi="Times New Roman" w:cs="Times New Roman"/>
          <w:sz w:val="24"/>
          <w:szCs w:val="24"/>
        </w:rPr>
        <w:t xml:space="preserve"> judgment of this court is guaranteed by s 43 of the High Court Act [</w:t>
      </w:r>
      <w:r w:rsidRPr="005A7EA4">
        <w:rPr>
          <w:rFonts w:ascii="Times New Roman" w:eastAsia="Calibri" w:hAnsi="Times New Roman" w:cs="Times New Roman"/>
          <w:i/>
          <w:sz w:val="24"/>
          <w:szCs w:val="24"/>
        </w:rPr>
        <w:t>Chapter 7:06</w:t>
      </w:r>
      <w:r w:rsidRPr="005A7EA4">
        <w:rPr>
          <w:rFonts w:ascii="Times New Roman" w:eastAsia="Calibri" w:hAnsi="Times New Roman" w:cs="Times New Roman"/>
          <w:sz w:val="24"/>
          <w:szCs w:val="24"/>
        </w:rPr>
        <w:t>]</w:t>
      </w:r>
      <w:r w:rsidRPr="005A7EA4">
        <w:rPr>
          <w:rFonts w:ascii="Times New Roman" w:eastAsia="Calibri" w:hAnsi="Times New Roman" w:cs="Times New Roman"/>
          <w:sz w:val="24"/>
          <w:szCs w:val="24"/>
          <w:vertAlign w:val="superscript"/>
        </w:rPr>
        <w:footnoteReference w:id="2"/>
      </w:r>
      <w:r w:rsidRPr="005A7EA4">
        <w:rPr>
          <w:rFonts w:ascii="Times New Roman" w:eastAsia="Calibri" w:hAnsi="Times New Roman" w:cs="Times New Roman"/>
          <w:sz w:val="24"/>
          <w:szCs w:val="24"/>
        </w:rPr>
        <w:t>. But that same right becomes altogether proscribed by the same provision in certain circumstances, for example, the refusal of summary judgment where an unconditional leave to defend is granted</w:t>
      </w:r>
      <w:r w:rsidRPr="005A7EA4">
        <w:rPr>
          <w:rFonts w:ascii="Times New Roman" w:eastAsia="Calibri" w:hAnsi="Times New Roman" w:cs="Times New Roman"/>
          <w:sz w:val="24"/>
          <w:szCs w:val="24"/>
          <w:vertAlign w:val="superscript"/>
        </w:rPr>
        <w:footnoteReference w:id="3"/>
      </w:r>
      <w:r w:rsidRPr="005A7EA4">
        <w:rPr>
          <w:rFonts w:ascii="Times New Roman" w:eastAsia="Calibri" w:hAnsi="Times New Roman" w:cs="Times New Roman"/>
          <w:sz w:val="24"/>
          <w:szCs w:val="24"/>
        </w:rPr>
        <w:t>. It is severely restricted or delimited in interlocutory orders or judgments, except in the special instances listed</w:t>
      </w:r>
      <w:r w:rsidRPr="005A7EA4">
        <w:rPr>
          <w:rFonts w:ascii="Times New Roman" w:eastAsia="Calibri" w:hAnsi="Times New Roman" w:cs="Times New Roman"/>
          <w:sz w:val="24"/>
          <w:szCs w:val="24"/>
          <w:vertAlign w:val="superscript"/>
        </w:rPr>
        <w:footnoteReference w:id="4"/>
      </w:r>
      <w:r w:rsidRPr="005A7EA4">
        <w:rPr>
          <w:rFonts w:ascii="Times New Roman" w:eastAsia="Calibri" w:hAnsi="Times New Roman" w:cs="Times New Roman"/>
          <w:sz w:val="24"/>
          <w:szCs w:val="24"/>
        </w:rPr>
        <w:t xml:space="preserve">. The restriction or delimitation is that the leave of the judge who passed the judgment sought to be appealed is required, which, if refused, the leave of a judge of the Supreme Court may be sought. </w:t>
      </w:r>
    </w:p>
    <w:p w14:paraId="56EA0A1D" w14:textId="4F1B3731" w:rsidR="005A7EA4" w:rsidRPr="005A7EA4" w:rsidRDefault="005A7EA4" w:rsidP="005A7EA4">
      <w:pPr>
        <w:spacing w:after="200" w:line="360" w:lineRule="auto"/>
        <w:ind w:left="851"/>
        <w:jc w:val="both"/>
        <w:rPr>
          <w:rFonts w:ascii="Times New Roman" w:eastAsia="Calibri" w:hAnsi="Times New Roman" w:cs="Times New Roman"/>
          <w:sz w:val="24"/>
          <w:szCs w:val="24"/>
        </w:rPr>
      </w:pPr>
      <w:r w:rsidRPr="005A7EA4">
        <w:rPr>
          <w:rFonts w:ascii="Times New Roman" w:eastAsia="Calibri" w:hAnsi="Times New Roman" w:cs="Times New Roman"/>
          <w:i/>
          <w:iCs/>
          <w:sz w:val="24"/>
          <w:szCs w:val="24"/>
        </w:rPr>
        <w:t>[23]</w:t>
      </w:r>
      <w:r w:rsidRPr="005A7EA4">
        <w:rPr>
          <w:rFonts w:ascii="Times New Roman" w:eastAsia="Calibri" w:hAnsi="Times New Roman" w:cs="Times New Roman"/>
          <w:sz w:val="24"/>
          <w:szCs w:val="24"/>
        </w:rPr>
        <w:tab/>
        <w:t xml:space="preserve">On the scale of convenience, the court tries to balance the advantages of an immediate appeal on the interlocutory matter against the immediate prosecution of the action: see </w:t>
      </w:r>
      <w:r w:rsidRPr="005A7EA4">
        <w:rPr>
          <w:rFonts w:ascii="Times New Roman" w:eastAsia="Calibri" w:hAnsi="Times New Roman" w:cs="Times New Roman"/>
          <w:i/>
          <w:iCs/>
          <w:sz w:val="24"/>
          <w:szCs w:val="24"/>
        </w:rPr>
        <w:t>Pichanick</w:t>
      </w:r>
      <w:r w:rsidRPr="005A7EA4">
        <w:rPr>
          <w:rFonts w:ascii="Times New Roman" w:eastAsia="Calibri" w:hAnsi="Times New Roman" w:cs="Times New Roman"/>
          <w:sz w:val="24"/>
          <w:szCs w:val="24"/>
        </w:rPr>
        <w:t>,</w:t>
      </w:r>
      <w:r w:rsidRPr="005A7EA4">
        <w:rPr>
          <w:rFonts w:ascii="Times New Roman" w:eastAsia="Calibri" w:hAnsi="Times New Roman" w:cs="Times New Roman"/>
          <w:i/>
          <w:iCs/>
          <w:sz w:val="24"/>
          <w:szCs w:val="24"/>
        </w:rPr>
        <w:t xml:space="preserve"> supra</w:t>
      </w:r>
      <w:r w:rsidRPr="005A7EA4">
        <w:rPr>
          <w:rFonts w:ascii="Times New Roman" w:eastAsia="Calibri" w:hAnsi="Times New Roman" w:cs="Times New Roman"/>
          <w:sz w:val="24"/>
          <w:szCs w:val="24"/>
        </w:rPr>
        <w:t xml:space="preserve">, and </w:t>
      </w:r>
      <w:r w:rsidRPr="005A7EA4">
        <w:rPr>
          <w:rFonts w:ascii="Times New Roman" w:eastAsia="Calibri" w:hAnsi="Times New Roman" w:cs="Times New Roman"/>
          <w:i/>
          <w:sz w:val="24"/>
          <w:szCs w:val="24"/>
        </w:rPr>
        <w:t>RioZim Ltd</w:t>
      </w:r>
      <w:r w:rsidRPr="005A7EA4">
        <w:rPr>
          <w:rFonts w:ascii="Times New Roman" w:eastAsia="Calibri" w:hAnsi="Times New Roman" w:cs="Times New Roman"/>
          <w:sz w:val="24"/>
          <w:szCs w:val="24"/>
        </w:rPr>
        <w:t>,</w:t>
      </w:r>
      <w:r w:rsidRPr="005A7EA4">
        <w:rPr>
          <w:rFonts w:ascii="Times New Roman" w:eastAsia="Calibri" w:hAnsi="Times New Roman" w:cs="Times New Roman"/>
          <w:i/>
          <w:sz w:val="24"/>
          <w:szCs w:val="24"/>
        </w:rPr>
        <w:t xml:space="preserve"> supra</w:t>
      </w:r>
      <w:r w:rsidRPr="005A7EA4">
        <w:rPr>
          <w:rFonts w:ascii="Times New Roman" w:eastAsia="Calibri" w:hAnsi="Times New Roman" w:cs="Times New Roman"/>
          <w:sz w:val="24"/>
          <w:szCs w:val="24"/>
        </w:rPr>
        <w:t>.  Sometimes it is much faster and comparatively much cheaper for the trial to complete and for the loser, if he or she or it be so inclined, to take the matter on appeal, at the end of the trial, than to allow appeals piece meal. There is always the chance of an interlocutory appeal falling flat on its face and the matter coming back to the court for the resumption of the trial. To allow an appeal, metaphorically, ‘at every drop of a hat’, does not bode well for the administration of justice. Obviously, every case depends on its own merits.</w:t>
      </w:r>
      <w:r>
        <w:rPr>
          <w:rFonts w:ascii="Times New Roman" w:eastAsia="Calibri" w:hAnsi="Times New Roman" w:cs="Times New Roman"/>
          <w:sz w:val="24"/>
          <w:szCs w:val="24"/>
        </w:rPr>
        <w:t>”</w:t>
      </w:r>
      <w:r w:rsidRPr="005A7EA4">
        <w:rPr>
          <w:rFonts w:ascii="Times New Roman" w:eastAsia="Calibri" w:hAnsi="Times New Roman" w:cs="Times New Roman"/>
          <w:sz w:val="24"/>
          <w:szCs w:val="24"/>
        </w:rPr>
        <w:t xml:space="preserve"> </w:t>
      </w:r>
    </w:p>
    <w:p w14:paraId="6BC42CDE" w14:textId="472C6403" w:rsidR="00836EE1" w:rsidRDefault="00836EE1" w:rsidP="00FD0CBF">
      <w:pPr>
        <w:spacing w:line="360" w:lineRule="auto"/>
        <w:jc w:val="both"/>
        <w:rPr>
          <w:rFonts w:ascii="Times New Roman" w:eastAsia="Calibri" w:hAnsi="Times New Roman" w:cs="Times New Roman"/>
          <w:sz w:val="24"/>
          <w:szCs w:val="24"/>
          <w14:ligatures w14:val="standardContextual"/>
        </w:rPr>
      </w:pPr>
      <w:r w:rsidRPr="00836EE1">
        <w:rPr>
          <w:rFonts w:ascii="Times New Roman" w:eastAsia="Calibri" w:hAnsi="Times New Roman" w:cs="Times New Roman"/>
          <w14:ligatures w14:val="standardContextual"/>
        </w:rPr>
        <w:t>ANALYSIS OF THE ARGUMENTS</w:t>
      </w:r>
    </w:p>
    <w:p w14:paraId="0BD31205" w14:textId="0CC51572" w:rsidR="005A7EA4" w:rsidRDefault="00836EE1" w:rsidP="00FD0CBF">
      <w:pPr>
        <w:spacing w:line="360" w:lineRule="auto"/>
        <w:jc w:val="both"/>
        <w:rPr>
          <w:rFonts w:ascii="Times New Roman" w:eastAsia="Calibri" w:hAnsi="Times New Roman" w:cs="Times New Roman"/>
          <w:sz w:val="24"/>
          <w:szCs w:val="24"/>
          <w14:ligatures w14:val="standardContextual"/>
        </w:rPr>
      </w:pPr>
      <w:r>
        <w:rPr>
          <w:rFonts w:ascii="Times New Roman" w:eastAsia="Calibri" w:hAnsi="Times New Roman" w:cs="Times New Roman"/>
          <w:sz w:val="24"/>
          <w:szCs w:val="24"/>
          <w14:ligatures w14:val="standardContextual"/>
        </w:rPr>
        <w:lastRenderedPageBreak/>
        <w:t>[</w:t>
      </w:r>
      <w:r w:rsidR="000641AD">
        <w:rPr>
          <w:rFonts w:ascii="Times New Roman" w:eastAsia="Calibri" w:hAnsi="Times New Roman" w:cs="Times New Roman"/>
          <w:sz w:val="24"/>
          <w:szCs w:val="24"/>
          <w14:ligatures w14:val="standardContextual"/>
        </w:rPr>
        <w:t>20</w:t>
      </w:r>
      <w:r>
        <w:rPr>
          <w:rFonts w:ascii="Times New Roman" w:eastAsia="Calibri" w:hAnsi="Times New Roman" w:cs="Times New Roman"/>
          <w:sz w:val="24"/>
          <w:szCs w:val="24"/>
          <w14:ligatures w14:val="standardContextual"/>
        </w:rPr>
        <w:t xml:space="preserve">] </w:t>
      </w:r>
      <w:r w:rsidR="00406D75">
        <w:rPr>
          <w:rFonts w:ascii="Times New Roman" w:eastAsia="Calibri" w:hAnsi="Times New Roman" w:cs="Times New Roman"/>
          <w:sz w:val="24"/>
          <w:szCs w:val="24"/>
          <w14:ligatures w14:val="standardContextual"/>
        </w:rPr>
        <w:t xml:space="preserve">I will now address the arguments against the principles crafted in </w:t>
      </w:r>
      <w:r w:rsidR="00406D75" w:rsidRPr="00F04ECD">
        <w:rPr>
          <w:rFonts w:ascii="Times New Roman" w:eastAsia="Calibri" w:hAnsi="Times New Roman" w:cs="Times New Roman"/>
          <w:i/>
          <w:iCs/>
          <w:sz w:val="24"/>
          <w:szCs w:val="24"/>
          <w14:ligatures w14:val="standardContextual"/>
        </w:rPr>
        <w:t>Pichanick v Paterson</w:t>
      </w:r>
      <w:r w:rsidR="00406D75">
        <w:rPr>
          <w:rFonts w:ascii="Times New Roman" w:eastAsia="Calibri" w:hAnsi="Times New Roman" w:cs="Times New Roman"/>
          <w:sz w:val="24"/>
          <w:szCs w:val="24"/>
          <w14:ligatures w14:val="standardContextual"/>
        </w:rPr>
        <w:t xml:space="preserve"> and </w:t>
      </w:r>
      <w:r w:rsidR="00406D75" w:rsidRPr="00F04ECD">
        <w:rPr>
          <w:rFonts w:ascii="Times New Roman" w:eastAsia="Calibri" w:hAnsi="Times New Roman" w:cs="Times New Roman"/>
          <w:i/>
          <w:iCs/>
          <w:sz w:val="24"/>
          <w:szCs w:val="24"/>
          <w14:ligatures w14:val="standardContextual"/>
        </w:rPr>
        <w:t>Chikafu v Dodhill</w:t>
      </w:r>
      <w:r w:rsidR="00406D75">
        <w:rPr>
          <w:rFonts w:ascii="Times New Roman" w:eastAsia="Calibri" w:hAnsi="Times New Roman" w:cs="Times New Roman"/>
          <w:sz w:val="24"/>
          <w:szCs w:val="24"/>
          <w14:ligatures w14:val="standardContextual"/>
        </w:rPr>
        <w:t xml:space="preserve"> (supra); -</w:t>
      </w:r>
    </w:p>
    <w:p w14:paraId="438DEB92" w14:textId="113397FB" w:rsidR="00406D75" w:rsidRPr="00F04ECD" w:rsidRDefault="00406D75" w:rsidP="00406D75">
      <w:pPr>
        <w:spacing w:after="200" w:line="360" w:lineRule="auto"/>
        <w:jc w:val="both"/>
        <w:rPr>
          <w:rFonts w:ascii="Times New Roman" w:eastAsia="Calibri" w:hAnsi="Times New Roman" w:cs="Times New Roman"/>
          <w:i/>
          <w:iCs/>
          <w:sz w:val="24"/>
          <w:szCs w:val="24"/>
          <w:u w:val="single"/>
        </w:rPr>
      </w:pPr>
      <w:r w:rsidRPr="00F04ECD">
        <w:rPr>
          <w:rFonts w:ascii="Times New Roman" w:eastAsia="Calibri" w:hAnsi="Times New Roman" w:cs="Times New Roman"/>
          <w:i/>
          <w:iCs/>
          <w:sz w:val="24"/>
          <w:szCs w:val="24"/>
          <w:u w:val="single"/>
        </w:rPr>
        <w:t>that there are reasonable prospects of success</w:t>
      </w:r>
    </w:p>
    <w:p w14:paraId="4540BF5E" w14:textId="77777777" w:rsidR="0012385D" w:rsidRDefault="00406D75" w:rsidP="00406D75">
      <w:pPr>
        <w:spacing w:after="20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[21] The applicants` case amounts, as so often happens in such cases, to </w:t>
      </w:r>
      <w:r w:rsidR="004957E8">
        <w:rPr>
          <w:rFonts w:ascii="Times New Roman" w:eastAsia="Calibri" w:hAnsi="Times New Roman" w:cs="Times New Roman"/>
          <w:sz w:val="24"/>
          <w:szCs w:val="24"/>
        </w:rPr>
        <w:t>a</w:t>
      </w:r>
      <w:r>
        <w:rPr>
          <w:rFonts w:ascii="Times New Roman" w:eastAsia="Calibri" w:hAnsi="Times New Roman" w:cs="Times New Roman"/>
          <w:sz w:val="24"/>
          <w:szCs w:val="24"/>
        </w:rPr>
        <w:t xml:space="preserve"> forceful expression of a different opinion on the factual findings of the </w:t>
      </w:r>
      <w:r w:rsidR="00F04ECD">
        <w:rPr>
          <w:rFonts w:ascii="Times New Roman" w:eastAsia="Calibri" w:hAnsi="Times New Roman" w:cs="Times New Roman"/>
          <w:sz w:val="24"/>
          <w:szCs w:val="24"/>
        </w:rPr>
        <w:t xml:space="preserve">court. I found nothing further in Mr </w:t>
      </w:r>
      <w:r w:rsidR="00F04ECD" w:rsidRPr="0012385D">
        <w:rPr>
          <w:rFonts w:ascii="Times New Roman" w:eastAsia="Calibri" w:hAnsi="Times New Roman" w:cs="Times New Roman"/>
          <w:i/>
          <w:iCs/>
          <w:sz w:val="24"/>
          <w:szCs w:val="24"/>
        </w:rPr>
        <w:t>Mutero</w:t>
      </w:r>
      <w:r w:rsidR="00F04ECD">
        <w:rPr>
          <w:rFonts w:ascii="Times New Roman" w:eastAsia="Calibri" w:hAnsi="Times New Roman" w:cs="Times New Roman"/>
          <w:sz w:val="24"/>
          <w:szCs w:val="24"/>
        </w:rPr>
        <w:t xml:space="preserve">`s arguments pointing to what amounted to more than just that. The prospects he adverted to were merely as latent as any normal possibility that an appellate court may reach a different conclusion on a </w:t>
      </w:r>
      <w:r w:rsidR="0012385D">
        <w:rPr>
          <w:rFonts w:ascii="Times New Roman" w:eastAsia="Calibri" w:hAnsi="Times New Roman" w:cs="Times New Roman"/>
          <w:sz w:val="24"/>
          <w:szCs w:val="24"/>
        </w:rPr>
        <w:t xml:space="preserve">matter. </w:t>
      </w:r>
    </w:p>
    <w:p w14:paraId="435D6988" w14:textId="06E3493A" w:rsidR="00406D75" w:rsidRDefault="0012385D" w:rsidP="00406D75">
      <w:pPr>
        <w:spacing w:after="20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[22] Put differently, </w:t>
      </w:r>
      <w:r w:rsidR="0093767B">
        <w:rPr>
          <w:rFonts w:ascii="Times New Roman" w:eastAsia="Calibri" w:hAnsi="Times New Roman" w:cs="Times New Roman"/>
          <w:sz w:val="24"/>
          <w:szCs w:val="24"/>
        </w:rPr>
        <w:t xml:space="preserve">it was not contended that </w:t>
      </w:r>
      <w:r>
        <w:rPr>
          <w:rFonts w:ascii="Times New Roman" w:eastAsia="Calibri" w:hAnsi="Times New Roman" w:cs="Times New Roman"/>
          <w:sz w:val="24"/>
          <w:szCs w:val="24"/>
        </w:rPr>
        <w:t xml:space="preserve">the judgment in </w:t>
      </w:r>
      <w:r>
        <w:rPr>
          <w:rFonts w:ascii="Times New Roman" w:hAnsi="Times New Roman" w:cs="Times New Roman"/>
          <w:sz w:val="24"/>
          <w:szCs w:val="24"/>
        </w:rPr>
        <w:t xml:space="preserve">HH 231-25 was </w:t>
      </w:r>
      <w:r w:rsidR="0093767B">
        <w:rPr>
          <w:rFonts w:ascii="Times New Roman" w:hAnsi="Times New Roman" w:cs="Times New Roman"/>
          <w:sz w:val="24"/>
          <w:szCs w:val="24"/>
        </w:rPr>
        <w:t xml:space="preserve">so </w:t>
      </w:r>
      <w:r>
        <w:rPr>
          <w:rFonts w:ascii="Times New Roman" w:hAnsi="Times New Roman" w:cs="Times New Roman"/>
          <w:sz w:val="24"/>
          <w:szCs w:val="24"/>
        </w:rPr>
        <w:t xml:space="preserve">irredeemably flawed as to warrant the immediate interference by the appellate court. The prospects of success were </w:t>
      </w:r>
      <w:r>
        <w:rPr>
          <w:rFonts w:ascii="Times New Roman" w:eastAsia="Calibri" w:hAnsi="Times New Roman" w:cs="Times New Roman"/>
          <w:sz w:val="24"/>
          <w:szCs w:val="24"/>
        </w:rPr>
        <w:t>neither glaringly persuasive nor incontestably invincible. In any event, the</w:t>
      </w:r>
      <w:r w:rsidR="00F04ECD">
        <w:rPr>
          <w:rFonts w:ascii="Times New Roman" w:eastAsia="Calibri" w:hAnsi="Times New Roman" w:cs="Times New Roman"/>
          <w:sz w:val="24"/>
          <w:szCs w:val="24"/>
        </w:rPr>
        <w:t xml:space="preserve"> law, as amply stated in numerous decisions including </w:t>
      </w:r>
      <w:r w:rsidR="00F04ECD" w:rsidRPr="0012385D">
        <w:rPr>
          <w:rFonts w:ascii="Times New Roman" w:eastAsia="Calibri" w:hAnsi="Times New Roman" w:cs="Times New Roman"/>
          <w:i/>
          <w:iCs/>
          <w:sz w:val="24"/>
          <w:szCs w:val="24"/>
        </w:rPr>
        <w:t>Barros v Chimpondah</w:t>
      </w:r>
      <w:r w:rsidR="00F04ECD">
        <w:rPr>
          <w:rFonts w:ascii="Times New Roman" w:eastAsia="Calibri" w:hAnsi="Times New Roman" w:cs="Times New Roman"/>
          <w:sz w:val="24"/>
          <w:szCs w:val="24"/>
        </w:rPr>
        <w:t xml:space="preserve">, qualify the appellate court`s interference on the trial court’s findings on matters of fact. Moreso in the present matter where </w:t>
      </w:r>
      <w:r w:rsidR="00F04ECD" w:rsidRPr="0012385D">
        <w:rPr>
          <w:rFonts w:ascii="Times New Roman" w:eastAsia="Calibri" w:hAnsi="Times New Roman" w:cs="Times New Roman"/>
          <w:i/>
          <w:iCs/>
          <w:sz w:val="24"/>
          <w:szCs w:val="24"/>
        </w:rPr>
        <w:t>viva voce</w:t>
      </w:r>
      <w:r w:rsidR="00F04ECD">
        <w:rPr>
          <w:rFonts w:ascii="Times New Roman" w:eastAsia="Calibri" w:hAnsi="Times New Roman" w:cs="Times New Roman"/>
          <w:sz w:val="24"/>
          <w:szCs w:val="24"/>
        </w:rPr>
        <w:t xml:space="preserve"> testimony was received, examined and assessed by the court. Further, the judgment</w:t>
      </w:r>
      <w:r w:rsidR="00406D75">
        <w:rPr>
          <w:rFonts w:ascii="Times New Roman" w:eastAsia="Calibri" w:hAnsi="Times New Roman" w:cs="Times New Roman"/>
          <w:sz w:val="24"/>
          <w:szCs w:val="24"/>
        </w:rPr>
        <w:t xml:space="preserve"> recorded the following </w:t>
      </w:r>
      <w:r w:rsidR="004957E8">
        <w:rPr>
          <w:rFonts w:ascii="Times New Roman" w:eastAsia="Calibri" w:hAnsi="Times New Roman" w:cs="Times New Roman"/>
          <w:sz w:val="24"/>
          <w:szCs w:val="24"/>
        </w:rPr>
        <w:t>conclusion</w:t>
      </w:r>
      <w:r w:rsidR="00406D75">
        <w:rPr>
          <w:rFonts w:ascii="Times New Roman" w:eastAsia="Calibri" w:hAnsi="Times New Roman" w:cs="Times New Roman"/>
          <w:sz w:val="24"/>
          <w:szCs w:val="24"/>
        </w:rPr>
        <w:t>; -</w:t>
      </w:r>
    </w:p>
    <w:p w14:paraId="47693392" w14:textId="6F21228D" w:rsidR="00406D75" w:rsidRPr="00406D75" w:rsidRDefault="004957E8" w:rsidP="004957E8">
      <w:pPr>
        <w:autoSpaceDE w:val="0"/>
        <w:autoSpaceDN w:val="0"/>
        <w:adjustRightInd w:val="0"/>
        <w:spacing w:after="0" w:line="360" w:lineRule="auto"/>
        <w:ind w:left="851"/>
        <w:jc w:val="both"/>
        <w:rPr>
          <w:rFonts w:ascii="Times New Roman" w:eastAsia="Calibri" w:hAnsi="Times New Roman" w:cs="Times New Roman"/>
          <w:color w:val="000008"/>
          <w:sz w:val="24"/>
          <w:szCs w:val="24"/>
          <w14:ligatures w14:val="standardContextual"/>
        </w:rPr>
      </w:pPr>
      <w:r w:rsidRPr="004957E8">
        <w:rPr>
          <w:rFonts w:ascii="Times New Roman" w:eastAsia="Calibri" w:hAnsi="Times New Roman" w:cs="Times New Roman"/>
          <w:i/>
          <w:iCs/>
          <w:color w:val="000008"/>
          <w:sz w:val="24"/>
          <w:szCs w:val="24"/>
          <w14:ligatures w14:val="standardContextual"/>
        </w:rPr>
        <w:t>“</w:t>
      </w:r>
      <w:r w:rsidR="00406D75" w:rsidRPr="00406D75">
        <w:rPr>
          <w:rFonts w:ascii="Times New Roman" w:eastAsia="Calibri" w:hAnsi="Times New Roman" w:cs="Times New Roman"/>
          <w:i/>
          <w:iCs/>
          <w:color w:val="000008"/>
          <w:sz w:val="24"/>
          <w:szCs w:val="24"/>
          <w14:ligatures w14:val="standardContextual"/>
        </w:rPr>
        <w:t>[21]</w:t>
      </w:r>
      <w:r w:rsidR="00406D75" w:rsidRPr="00406D75">
        <w:rPr>
          <w:rFonts w:ascii="Times New Roman" w:eastAsia="Calibri" w:hAnsi="Times New Roman" w:cs="Times New Roman"/>
          <w:color w:val="000008"/>
          <w:sz w:val="24"/>
          <w:szCs w:val="24"/>
          <w14:ligatures w14:val="standardContextual"/>
        </w:rPr>
        <w:t xml:space="preserve"> This observation is after all but a truism. To my mind, having trimmed those issues which bait the court to delve into the merits, 2 potentially dispositive issues are generated by the special pleas.  First, the registration status of the plaintiff and its compliance with s 6 of the Microfinance Act. Second, whether plaintiff breached s 26 of the same Act by failing to avail the loan agreement to first defendant. </w:t>
      </w:r>
    </w:p>
    <w:p w14:paraId="29EC3704" w14:textId="77777777" w:rsidR="00406D75" w:rsidRPr="00406D75" w:rsidRDefault="00406D75" w:rsidP="004957E8">
      <w:pPr>
        <w:autoSpaceDE w:val="0"/>
        <w:autoSpaceDN w:val="0"/>
        <w:adjustRightInd w:val="0"/>
        <w:spacing w:after="0" w:line="360" w:lineRule="auto"/>
        <w:ind w:left="851"/>
        <w:jc w:val="both"/>
        <w:rPr>
          <w:rFonts w:ascii="Times New Roman" w:eastAsia="Calibri" w:hAnsi="Times New Roman" w:cs="Times New Roman"/>
          <w:color w:val="000008"/>
          <w:sz w:val="24"/>
          <w:szCs w:val="24"/>
          <w14:ligatures w14:val="standardContextual"/>
        </w:rPr>
      </w:pPr>
    </w:p>
    <w:p w14:paraId="66075929" w14:textId="77777777" w:rsidR="00406D75" w:rsidRPr="00406D75" w:rsidRDefault="00406D75" w:rsidP="004957E8">
      <w:pPr>
        <w:autoSpaceDE w:val="0"/>
        <w:autoSpaceDN w:val="0"/>
        <w:adjustRightInd w:val="0"/>
        <w:spacing w:after="0" w:line="360" w:lineRule="auto"/>
        <w:ind w:left="851"/>
        <w:jc w:val="both"/>
        <w:rPr>
          <w:rFonts w:ascii="Times New Roman" w:eastAsia="Calibri" w:hAnsi="Times New Roman" w:cs="Times New Roman"/>
          <w:color w:val="000008"/>
          <w:sz w:val="24"/>
          <w:szCs w:val="24"/>
          <w14:ligatures w14:val="standardContextual"/>
        </w:rPr>
      </w:pPr>
      <w:r w:rsidRPr="00406D75">
        <w:rPr>
          <w:rFonts w:ascii="Times New Roman" w:eastAsia="Calibri" w:hAnsi="Times New Roman" w:cs="Times New Roman"/>
          <w:i/>
          <w:iCs/>
          <w:color w:val="000008"/>
          <w:sz w:val="24"/>
          <w:szCs w:val="24"/>
          <w14:ligatures w14:val="standardContextual"/>
        </w:rPr>
        <w:t>[22]</w:t>
      </w:r>
      <w:r w:rsidRPr="00406D75">
        <w:rPr>
          <w:rFonts w:ascii="Times New Roman" w:eastAsia="Calibri" w:hAnsi="Times New Roman" w:cs="Times New Roman"/>
          <w:color w:val="000008"/>
          <w:sz w:val="24"/>
          <w:szCs w:val="24"/>
          <w14:ligatures w14:val="standardContextual"/>
        </w:rPr>
        <w:t xml:space="preserve"> The rest of the issues regarding duress, misrepresentation and currency applicable either (i) draw the discussion into the merits, or (ii) can be addressed via the 2 main issues. And with specific reference to the currency issue, this was neither framed with certainty, nor defined with clarity in heads of argument and closing submissions filed on behalf of the defendants. Nonetheless, I will return to deal with this point morefully before concluding. </w:t>
      </w:r>
    </w:p>
    <w:p w14:paraId="191BA007" w14:textId="5F4D5910" w:rsidR="00406D75" w:rsidRDefault="00406D75" w:rsidP="00406D75">
      <w:pPr>
        <w:spacing w:after="200" w:line="360" w:lineRule="auto"/>
        <w:jc w:val="both"/>
        <w:rPr>
          <w:rFonts w:ascii="Times New Roman" w:eastAsia="Calibri" w:hAnsi="Times New Roman" w:cs="Times New Roman"/>
          <w:sz w:val="24"/>
          <w:szCs w:val="24"/>
        </w:rPr>
      </w:pPr>
    </w:p>
    <w:p w14:paraId="1D725AAD" w14:textId="182871E6" w:rsidR="00F04ECD" w:rsidRPr="00F04ECD" w:rsidRDefault="00F04ECD" w:rsidP="00F04ECD">
      <w:pPr>
        <w:autoSpaceDE w:val="0"/>
        <w:autoSpaceDN w:val="0"/>
        <w:adjustRightInd w:val="0"/>
        <w:spacing w:after="0" w:line="360" w:lineRule="auto"/>
        <w:ind w:left="851"/>
        <w:jc w:val="both"/>
        <w:rPr>
          <w:rFonts w:ascii="Times New Roman" w:eastAsia="Calibri" w:hAnsi="Times New Roman" w:cs="Times New Roman"/>
          <w:color w:val="000008"/>
          <w:sz w:val="24"/>
          <w:szCs w:val="24"/>
          <w14:ligatures w14:val="standardContextual"/>
        </w:rPr>
      </w:pPr>
      <w:r w:rsidRPr="00F04ECD">
        <w:rPr>
          <w:rFonts w:ascii="Times New Roman" w:eastAsia="Calibri" w:hAnsi="Times New Roman" w:cs="Times New Roman"/>
          <w:i/>
          <w:iCs/>
          <w:color w:val="000008"/>
          <w:sz w:val="24"/>
          <w:szCs w:val="24"/>
          <w14:ligatures w14:val="standardContextual"/>
        </w:rPr>
        <w:lastRenderedPageBreak/>
        <w:t xml:space="preserve">[31] </w:t>
      </w:r>
      <w:r w:rsidRPr="00F04ECD">
        <w:rPr>
          <w:rFonts w:ascii="Times New Roman" w:eastAsia="Calibri" w:hAnsi="Times New Roman" w:cs="Times New Roman"/>
          <w:color w:val="000008"/>
          <w:sz w:val="24"/>
          <w:szCs w:val="24"/>
          <w14:ligatures w14:val="standardContextual"/>
        </w:rPr>
        <w:t xml:space="preserve">In </w:t>
      </w:r>
      <w:r w:rsidRPr="00F04ECD">
        <w:rPr>
          <w:rFonts w:ascii="Times New Roman" w:eastAsia="Calibri" w:hAnsi="Times New Roman" w:cs="Times New Roman"/>
          <w:i/>
          <w:iCs/>
          <w:color w:val="000008"/>
          <w:sz w:val="24"/>
          <w:szCs w:val="24"/>
          <w14:ligatures w14:val="standardContextual"/>
        </w:rPr>
        <w:t>Nan Brooker v Mudhanda &amp; Ors</w:t>
      </w:r>
      <w:r w:rsidRPr="00F04ECD">
        <w:rPr>
          <w:rFonts w:ascii="Times New Roman" w:eastAsia="Calibri" w:hAnsi="Times New Roman" w:cs="Times New Roman"/>
          <w:color w:val="000008"/>
          <w:sz w:val="24"/>
          <w:szCs w:val="24"/>
          <w14:ligatures w14:val="standardContextual"/>
        </w:rPr>
        <w:t xml:space="preserve"> SC 5-18, the Supreme Court held that the defendant bears an evidentiary burden to prove a special plea. I found nothing in the testimony of Dr Kilpin that came close toward proving that (a) plaintiff operated under the defect of non-registration, (b) that it failed to explain and give a copy of the agreement to first defendant in terms of s 26 of the Microfinance Act and (c) that </w:t>
      </w:r>
      <w:r w:rsidRPr="00F04ECD">
        <w:rPr>
          <w:rFonts w:ascii="Times New Roman" w:eastAsia="Calibri" w:hAnsi="Times New Roman" w:cs="Times New Roman"/>
          <w:color w:val="000008"/>
          <w14:ligatures w14:val="standardContextual"/>
        </w:rPr>
        <w:t xml:space="preserve">USD </w:t>
      </w:r>
      <w:r w:rsidRPr="00F04ECD">
        <w:rPr>
          <w:rFonts w:ascii="Times New Roman" w:eastAsia="Calibri" w:hAnsi="Times New Roman" w:cs="Times New Roman"/>
          <w:color w:val="000008"/>
          <w:sz w:val="24"/>
          <w:szCs w:val="24"/>
          <w14:ligatures w14:val="standardContextual"/>
        </w:rPr>
        <w:t>loan repayments were out of scope under the loan agreements.</w:t>
      </w:r>
      <w:r>
        <w:rPr>
          <w:rFonts w:ascii="Times New Roman" w:eastAsia="Calibri" w:hAnsi="Times New Roman" w:cs="Times New Roman"/>
          <w:color w:val="000008"/>
          <w:sz w:val="24"/>
          <w:szCs w:val="24"/>
          <w14:ligatures w14:val="standardContextual"/>
        </w:rPr>
        <w:t>”</w:t>
      </w:r>
    </w:p>
    <w:p w14:paraId="732C932C" w14:textId="77777777" w:rsidR="00216AE2" w:rsidRDefault="00216AE2" w:rsidP="00216AE2">
      <w:pPr>
        <w:pStyle w:val="parties"/>
        <w:shd w:val="clear" w:color="auto" w:fill="FFFFFF"/>
        <w:spacing w:before="0" w:beforeAutospacing="0" w:after="0" w:afterAutospacing="0"/>
        <w:rPr>
          <w:rFonts w:ascii="Segoe UI" w:hAnsi="Segoe UI" w:cs="Segoe UI"/>
          <w:color w:val="000000"/>
          <w:sz w:val="22"/>
          <w:szCs w:val="22"/>
          <w:highlight w:val="cyan"/>
          <w:shd w:val="clear" w:color="auto" w:fill="FFFFFF"/>
        </w:rPr>
      </w:pPr>
    </w:p>
    <w:p w14:paraId="4C2EB931" w14:textId="3A97278D" w:rsidR="00216AE2" w:rsidRPr="00F8742D" w:rsidRDefault="00216AE2" w:rsidP="00F8742D">
      <w:pPr>
        <w:autoSpaceDE w:val="0"/>
        <w:autoSpaceDN w:val="0"/>
        <w:adjustRightInd w:val="0"/>
        <w:spacing w:after="0" w:line="360" w:lineRule="auto"/>
        <w:jc w:val="both"/>
        <w:rPr>
          <w:rFonts w:ascii="Times New Roman" w:hAnsi="Times New Roman" w:cs="Times New Roman"/>
          <w:sz w:val="24"/>
          <w:szCs w:val="24"/>
        </w:rPr>
      </w:pPr>
      <w:r w:rsidRPr="00F8742D">
        <w:rPr>
          <w:rFonts w:ascii="Times New Roman" w:hAnsi="Times New Roman" w:cs="Times New Roman"/>
          <w:color w:val="000000"/>
          <w:sz w:val="24"/>
          <w:szCs w:val="24"/>
          <w:shd w:val="clear" w:color="auto" w:fill="FFFFFF"/>
        </w:rPr>
        <w:t xml:space="preserve">[23] On the question of proof of a licence, Mr </w:t>
      </w:r>
      <w:r w:rsidRPr="00F8742D">
        <w:rPr>
          <w:rFonts w:ascii="Times New Roman" w:hAnsi="Times New Roman" w:cs="Times New Roman"/>
          <w:i/>
          <w:iCs/>
          <w:color w:val="000000"/>
          <w:sz w:val="24"/>
          <w:szCs w:val="24"/>
          <w:shd w:val="clear" w:color="auto" w:fill="FFFFFF"/>
        </w:rPr>
        <w:t>Mutero</w:t>
      </w:r>
      <w:r w:rsidRPr="00F8742D">
        <w:rPr>
          <w:rFonts w:ascii="Times New Roman" w:hAnsi="Times New Roman" w:cs="Times New Roman"/>
          <w:color w:val="000000"/>
          <w:sz w:val="24"/>
          <w:szCs w:val="24"/>
          <w:shd w:val="clear" w:color="auto" w:fill="FFFFFF"/>
        </w:rPr>
        <w:t xml:space="preserve">`s argument suggests that counsel focussed on form rather than substance in criticising the court`s observations obiter in paragraph [ 31] of the judgment. The material conclusions were made in paragraph [34] of HH 231-25. The approach of classifying an averment as positive or negative was qualified in the appeal decision of </w:t>
      </w:r>
      <w:r w:rsidRPr="00F8742D">
        <w:rPr>
          <w:rFonts w:ascii="Times New Roman" w:hAnsi="Times New Roman" w:cs="Times New Roman"/>
          <w:i/>
          <w:iCs/>
          <w:color w:val="000000"/>
          <w:sz w:val="24"/>
          <w:szCs w:val="24"/>
          <w:shd w:val="clear" w:color="auto" w:fill="FFFFFF"/>
        </w:rPr>
        <w:t xml:space="preserve">Kasukuwere v Mangwana &amp; 2 </w:t>
      </w:r>
      <w:r w:rsidR="00F8742D" w:rsidRPr="00F8742D">
        <w:rPr>
          <w:rFonts w:ascii="Times New Roman" w:hAnsi="Times New Roman" w:cs="Times New Roman"/>
          <w:i/>
          <w:iCs/>
          <w:color w:val="000000"/>
          <w:sz w:val="24"/>
          <w:szCs w:val="24"/>
          <w:shd w:val="clear" w:color="auto" w:fill="FFFFFF"/>
        </w:rPr>
        <w:t>Ors</w:t>
      </w:r>
      <w:r w:rsidR="00F8742D" w:rsidRPr="00F8742D">
        <w:rPr>
          <w:rFonts w:ascii="Times New Roman" w:hAnsi="Times New Roman" w:cs="Times New Roman"/>
          <w:color w:val="000000"/>
          <w:sz w:val="24"/>
          <w:szCs w:val="24"/>
          <w:shd w:val="clear" w:color="auto" w:fill="FFFFFF"/>
        </w:rPr>
        <w:t xml:space="preserve"> SC</w:t>
      </w:r>
      <w:r w:rsidRPr="00F8742D">
        <w:rPr>
          <w:rFonts w:ascii="Times New Roman" w:hAnsi="Times New Roman" w:cs="Times New Roman"/>
          <w:color w:val="000000"/>
          <w:sz w:val="24"/>
          <w:szCs w:val="24"/>
          <w:shd w:val="clear" w:color="auto" w:fill="FFFFFF"/>
        </w:rPr>
        <w:t xml:space="preserve"> </w:t>
      </w:r>
      <w:r w:rsidR="00F8742D" w:rsidRPr="00F8742D">
        <w:rPr>
          <w:rFonts w:ascii="Times New Roman" w:hAnsi="Times New Roman" w:cs="Times New Roman"/>
          <w:color w:val="000000"/>
          <w:sz w:val="24"/>
          <w:szCs w:val="24"/>
          <w:shd w:val="clear" w:color="auto" w:fill="FFFFFF"/>
        </w:rPr>
        <w:t xml:space="preserve"> 78-23 (a matter in which Mr </w:t>
      </w:r>
      <w:r w:rsidR="00F8742D" w:rsidRPr="00F8742D">
        <w:rPr>
          <w:rFonts w:ascii="Times New Roman" w:hAnsi="Times New Roman" w:cs="Times New Roman"/>
          <w:i/>
          <w:iCs/>
          <w:color w:val="000000"/>
          <w:sz w:val="24"/>
          <w:szCs w:val="24"/>
          <w:shd w:val="clear" w:color="auto" w:fill="FFFFFF"/>
        </w:rPr>
        <w:t xml:space="preserve">Mutero </w:t>
      </w:r>
      <w:r w:rsidR="00F8742D" w:rsidRPr="00F8742D">
        <w:rPr>
          <w:rFonts w:ascii="Times New Roman" w:hAnsi="Times New Roman" w:cs="Times New Roman"/>
          <w:color w:val="000000"/>
          <w:sz w:val="24"/>
          <w:szCs w:val="24"/>
          <w:shd w:val="clear" w:color="auto" w:fill="FFFFFF"/>
        </w:rPr>
        <w:t xml:space="preserve">appeared). GUVAVA JA cited with approval, at paragraph [54], the famous dictum of GUBBAY CJ in </w:t>
      </w:r>
      <w:r w:rsidR="00F8742D" w:rsidRPr="00F8742D">
        <w:rPr>
          <w:rFonts w:ascii="Times New Roman" w:hAnsi="Times New Roman" w:cs="Times New Roman"/>
          <w:i/>
          <w:iCs/>
          <w:sz w:val="24"/>
          <w:szCs w:val="24"/>
        </w:rPr>
        <w:t xml:space="preserve">Musanhi </w:t>
      </w:r>
      <w:r w:rsidR="00F8742D" w:rsidRPr="00F8742D">
        <w:rPr>
          <w:rFonts w:ascii="Times New Roman" w:hAnsi="Times New Roman" w:cs="Times New Roman"/>
          <w:sz w:val="24"/>
          <w:szCs w:val="24"/>
        </w:rPr>
        <w:t xml:space="preserve">v </w:t>
      </w:r>
      <w:r w:rsidR="00F8742D" w:rsidRPr="00F8742D">
        <w:rPr>
          <w:rFonts w:ascii="Times New Roman" w:hAnsi="Times New Roman" w:cs="Times New Roman"/>
          <w:i/>
          <w:iCs/>
          <w:sz w:val="24"/>
          <w:szCs w:val="24"/>
        </w:rPr>
        <w:t xml:space="preserve">Mt Darwin Rushinga Co-operative Union </w:t>
      </w:r>
      <w:r w:rsidR="00F8742D" w:rsidRPr="00F8742D">
        <w:rPr>
          <w:rFonts w:ascii="Times New Roman" w:hAnsi="Times New Roman" w:cs="Times New Roman"/>
          <w:sz w:val="24"/>
          <w:szCs w:val="24"/>
        </w:rPr>
        <w:t>1997 (1) ZLR 120 at page 123 that; -</w:t>
      </w:r>
    </w:p>
    <w:p w14:paraId="74E178D4" w14:textId="77777777" w:rsidR="00F8742D" w:rsidRPr="00F8742D" w:rsidRDefault="00F8742D" w:rsidP="00F8742D">
      <w:pPr>
        <w:autoSpaceDE w:val="0"/>
        <w:autoSpaceDN w:val="0"/>
        <w:adjustRightInd w:val="0"/>
        <w:spacing w:after="0" w:line="360" w:lineRule="auto"/>
        <w:jc w:val="both"/>
        <w:rPr>
          <w:rFonts w:ascii="Times New Roman" w:hAnsi="Times New Roman" w:cs="Times New Roman"/>
          <w:sz w:val="24"/>
          <w:szCs w:val="24"/>
        </w:rPr>
      </w:pPr>
    </w:p>
    <w:p w14:paraId="48A9205E" w14:textId="7608A879" w:rsidR="00216AE2" w:rsidRDefault="00F8742D" w:rsidP="00F8742D">
      <w:pPr>
        <w:autoSpaceDE w:val="0"/>
        <w:autoSpaceDN w:val="0"/>
        <w:adjustRightInd w:val="0"/>
        <w:spacing w:after="0" w:line="360" w:lineRule="auto"/>
        <w:ind w:left="851"/>
        <w:jc w:val="both"/>
        <w:rPr>
          <w:rFonts w:ascii="Segoe UI" w:hAnsi="Segoe UI" w:cs="Segoe UI"/>
          <w:color w:val="000000"/>
          <w:highlight w:val="cyan"/>
          <w:shd w:val="clear" w:color="auto" w:fill="FFFFFF"/>
        </w:rPr>
      </w:pPr>
      <w:r w:rsidRPr="00F8742D">
        <w:rPr>
          <w:rFonts w:ascii="Times New Roman" w:hAnsi="Times New Roman" w:cs="Times New Roman"/>
          <w:sz w:val="24"/>
          <w:szCs w:val="24"/>
        </w:rPr>
        <w:t xml:space="preserve">“The learned Judge President took the view that as the respondent could not be required to prove a negative, A that is, non-delivery, the onus was on the appellant to prove the deliveries on a preponderance of probabilities. This he had failed to do. Counsel for the appellant argued before this court that it is not a rule of our law that the onus of proof cannot lie upon the party who makes a negative allegation. It still has to be determined who can be said to assert and who to deny. I agree with that submission. </w:t>
      </w:r>
      <w:r w:rsidRPr="00F8742D">
        <w:rPr>
          <w:rFonts w:ascii="Times New Roman" w:hAnsi="Times New Roman" w:cs="Times New Roman"/>
          <w:sz w:val="24"/>
          <w:szCs w:val="24"/>
          <w:u w:val="single"/>
        </w:rPr>
        <w:t>It is not very helpful, in my opinion, to ask whether a party is making a positive or negative allegation. This is because by adroit linguistic manipulation a positive averment can always be couched into a negative statement</w:t>
      </w:r>
      <w:r w:rsidRPr="00F8742D">
        <w:rPr>
          <w:rFonts w:ascii="Times New Roman" w:hAnsi="Times New Roman" w:cs="Times New Roman"/>
          <w:sz w:val="24"/>
          <w:szCs w:val="24"/>
        </w:rPr>
        <w:t>.”</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[Underlined for emphasis]</w:t>
      </w:r>
    </w:p>
    <w:p w14:paraId="3EA01A68" w14:textId="77777777" w:rsidR="00216AE2" w:rsidRDefault="00216AE2" w:rsidP="008A276B">
      <w:pPr>
        <w:pStyle w:val="parties"/>
        <w:shd w:val="clear" w:color="auto" w:fill="FFFFFF"/>
        <w:spacing w:before="0" w:beforeAutospacing="0" w:after="0" w:afterAutospacing="0"/>
        <w:jc w:val="center"/>
        <w:rPr>
          <w:rFonts w:ascii="Segoe UI" w:hAnsi="Segoe UI" w:cs="Segoe UI"/>
          <w:color w:val="000000"/>
          <w:sz w:val="22"/>
          <w:szCs w:val="22"/>
          <w:highlight w:val="cyan"/>
          <w:shd w:val="clear" w:color="auto" w:fill="FFFFFF"/>
        </w:rPr>
      </w:pPr>
    </w:p>
    <w:p w14:paraId="727B0AE7" w14:textId="1CBA4E9B" w:rsidR="00F04ECD" w:rsidRPr="00F8742D" w:rsidRDefault="00F04ECD" w:rsidP="00406D75">
      <w:pPr>
        <w:spacing w:after="200" w:line="360" w:lineRule="auto"/>
        <w:jc w:val="both"/>
        <w:rPr>
          <w:rFonts w:ascii="Times New Roman" w:eastAsia="Calibri" w:hAnsi="Times New Roman" w:cs="Times New Roman"/>
          <w:i/>
          <w:iCs/>
          <w:sz w:val="24"/>
          <w:szCs w:val="24"/>
          <w:u w:val="single"/>
        </w:rPr>
      </w:pPr>
      <w:r w:rsidRPr="00F8742D">
        <w:rPr>
          <w:rFonts w:ascii="Times New Roman" w:eastAsia="Calibri" w:hAnsi="Times New Roman" w:cs="Times New Roman"/>
          <w:i/>
          <w:iCs/>
          <w:sz w:val="24"/>
          <w:szCs w:val="24"/>
          <w:u w:val="single"/>
        </w:rPr>
        <w:t>Points (ii) to (v) in paragraph [18] above.</w:t>
      </w:r>
    </w:p>
    <w:p w14:paraId="5F13AC1C" w14:textId="3151D544" w:rsidR="00BA582C" w:rsidRDefault="0012385D" w:rsidP="00406D75">
      <w:pPr>
        <w:spacing w:after="20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CC5C27">
        <w:rPr>
          <w:rFonts w:ascii="Times New Roman" w:eastAsia="Calibri" w:hAnsi="Times New Roman" w:cs="Times New Roman"/>
          <w:sz w:val="24"/>
          <w:szCs w:val="24"/>
        </w:rPr>
        <w:t>4</w:t>
      </w:r>
      <w:r>
        <w:rPr>
          <w:rFonts w:ascii="Times New Roman" w:eastAsia="Calibri" w:hAnsi="Times New Roman" w:cs="Times New Roman"/>
          <w:sz w:val="24"/>
          <w:szCs w:val="24"/>
        </w:rPr>
        <w:t xml:space="preserve">] On the balance of convenience, my view is that it will profit the administration of justice as well as the interests of both sides to dispute if the trial is allowed to </w:t>
      </w:r>
      <w:r w:rsidR="00BA582C">
        <w:rPr>
          <w:rFonts w:ascii="Times New Roman" w:eastAsia="Calibri" w:hAnsi="Times New Roman" w:cs="Times New Roman"/>
          <w:sz w:val="24"/>
          <w:szCs w:val="24"/>
        </w:rPr>
        <w:t>proceed. I</w:t>
      </w:r>
      <w:r>
        <w:rPr>
          <w:rFonts w:ascii="Times New Roman" w:eastAsia="Calibri" w:hAnsi="Times New Roman" w:cs="Times New Roman"/>
          <w:sz w:val="24"/>
          <w:szCs w:val="24"/>
        </w:rPr>
        <w:t xml:space="preserve"> have taken </w:t>
      </w:r>
      <w:r>
        <w:rPr>
          <w:rFonts w:ascii="Times New Roman" w:eastAsia="Calibri" w:hAnsi="Times New Roman" w:cs="Times New Roman"/>
          <w:sz w:val="24"/>
          <w:szCs w:val="24"/>
        </w:rPr>
        <w:lastRenderedPageBreak/>
        <w:t xml:space="preserve">into account the issues before the court, the contestations, the nature of evidence likely to be led, </w:t>
      </w:r>
      <w:r w:rsidR="00BA582C">
        <w:rPr>
          <w:rFonts w:ascii="Times New Roman" w:eastAsia="Calibri" w:hAnsi="Times New Roman" w:cs="Times New Roman"/>
          <w:sz w:val="24"/>
          <w:szCs w:val="24"/>
        </w:rPr>
        <w:t xml:space="preserve">and </w:t>
      </w:r>
      <w:r>
        <w:rPr>
          <w:rFonts w:ascii="Times New Roman" w:eastAsia="Calibri" w:hAnsi="Times New Roman" w:cs="Times New Roman"/>
          <w:sz w:val="24"/>
          <w:szCs w:val="24"/>
        </w:rPr>
        <w:t>the number of witnesses</w:t>
      </w:r>
      <w:r w:rsidR="00BA582C">
        <w:rPr>
          <w:rFonts w:ascii="Times New Roman" w:eastAsia="Calibri" w:hAnsi="Times New Roman" w:cs="Times New Roman"/>
          <w:sz w:val="24"/>
          <w:szCs w:val="24"/>
        </w:rPr>
        <w:t xml:space="preserve"> to be called. The trial may be concluded in a day or two and judgment rendered, all matters being equal, within a month or two thereafter.</w:t>
      </w:r>
    </w:p>
    <w:p w14:paraId="5F86CF41" w14:textId="7350339A" w:rsidR="00F40158" w:rsidRDefault="00BA582C" w:rsidP="00406D75">
      <w:pPr>
        <w:spacing w:after="20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CC5C27">
        <w:rPr>
          <w:rFonts w:ascii="Times New Roman" w:eastAsia="Calibri" w:hAnsi="Times New Roman" w:cs="Times New Roman"/>
          <w:sz w:val="24"/>
          <w:szCs w:val="24"/>
        </w:rPr>
        <w:t>5</w:t>
      </w:r>
      <w:r>
        <w:rPr>
          <w:rFonts w:ascii="Times New Roman" w:eastAsia="Calibri" w:hAnsi="Times New Roman" w:cs="Times New Roman"/>
          <w:sz w:val="24"/>
          <w:szCs w:val="24"/>
        </w:rPr>
        <w:t xml:space="preserve">] The trial is neither afflicted nor impeded by a stubborn point of law that </w:t>
      </w:r>
      <w:r w:rsidR="00F40158">
        <w:rPr>
          <w:rFonts w:ascii="Times New Roman" w:eastAsia="Calibri" w:hAnsi="Times New Roman" w:cs="Times New Roman"/>
          <w:sz w:val="24"/>
          <w:szCs w:val="24"/>
        </w:rPr>
        <w:t xml:space="preserve">requires the </w:t>
      </w:r>
      <w:r>
        <w:rPr>
          <w:rFonts w:ascii="Times New Roman" w:eastAsia="Calibri" w:hAnsi="Times New Roman" w:cs="Times New Roman"/>
          <w:sz w:val="24"/>
          <w:szCs w:val="24"/>
        </w:rPr>
        <w:t xml:space="preserve">appellate </w:t>
      </w:r>
      <w:r w:rsidR="00F40158">
        <w:rPr>
          <w:rFonts w:ascii="Times New Roman" w:eastAsia="Calibri" w:hAnsi="Times New Roman" w:cs="Times New Roman"/>
          <w:sz w:val="24"/>
          <w:szCs w:val="24"/>
        </w:rPr>
        <w:t xml:space="preserve">court`s immediate rescue. </w:t>
      </w:r>
      <w:r>
        <w:rPr>
          <w:rFonts w:ascii="Times New Roman" w:eastAsia="Calibri" w:hAnsi="Times New Roman" w:cs="Times New Roman"/>
          <w:sz w:val="24"/>
          <w:szCs w:val="24"/>
        </w:rPr>
        <w:t>The matter is important to both parties and the amount in question-at US$</w:t>
      </w:r>
      <w:r w:rsidR="00CC5C27">
        <w:rPr>
          <w:rFonts w:ascii="Times New Roman" w:eastAsia="Calibri" w:hAnsi="Times New Roman" w:cs="Times New Roman"/>
          <w:sz w:val="24"/>
          <w:szCs w:val="24"/>
        </w:rPr>
        <w:t>60</w:t>
      </w:r>
      <w:r>
        <w:rPr>
          <w:rFonts w:ascii="Times New Roman" w:eastAsia="Calibri" w:hAnsi="Times New Roman" w:cs="Times New Roman"/>
          <w:sz w:val="24"/>
          <w:szCs w:val="24"/>
        </w:rPr>
        <w:t>,000 is not trifling. Naturally, the matter is indeed important to both parties-the lender intends to collect whilst the borrowers seek to defend their estate from such obligation.</w:t>
      </w:r>
    </w:p>
    <w:p w14:paraId="2A92752A" w14:textId="1CD0A90E" w:rsidR="00F04ECD" w:rsidRPr="00406D75" w:rsidRDefault="00F40158" w:rsidP="00406D75">
      <w:pPr>
        <w:spacing w:after="20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CC5C27">
        <w:rPr>
          <w:rFonts w:ascii="Times New Roman" w:eastAsia="Calibri" w:hAnsi="Times New Roman" w:cs="Times New Roman"/>
          <w:sz w:val="24"/>
          <w:szCs w:val="24"/>
        </w:rPr>
        <w:t>6</w:t>
      </w:r>
      <w:r>
        <w:rPr>
          <w:rFonts w:ascii="Times New Roman" w:eastAsia="Calibri" w:hAnsi="Times New Roman" w:cs="Times New Roman"/>
          <w:sz w:val="24"/>
          <w:szCs w:val="24"/>
        </w:rPr>
        <w:t>] Further</w:t>
      </w:r>
      <w:r w:rsidR="00BA582C">
        <w:rPr>
          <w:rFonts w:ascii="Times New Roman" w:eastAsia="Calibri" w:hAnsi="Times New Roman" w:cs="Times New Roman"/>
          <w:sz w:val="24"/>
          <w:szCs w:val="24"/>
        </w:rPr>
        <w:t xml:space="preserve">, herein, it is not in dispute that the lender advanced funds under a 2021-2022 transaction. The matter remains unresolved and the account therefore open in respondent`s books. </w:t>
      </w:r>
      <w:r w:rsidR="0012385D">
        <w:rPr>
          <w:rFonts w:ascii="Times New Roman" w:eastAsia="Calibri" w:hAnsi="Times New Roman" w:cs="Times New Roman"/>
          <w:sz w:val="24"/>
          <w:szCs w:val="24"/>
        </w:rPr>
        <w:t xml:space="preserve"> </w:t>
      </w:r>
      <w:r w:rsidR="00BA582C">
        <w:rPr>
          <w:rFonts w:ascii="Times New Roman" w:eastAsia="Calibri" w:hAnsi="Times New Roman" w:cs="Times New Roman"/>
          <w:sz w:val="24"/>
          <w:szCs w:val="24"/>
        </w:rPr>
        <w:t xml:space="preserve">On the other hand, notwithstanding the obvious rights to appeal discussed above, the protest raised by Mr </w:t>
      </w:r>
      <w:r w:rsidR="00BA582C" w:rsidRPr="00CC5C27">
        <w:rPr>
          <w:rFonts w:ascii="Times New Roman" w:eastAsia="Calibri" w:hAnsi="Times New Roman" w:cs="Times New Roman"/>
          <w:i/>
          <w:iCs/>
          <w:sz w:val="24"/>
          <w:szCs w:val="24"/>
        </w:rPr>
        <w:t>Banda</w:t>
      </w:r>
      <w:r w:rsidR="00BA582C">
        <w:rPr>
          <w:rFonts w:ascii="Times New Roman" w:eastAsia="Calibri" w:hAnsi="Times New Roman" w:cs="Times New Roman"/>
          <w:sz w:val="24"/>
          <w:szCs w:val="24"/>
        </w:rPr>
        <w:t xml:space="preserve"> that the applicants might be sheltering from obligation requires a keener ear. It is a speculation that can be easily addressed by resolving the dispute on the merits.</w:t>
      </w:r>
    </w:p>
    <w:p w14:paraId="678A8701" w14:textId="1EFC0B95" w:rsidR="00406D75" w:rsidRPr="00486160" w:rsidRDefault="00F40158" w:rsidP="00FD0CBF">
      <w:pPr>
        <w:spacing w:line="360" w:lineRule="auto"/>
        <w:jc w:val="both"/>
        <w:rPr>
          <w:rFonts w:ascii="Times New Roman" w:eastAsia="Calibri" w:hAnsi="Times New Roman" w:cs="Times New Roman"/>
          <w14:ligatures w14:val="standardContextual"/>
        </w:rPr>
      </w:pPr>
      <w:r w:rsidRPr="00486160">
        <w:rPr>
          <w:rFonts w:ascii="Times New Roman" w:eastAsia="Calibri" w:hAnsi="Times New Roman" w:cs="Times New Roman"/>
          <w14:ligatures w14:val="standardContextual"/>
        </w:rPr>
        <w:t>DISPOSITION</w:t>
      </w:r>
    </w:p>
    <w:p w14:paraId="70C307A6" w14:textId="6A57D9F3" w:rsidR="00F40158" w:rsidRDefault="00F40158" w:rsidP="00FD0CBF">
      <w:pPr>
        <w:spacing w:line="360" w:lineRule="auto"/>
        <w:jc w:val="both"/>
        <w:rPr>
          <w:rFonts w:ascii="Times New Roman" w:eastAsia="Calibri" w:hAnsi="Times New Roman" w:cs="Times New Roman"/>
          <w:sz w:val="24"/>
          <w:szCs w:val="24"/>
          <w14:ligatures w14:val="standardContextual"/>
        </w:rPr>
      </w:pPr>
      <w:r>
        <w:rPr>
          <w:rFonts w:ascii="Times New Roman" w:eastAsia="Calibri" w:hAnsi="Times New Roman" w:cs="Times New Roman"/>
          <w:sz w:val="24"/>
          <w:szCs w:val="24"/>
          <w14:ligatures w14:val="standardContextual"/>
        </w:rPr>
        <w:t>[2</w:t>
      </w:r>
      <w:r w:rsidR="00CC5C27">
        <w:rPr>
          <w:rFonts w:ascii="Times New Roman" w:eastAsia="Calibri" w:hAnsi="Times New Roman" w:cs="Times New Roman"/>
          <w:sz w:val="24"/>
          <w:szCs w:val="24"/>
          <w14:ligatures w14:val="standardContextual"/>
        </w:rPr>
        <w:t>7</w:t>
      </w:r>
      <w:r>
        <w:rPr>
          <w:rFonts w:ascii="Times New Roman" w:eastAsia="Calibri" w:hAnsi="Times New Roman" w:cs="Times New Roman"/>
          <w:sz w:val="24"/>
          <w:szCs w:val="24"/>
          <w14:ligatures w14:val="standardContextual"/>
        </w:rPr>
        <w:t xml:space="preserve">] I am not persuaded that the applicants have made a proper case for leave to appeal the interlocutory ruling. Nor am I moved by the respondent`s prayer that the applicants be levied with admonitory costs. The authority cited by Mr </w:t>
      </w:r>
      <w:r w:rsidRPr="00486160">
        <w:rPr>
          <w:rFonts w:ascii="Times New Roman" w:eastAsia="Calibri" w:hAnsi="Times New Roman" w:cs="Times New Roman"/>
          <w:i/>
          <w:iCs/>
          <w:sz w:val="24"/>
          <w:szCs w:val="24"/>
          <w14:ligatures w14:val="standardContextual"/>
        </w:rPr>
        <w:t xml:space="preserve">Banda </w:t>
      </w:r>
      <w:r>
        <w:rPr>
          <w:rFonts w:ascii="Times New Roman" w:eastAsia="Calibri" w:hAnsi="Times New Roman" w:cs="Times New Roman"/>
          <w:sz w:val="24"/>
          <w:szCs w:val="24"/>
          <w14:ligatures w14:val="standardContextual"/>
        </w:rPr>
        <w:t>in support of this prayer -</w:t>
      </w:r>
      <w:r w:rsidRPr="00E80266">
        <w:rPr>
          <w:rFonts w:ascii="Times New Roman" w:eastAsia="Calibri" w:hAnsi="Times New Roman" w:cs="Times New Roman"/>
          <w:i/>
          <w:iCs/>
          <w:sz w:val="24"/>
          <w:szCs w:val="24"/>
          <w14:ligatures w14:val="standardContextual"/>
        </w:rPr>
        <w:t>Mahembe v Matambo</w:t>
      </w:r>
      <w:r>
        <w:rPr>
          <w:rFonts w:ascii="Times New Roman" w:eastAsia="Calibri" w:hAnsi="Times New Roman" w:cs="Times New Roman"/>
          <w:sz w:val="24"/>
          <w:szCs w:val="24"/>
          <w14:ligatures w14:val="standardContextual"/>
        </w:rPr>
        <w:t xml:space="preserve"> 2003 (1) ZLR 149 (H) expressly held that punitive costs must be levied only in extraordinary circumstances characterised by extreme derelict and mala fides. Such facts have not been herein demonstrated.</w:t>
      </w:r>
    </w:p>
    <w:p w14:paraId="4FB40196" w14:textId="34EACE85" w:rsidR="00F40158" w:rsidRDefault="00F40158" w:rsidP="00FD0CBF">
      <w:pPr>
        <w:spacing w:line="360" w:lineRule="auto"/>
        <w:jc w:val="both"/>
        <w:rPr>
          <w:rFonts w:ascii="Times New Roman" w:eastAsia="Calibri" w:hAnsi="Times New Roman" w:cs="Times New Roman"/>
          <w:sz w:val="24"/>
          <w:szCs w:val="24"/>
          <w14:ligatures w14:val="standardContextual"/>
        </w:rPr>
      </w:pPr>
      <w:r>
        <w:rPr>
          <w:rFonts w:ascii="Times New Roman" w:eastAsia="Calibri" w:hAnsi="Times New Roman" w:cs="Times New Roman"/>
          <w:sz w:val="24"/>
          <w:szCs w:val="24"/>
          <w14:ligatures w14:val="standardContextual"/>
        </w:rPr>
        <w:t>Accordingly, it is ordered</w:t>
      </w:r>
      <w:r w:rsidR="00E80266">
        <w:rPr>
          <w:rFonts w:ascii="Times New Roman" w:eastAsia="Calibri" w:hAnsi="Times New Roman" w:cs="Times New Roman"/>
          <w:sz w:val="24"/>
          <w:szCs w:val="24"/>
          <w14:ligatures w14:val="standardContextual"/>
        </w:rPr>
        <w:t xml:space="preserve"> that</w:t>
      </w:r>
      <w:r>
        <w:rPr>
          <w:rFonts w:ascii="Times New Roman" w:eastAsia="Calibri" w:hAnsi="Times New Roman" w:cs="Times New Roman"/>
          <w:sz w:val="24"/>
          <w:szCs w:val="24"/>
          <w14:ligatures w14:val="standardContextual"/>
        </w:rPr>
        <w:t>; -</w:t>
      </w:r>
    </w:p>
    <w:p w14:paraId="4A57F289" w14:textId="7A53BEF5" w:rsidR="00F40158" w:rsidRPr="00E80266" w:rsidRDefault="00F40158" w:rsidP="00E80266">
      <w:pPr>
        <w:pStyle w:val="ListParagraph"/>
        <w:numPr>
          <w:ilvl w:val="0"/>
          <w:numId w:val="6"/>
        </w:numPr>
        <w:spacing w:line="360" w:lineRule="auto"/>
        <w:jc w:val="both"/>
        <w:rPr>
          <w:rFonts w:ascii="Times New Roman" w:hAnsi="Times New Roman" w:cs="Times New Roman"/>
          <w:sz w:val="24"/>
          <w:szCs w:val="24"/>
        </w:rPr>
      </w:pPr>
      <w:r w:rsidRPr="00E80266">
        <w:rPr>
          <w:rFonts w:ascii="Times New Roman" w:eastAsia="Calibri" w:hAnsi="Times New Roman" w:cs="Times New Roman"/>
          <w:sz w:val="24"/>
          <w:szCs w:val="24"/>
          <w14:ligatures w14:val="standardContextual"/>
        </w:rPr>
        <w:t>The application for leave to appeal the judgment in HH</w:t>
      </w:r>
      <w:r w:rsidRPr="00E80266">
        <w:rPr>
          <w:rFonts w:ascii="Times New Roman" w:hAnsi="Times New Roman" w:cs="Times New Roman"/>
          <w:sz w:val="24"/>
          <w:szCs w:val="24"/>
        </w:rPr>
        <w:t xml:space="preserve"> 231-25 be and is hereby dismissed.</w:t>
      </w:r>
    </w:p>
    <w:p w14:paraId="040F92CF" w14:textId="77777777" w:rsidR="00E80266" w:rsidRPr="00E80266" w:rsidRDefault="00F40158" w:rsidP="00E80266">
      <w:pPr>
        <w:pStyle w:val="ListParagraph"/>
        <w:numPr>
          <w:ilvl w:val="0"/>
          <w:numId w:val="6"/>
        </w:numPr>
        <w:spacing w:line="360" w:lineRule="auto"/>
        <w:jc w:val="both"/>
        <w:rPr>
          <w:rFonts w:ascii="Times New Roman" w:hAnsi="Times New Roman" w:cs="Times New Roman"/>
          <w:sz w:val="24"/>
          <w:szCs w:val="24"/>
        </w:rPr>
      </w:pPr>
      <w:r w:rsidRPr="00E80266">
        <w:rPr>
          <w:rFonts w:ascii="Times New Roman" w:hAnsi="Times New Roman" w:cs="Times New Roman"/>
          <w:sz w:val="24"/>
          <w:szCs w:val="24"/>
        </w:rPr>
        <w:t>Th</w:t>
      </w:r>
      <w:r w:rsidR="00E80266" w:rsidRPr="00E80266">
        <w:rPr>
          <w:rFonts w:ascii="Times New Roman" w:hAnsi="Times New Roman" w:cs="Times New Roman"/>
          <w:sz w:val="24"/>
          <w:szCs w:val="24"/>
        </w:rPr>
        <w:t>e first and second applicants jointly or severally, the one paying and the other being absolved, are to pay the costs of suit at the ordinary scale.</w:t>
      </w:r>
    </w:p>
    <w:p w14:paraId="1633A350" w14:textId="77777777" w:rsidR="00E80266" w:rsidRDefault="00E80266" w:rsidP="00FD0CBF">
      <w:pPr>
        <w:spacing w:line="360" w:lineRule="auto"/>
        <w:jc w:val="both"/>
        <w:rPr>
          <w:rFonts w:ascii="Times New Roman" w:hAnsi="Times New Roman" w:cs="Times New Roman"/>
          <w:sz w:val="24"/>
          <w:szCs w:val="24"/>
        </w:rPr>
      </w:pPr>
    </w:p>
    <w:p w14:paraId="1467C052" w14:textId="77777777" w:rsidR="00E80266" w:rsidRPr="00E80266" w:rsidRDefault="00E80266" w:rsidP="00E80266">
      <w:pPr>
        <w:pStyle w:val="NoSpacing"/>
        <w:rPr>
          <w:rFonts w:ascii="Times New Roman" w:hAnsi="Times New Roman" w:cs="Times New Roman"/>
          <w:sz w:val="24"/>
          <w:szCs w:val="24"/>
        </w:rPr>
      </w:pPr>
      <w:r w:rsidRPr="00E80266">
        <w:rPr>
          <w:rFonts w:ascii="Times New Roman" w:hAnsi="Times New Roman" w:cs="Times New Roman"/>
          <w:i/>
          <w:iCs/>
          <w:sz w:val="24"/>
          <w:szCs w:val="24"/>
        </w:rPr>
        <w:t>Mandipa, Makwara and Chikukwa</w:t>
      </w:r>
      <w:r w:rsidRPr="00E80266">
        <w:rPr>
          <w:rFonts w:ascii="Times New Roman" w:hAnsi="Times New Roman" w:cs="Times New Roman"/>
          <w:sz w:val="24"/>
          <w:szCs w:val="24"/>
        </w:rPr>
        <w:t>-applicants` legal practitioners</w:t>
      </w:r>
    </w:p>
    <w:p w14:paraId="64ED5F05" w14:textId="695C573A" w:rsidR="00E80266" w:rsidRPr="00E80266" w:rsidRDefault="00E80266" w:rsidP="00E80266">
      <w:pPr>
        <w:pStyle w:val="NoSpacing"/>
        <w:rPr>
          <w:rFonts w:ascii="Times New Roman" w:hAnsi="Times New Roman" w:cs="Times New Roman"/>
          <w:sz w:val="24"/>
          <w:szCs w:val="24"/>
        </w:rPr>
      </w:pPr>
      <w:r w:rsidRPr="00E80266">
        <w:rPr>
          <w:rFonts w:ascii="Times New Roman" w:hAnsi="Times New Roman" w:cs="Times New Roman"/>
          <w:i/>
          <w:iCs/>
          <w:sz w:val="24"/>
          <w:szCs w:val="24"/>
        </w:rPr>
        <w:t>Nenjy Nyamapfene Legal Practice</w:t>
      </w:r>
      <w:r w:rsidRPr="00E80266">
        <w:rPr>
          <w:rFonts w:ascii="Times New Roman" w:hAnsi="Times New Roman" w:cs="Times New Roman"/>
          <w:sz w:val="24"/>
          <w:szCs w:val="24"/>
        </w:rPr>
        <w:t>-respondent`s legal practitioners.</w:t>
      </w:r>
    </w:p>
    <w:p w14:paraId="7941C7DD" w14:textId="6C5143C2" w:rsidR="00E80266" w:rsidRPr="00E80266" w:rsidRDefault="00E80266" w:rsidP="00FD0CBF">
      <w:pPr>
        <w:spacing w:line="360" w:lineRule="auto"/>
        <w:jc w:val="both"/>
        <w:rPr>
          <w:rFonts w:ascii="Times New Roman" w:hAnsi="Times New Roman" w:cs="Times New Roman"/>
          <w:b/>
          <w:bCs/>
          <w:sz w:val="16"/>
          <w:szCs w:val="16"/>
        </w:rPr>
      </w:pPr>
      <w:r>
        <w:rPr>
          <w:rFonts w:ascii="Times New Roman" w:hAnsi="Times New Roman" w:cs="Times New Roman"/>
          <w:sz w:val="24"/>
          <w:szCs w:val="24"/>
        </w:rPr>
        <w:lastRenderedPageBreak/>
        <w:t xml:space="preserve">                                                                                                    </w:t>
      </w:r>
      <w:r w:rsidRPr="00E80266">
        <w:rPr>
          <w:rFonts w:ascii="Times New Roman" w:hAnsi="Times New Roman" w:cs="Times New Roman"/>
          <w:b/>
          <w:bCs/>
          <w:sz w:val="16"/>
          <w:szCs w:val="16"/>
        </w:rPr>
        <w:t>[CHILIMBE J___3/2/25]</w:t>
      </w:r>
    </w:p>
    <w:p w14:paraId="55E70151" w14:textId="77777777" w:rsidR="00E80266" w:rsidRDefault="00E80266" w:rsidP="00FD0CBF">
      <w:pPr>
        <w:spacing w:line="360" w:lineRule="auto"/>
        <w:jc w:val="both"/>
        <w:rPr>
          <w:rFonts w:ascii="Times New Roman" w:hAnsi="Times New Roman" w:cs="Times New Roman"/>
          <w:sz w:val="24"/>
          <w:szCs w:val="24"/>
        </w:rPr>
      </w:pPr>
    </w:p>
    <w:p w14:paraId="7D233E89" w14:textId="016334A3" w:rsidR="00F40158" w:rsidRDefault="00E80266" w:rsidP="00FD0CBF">
      <w:pPr>
        <w:spacing w:line="360" w:lineRule="auto"/>
        <w:jc w:val="both"/>
        <w:rPr>
          <w:rFonts w:ascii="Times New Roman" w:eastAsia="Calibri" w:hAnsi="Times New Roman" w:cs="Times New Roman"/>
          <w:sz w:val="24"/>
          <w:szCs w:val="24"/>
          <w14:ligatures w14:val="standardContextual"/>
        </w:rPr>
      </w:pPr>
      <w:r>
        <w:rPr>
          <w:rFonts w:ascii="Times New Roman" w:hAnsi="Times New Roman" w:cs="Times New Roman"/>
          <w:sz w:val="24"/>
          <w:szCs w:val="24"/>
        </w:rPr>
        <w:t xml:space="preserve"> </w:t>
      </w:r>
    </w:p>
    <w:p w14:paraId="7A9F85F0" w14:textId="77777777" w:rsidR="005A7EA4" w:rsidRDefault="005A7EA4" w:rsidP="00FD0CBF">
      <w:pPr>
        <w:spacing w:line="360" w:lineRule="auto"/>
        <w:jc w:val="both"/>
        <w:rPr>
          <w:rFonts w:ascii="Times New Roman" w:eastAsia="Calibri" w:hAnsi="Times New Roman" w:cs="Times New Roman"/>
          <w:sz w:val="24"/>
          <w:szCs w:val="24"/>
          <w14:ligatures w14:val="standardContextual"/>
        </w:rPr>
      </w:pPr>
    </w:p>
    <w:p w14:paraId="08535241" w14:textId="77777777" w:rsidR="005A7EA4" w:rsidRDefault="005A7EA4" w:rsidP="00FD0CBF">
      <w:pPr>
        <w:spacing w:line="360" w:lineRule="auto"/>
        <w:jc w:val="both"/>
        <w:rPr>
          <w:rFonts w:ascii="Times New Roman" w:eastAsia="Calibri" w:hAnsi="Times New Roman" w:cs="Times New Roman"/>
          <w:sz w:val="24"/>
          <w:szCs w:val="24"/>
          <w14:ligatures w14:val="standardContextual"/>
        </w:rPr>
      </w:pPr>
    </w:p>
    <w:p w14:paraId="44BBC864" w14:textId="77777777" w:rsidR="00ED13F0" w:rsidRDefault="00ED13F0" w:rsidP="00FD0CBF">
      <w:pPr>
        <w:spacing w:line="360" w:lineRule="auto"/>
        <w:jc w:val="both"/>
        <w:rPr>
          <w:rFonts w:ascii="Times New Roman" w:eastAsia="Calibri" w:hAnsi="Times New Roman" w:cs="Times New Roman"/>
          <w:sz w:val="24"/>
          <w:szCs w:val="24"/>
          <w14:ligatures w14:val="standardContextual"/>
        </w:rPr>
      </w:pPr>
    </w:p>
    <w:p w14:paraId="6A1FD15E" w14:textId="77777777" w:rsidR="00ED13F0" w:rsidRDefault="00ED13F0" w:rsidP="00FD0CBF">
      <w:pPr>
        <w:spacing w:line="360" w:lineRule="auto"/>
        <w:jc w:val="both"/>
        <w:rPr>
          <w:rFonts w:ascii="Times New Roman" w:eastAsia="Calibri" w:hAnsi="Times New Roman" w:cs="Times New Roman"/>
          <w:sz w:val="24"/>
          <w:szCs w:val="24"/>
          <w14:ligatures w14:val="standardContextual"/>
        </w:rPr>
      </w:pPr>
    </w:p>
    <w:p w14:paraId="1D606D78" w14:textId="77777777" w:rsidR="0038555E" w:rsidRDefault="0038555E" w:rsidP="00FD0CBF">
      <w:pPr>
        <w:spacing w:line="360" w:lineRule="auto"/>
        <w:jc w:val="both"/>
        <w:rPr>
          <w:rFonts w:ascii="Times New Roman" w:eastAsia="Calibri" w:hAnsi="Times New Roman" w:cs="Times New Roman"/>
          <w:sz w:val="24"/>
          <w:szCs w:val="24"/>
          <w14:ligatures w14:val="standardContextual"/>
        </w:rPr>
      </w:pPr>
    </w:p>
    <w:p w14:paraId="19F4B31B" w14:textId="77777777" w:rsidR="0038555E" w:rsidRDefault="0038555E" w:rsidP="00FD0CBF">
      <w:pPr>
        <w:spacing w:line="360" w:lineRule="auto"/>
        <w:jc w:val="both"/>
        <w:rPr>
          <w:rFonts w:ascii="Times New Roman" w:eastAsia="Calibri" w:hAnsi="Times New Roman" w:cs="Times New Roman"/>
          <w:sz w:val="24"/>
          <w:szCs w:val="24"/>
          <w14:ligatures w14:val="standardContextual"/>
        </w:rPr>
      </w:pPr>
    </w:p>
    <w:p w14:paraId="75B2836E" w14:textId="77777777" w:rsidR="0038555E" w:rsidRDefault="0038555E" w:rsidP="00FD0CBF">
      <w:pPr>
        <w:spacing w:line="360" w:lineRule="auto"/>
        <w:jc w:val="both"/>
        <w:rPr>
          <w:rFonts w:ascii="Times New Roman" w:eastAsia="Calibri" w:hAnsi="Times New Roman" w:cs="Times New Roman"/>
          <w:sz w:val="24"/>
          <w:szCs w:val="24"/>
          <w14:ligatures w14:val="standardContextual"/>
        </w:rPr>
      </w:pPr>
    </w:p>
    <w:p w14:paraId="434DE3D2" w14:textId="77777777" w:rsidR="0038555E" w:rsidRDefault="0038555E" w:rsidP="00FD0CBF">
      <w:pPr>
        <w:spacing w:line="360" w:lineRule="auto"/>
        <w:jc w:val="both"/>
        <w:rPr>
          <w:rFonts w:ascii="Times New Roman" w:eastAsia="Calibri" w:hAnsi="Times New Roman" w:cs="Times New Roman"/>
          <w:sz w:val="24"/>
          <w:szCs w:val="24"/>
          <w14:ligatures w14:val="standardContextual"/>
        </w:rPr>
      </w:pPr>
    </w:p>
    <w:p w14:paraId="52D63F15" w14:textId="77777777" w:rsidR="00D963F1" w:rsidRPr="00ED4B48" w:rsidRDefault="00D963F1" w:rsidP="00ED4B48">
      <w:pPr>
        <w:spacing w:line="360" w:lineRule="auto"/>
        <w:jc w:val="both"/>
        <w:rPr>
          <w:rFonts w:ascii="Times New Roman" w:eastAsia="Calibri" w:hAnsi="Times New Roman" w:cs="Times New Roman"/>
          <w:sz w:val="24"/>
          <w:szCs w:val="24"/>
          <w14:ligatures w14:val="standardContextual"/>
        </w:rPr>
      </w:pPr>
    </w:p>
    <w:p w14:paraId="022E1071" w14:textId="77777777" w:rsidR="00D963F1" w:rsidRPr="00D963F1" w:rsidRDefault="00D963F1" w:rsidP="00D963F1">
      <w:pPr>
        <w:spacing w:line="360" w:lineRule="auto"/>
        <w:jc w:val="both"/>
        <w:rPr>
          <w:rFonts w:ascii="Times New Roman" w:eastAsia="Calibri" w:hAnsi="Times New Roman" w:cs="Times New Roman"/>
          <w:sz w:val="24"/>
          <w:szCs w:val="24"/>
          <w14:ligatures w14:val="standardContextual"/>
        </w:rPr>
      </w:pPr>
    </w:p>
    <w:p w14:paraId="54326BBC" w14:textId="77777777" w:rsidR="0078214B" w:rsidRDefault="0078214B" w:rsidP="00AD7766">
      <w:pPr>
        <w:spacing w:line="360" w:lineRule="auto"/>
        <w:jc w:val="both"/>
        <w:rPr>
          <w:rFonts w:ascii="Times New Roman" w:hAnsi="Times New Roman" w:cs="Times New Roman"/>
          <w:sz w:val="24"/>
          <w:szCs w:val="24"/>
        </w:rPr>
      </w:pPr>
    </w:p>
    <w:p w14:paraId="3D40B58C" w14:textId="77777777" w:rsidR="0078214B" w:rsidRDefault="0078214B" w:rsidP="00AD7766">
      <w:pPr>
        <w:spacing w:line="360" w:lineRule="auto"/>
        <w:jc w:val="both"/>
        <w:rPr>
          <w:rFonts w:ascii="Times New Roman" w:hAnsi="Times New Roman" w:cs="Times New Roman"/>
          <w:sz w:val="24"/>
          <w:szCs w:val="24"/>
        </w:rPr>
      </w:pPr>
    </w:p>
    <w:p w14:paraId="283D09CE" w14:textId="77777777" w:rsidR="00163179" w:rsidRDefault="00163179" w:rsidP="00AD7766">
      <w:pPr>
        <w:spacing w:line="360" w:lineRule="auto"/>
        <w:jc w:val="both"/>
        <w:rPr>
          <w:rFonts w:ascii="Times New Roman" w:hAnsi="Times New Roman" w:cs="Times New Roman"/>
          <w:sz w:val="24"/>
          <w:szCs w:val="24"/>
        </w:rPr>
      </w:pPr>
    </w:p>
    <w:p w14:paraId="5309C8A0" w14:textId="77777777" w:rsidR="00163179" w:rsidRDefault="00163179" w:rsidP="00AD7766">
      <w:pPr>
        <w:spacing w:line="360" w:lineRule="auto"/>
        <w:jc w:val="both"/>
        <w:rPr>
          <w:rFonts w:ascii="Times New Roman" w:hAnsi="Times New Roman" w:cs="Times New Roman"/>
          <w:sz w:val="24"/>
          <w:szCs w:val="24"/>
        </w:rPr>
      </w:pPr>
    </w:p>
    <w:p w14:paraId="410AE38C" w14:textId="77777777" w:rsidR="006E535B" w:rsidRDefault="006E535B" w:rsidP="00AD7766">
      <w:pPr>
        <w:spacing w:line="360" w:lineRule="auto"/>
        <w:jc w:val="both"/>
      </w:pPr>
    </w:p>
    <w:p w14:paraId="171E33C9" w14:textId="77777777" w:rsidR="00B456F6" w:rsidRDefault="00B456F6" w:rsidP="00AD7766">
      <w:pPr>
        <w:spacing w:line="360" w:lineRule="auto"/>
        <w:jc w:val="both"/>
      </w:pPr>
    </w:p>
    <w:sectPr w:rsidR="00B456F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5D1FC2" w14:textId="77777777" w:rsidR="00C21C59" w:rsidRDefault="00C21C59" w:rsidP="006E535B">
      <w:pPr>
        <w:spacing w:after="0" w:line="240" w:lineRule="auto"/>
      </w:pPr>
      <w:r>
        <w:separator/>
      </w:r>
    </w:p>
  </w:endnote>
  <w:endnote w:type="continuationSeparator" w:id="0">
    <w:p w14:paraId="54C04C8D" w14:textId="77777777" w:rsidR="00C21C59" w:rsidRDefault="00C21C59" w:rsidP="006E5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BoldItalic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C7E8DC" w14:textId="77777777" w:rsidR="0007140A" w:rsidRDefault="000714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A53B72" w14:textId="77777777" w:rsidR="0007140A" w:rsidRDefault="000714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198EBD" w14:textId="77777777" w:rsidR="0007140A" w:rsidRDefault="000714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CC56FC" w14:textId="77777777" w:rsidR="00C21C59" w:rsidRDefault="00C21C59" w:rsidP="006E535B">
      <w:pPr>
        <w:spacing w:after="0" w:line="240" w:lineRule="auto"/>
      </w:pPr>
      <w:r>
        <w:separator/>
      </w:r>
    </w:p>
  </w:footnote>
  <w:footnote w:type="continuationSeparator" w:id="0">
    <w:p w14:paraId="40051EC9" w14:textId="77777777" w:rsidR="00C21C59" w:rsidRDefault="00C21C59" w:rsidP="006E535B">
      <w:pPr>
        <w:spacing w:after="0" w:line="240" w:lineRule="auto"/>
      </w:pPr>
      <w:r>
        <w:continuationSeparator/>
      </w:r>
    </w:p>
  </w:footnote>
  <w:footnote w:id="1">
    <w:p w14:paraId="3506196A" w14:textId="05769F44" w:rsidR="00841F5E" w:rsidRPr="00841F5E" w:rsidRDefault="00841F5E">
      <w:pPr>
        <w:pStyle w:val="FootnoteText"/>
        <w:rPr>
          <w:rFonts w:ascii="Times New Roman" w:hAnsi="Times New Roman" w:cs="Times New Roman"/>
          <w:sz w:val="18"/>
          <w:szCs w:val="18"/>
        </w:rPr>
      </w:pPr>
      <w:r>
        <w:rPr>
          <w:rStyle w:val="FootnoteReference"/>
        </w:rPr>
        <w:footnoteRef/>
      </w:r>
      <w:r>
        <w:t xml:space="preserve"> </w:t>
      </w:r>
      <w:r w:rsidRPr="00841F5E">
        <w:rPr>
          <w:rFonts w:ascii="Times New Roman" w:hAnsi="Times New Roman" w:cs="Times New Roman"/>
          <w:sz w:val="18"/>
          <w:szCs w:val="18"/>
        </w:rPr>
        <w:t xml:space="preserve">See </w:t>
      </w:r>
      <w:r w:rsidRPr="00841F5E">
        <w:rPr>
          <w:rFonts w:ascii="Times New Roman" w:hAnsi="Times New Roman" w:cs="Times New Roman"/>
          <w:i/>
          <w:iCs/>
          <w:sz w:val="18"/>
          <w:szCs w:val="18"/>
        </w:rPr>
        <w:t>Pichanick NO v Paterson</w:t>
      </w:r>
      <w:r w:rsidRPr="00841F5E">
        <w:rPr>
          <w:rFonts w:ascii="Times New Roman" w:hAnsi="Times New Roman" w:cs="Times New Roman"/>
          <w:sz w:val="18"/>
          <w:szCs w:val="18"/>
        </w:rPr>
        <w:t xml:space="preserve"> 1993 (2) ZLR 163 (H) and </w:t>
      </w:r>
      <w:r w:rsidRPr="00841F5E">
        <w:rPr>
          <w:rFonts w:ascii="Times New Roman" w:hAnsi="Times New Roman" w:cs="Times New Roman"/>
          <w:i/>
          <w:sz w:val="18"/>
          <w:szCs w:val="18"/>
        </w:rPr>
        <w:t>Chikafu v Dodhill</w:t>
      </w:r>
      <w:r w:rsidRPr="00841F5E">
        <w:rPr>
          <w:rFonts w:ascii="Times New Roman" w:hAnsi="Times New Roman" w:cs="Times New Roman"/>
          <w:sz w:val="18"/>
          <w:szCs w:val="18"/>
        </w:rPr>
        <w:t xml:space="preserve"> (Pvt) Ltd &amp; Ors 2009 (1) ZLR 293 (S)</w:t>
      </w:r>
    </w:p>
  </w:footnote>
  <w:footnote w:id="2">
    <w:p w14:paraId="6B92DDBD" w14:textId="77777777" w:rsidR="005A7EA4" w:rsidRPr="006752C8" w:rsidRDefault="005A7EA4" w:rsidP="005A7EA4">
      <w:pPr>
        <w:pStyle w:val="FootnoteText"/>
        <w:rPr>
          <w:lang w:val="en-US"/>
        </w:rPr>
      </w:pPr>
      <w:r>
        <w:rPr>
          <w:rStyle w:val="FootnoteReference"/>
        </w:rPr>
        <w:footnoteRef/>
      </w:r>
      <w:r>
        <w:t xml:space="preserve"> </w:t>
      </w:r>
      <w:r>
        <w:rPr>
          <w:lang w:val="en-US"/>
        </w:rPr>
        <w:t>Sub-section (1)</w:t>
      </w:r>
    </w:p>
  </w:footnote>
  <w:footnote w:id="3">
    <w:p w14:paraId="7C5193D7" w14:textId="77777777" w:rsidR="005A7EA4" w:rsidRPr="006752C8" w:rsidRDefault="005A7EA4" w:rsidP="005A7EA4">
      <w:pPr>
        <w:pStyle w:val="FootnoteText"/>
        <w:rPr>
          <w:lang w:val="en-US"/>
        </w:rPr>
      </w:pPr>
      <w:r>
        <w:rPr>
          <w:rStyle w:val="FootnoteReference"/>
        </w:rPr>
        <w:footnoteRef/>
      </w:r>
      <w:r>
        <w:t xml:space="preserve"> Sub-section (2)(b)</w:t>
      </w:r>
    </w:p>
  </w:footnote>
  <w:footnote w:id="4">
    <w:p w14:paraId="60A1ACCB" w14:textId="77777777" w:rsidR="005A7EA4" w:rsidRPr="006752C8" w:rsidRDefault="005A7EA4" w:rsidP="005A7EA4">
      <w:pPr>
        <w:pStyle w:val="FootnoteText"/>
        <w:rPr>
          <w:lang w:val="en-US"/>
        </w:rPr>
      </w:pPr>
      <w:r>
        <w:rPr>
          <w:rStyle w:val="FootnoteReference"/>
        </w:rPr>
        <w:footnoteRef/>
      </w:r>
      <w:r>
        <w:t xml:space="preserve"> </w:t>
      </w:r>
      <w:r>
        <w:rPr>
          <w:lang w:val="en-US"/>
        </w:rPr>
        <w:t>Sub-section (2)(d)</w:t>
      </w:r>
    </w:p>
  </w:footnote>
  <w:footnote w:id="5">
    <w:p w14:paraId="769B1878" w14:textId="64606F6E" w:rsidR="00F8742D" w:rsidRPr="00F8742D" w:rsidRDefault="00F8742D" w:rsidP="00F8742D">
      <w:pPr>
        <w:pStyle w:val="parties"/>
        <w:shd w:val="clear" w:color="auto" w:fill="FFFFFF"/>
        <w:spacing w:before="0" w:beforeAutospacing="0" w:after="0" w:afterAutospacing="0"/>
        <w:rPr>
          <w:rFonts w:eastAsia="Calibri"/>
          <w:sz w:val="20"/>
          <w:szCs w:val="20"/>
        </w:rPr>
      </w:pPr>
      <w:r>
        <w:rPr>
          <w:rStyle w:val="FootnoteReference"/>
        </w:rPr>
        <w:footnoteRef/>
      </w:r>
      <w:r>
        <w:t xml:space="preserve"> </w:t>
      </w:r>
      <w:r w:rsidRPr="00F8742D">
        <w:rPr>
          <w:sz w:val="20"/>
          <w:szCs w:val="20"/>
        </w:rPr>
        <w:t xml:space="preserve">See also </w:t>
      </w:r>
      <w:r w:rsidRPr="00F8742D">
        <w:rPr>
          <w:i/>
          <w:iCs/>
          <w:sz w:val="20"/>
          <w:szCs w:val="20"/>
        </w:rPr>
        <w:t>Kadhani v Hunyani Paper and Packaging Ltd &amp; Anor</w:t>
      </w:r>
      <w:r w:rsidRPr="00F8742D">
        <w:rPr>
          <w:sz w:val="20"/>
          <w:szCs w:val="20"/>
        </w:rPr>
        <w:t xml:space="preserve"> SC 118-98. </w:t>
      </w:r>
    </w:p>
    <w:p w14:paraId="47DD8EEA" w14:textId="37069992" w:rsidR="00F8742D" w:rsidRDefault="00F8742D">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EAFA03" w14:textId="77777777" w:rsidR="0007140A" w:rsidRDefault="000714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5619104"/>
      <w:docPartObj>
        <w:docPartGallery w:val="Page Numbers (Top of Page)"/>
        <w:docPartUnique/>
      </w:docPartObj>
    </w:sdtPr>
    <w:sdtEndPr>
      <w:rPr>
        <w:noProof/>
      </w:rPr>
    </w:sdtEndPr>
    <w:sdtContent>
      <w:p w14:paraId="2AD7729B" w14:textId="77777777" w:rsidR="00784989" w:rsidRDefault="00784989">
        <w:pPr>
          <w:pStyle w:val="Header"/>
          <w:jc w:val="right"/>
          <w:rPr>
            <w:noProof/>
          </w:rPr>
        </w:pPr>
        <w:r>
          <w:fldChar w:fldCharType="begin"/>
        </w:r>
        <w:r>
          <w:instrText xml:space="preserve"> PAGE   \* MERGEFORMAT </w:instrText>
        </w:r>
        <w:r>
          <w:fldChar w:fldCharType="separate"/>
        </w:r>
        <w:r w:rsidR="0007140A">
          <w:rPr>
            <w:noProof/>
          </w:rPr>
          <w:t>1</w:t>
        </w:r>
        <w:r>
          <w:rPr>
            <w:noProof/>
          </w:rPr>
          <w:fldChar w:fldCharType="end"/>
        </w:r>
      </w:p>
      <w:p w14:paraId="194D14A3" w14:textId="77777777" w:rsidR="00784989" w:rsidRDefault="00C21C59" w:rsidP="00784989">
        <w:pPr>
          <w:pStyle w:val="Header"/>
          <w:rPr>
            <w:noProof/>
          </w:rPr>
        </w:pPr>
      </w:p>
    </w:sdtContent>
  </w:sdt>
  <w:p w14:paraId="0E82DB2E" w14:textId="2B69EA45" w:rsidR="00784989" w:rsidRPr="00784989" w:rsidRDefault="00784989" w:rsidP="0007140A">
    <w:pPr>
      <w:pStyle w:val="Header"/>
      <w:jc w:val="right"/>
      <w:rPr>
        <w:noProof/>
      </w:rPr>
    </w:pPr>
    <w:r w:rsidRPr="00784989">
      <w:rPr>
        <w:b/>
        <w:bCs/>
      </w:rPr>
      <w:t xml:space="preserve"> </w:t>
    </w:r>
    <w:bookmarkStart w:id="1" w:name="_GoBack"/>
    <w:r w:rsidRPr="00784989">
      <w:rPr>
        <w:rFonts w:cstheme="minorHAnsi"/>
        <w:b/>
        <w:bCs/>
        <w:sz w:val="18"/>
        <w:szCs w:val="18"/>
      </w:rPr>
      <w:t>HH 97-26</w:t>
    </w:r>
  </w:p>
  <w:p w14:paraId="4D1F3AF8" w14:textId="453DE837" w:rsidR="00784989" w:rsidRPr="00784989" w:rsidRDefault="00784989" w:rsidP="0007140A">
    <w:pPr>
      <w:pStyle w:val="Header"/>
      <w:jc w:val="right"/>
      <w:rPr>
        <w:rFonts w:cstheme="minorHAnsi"/>
        <w:b/>
        <w:bCs/>
        <w:sz w:val="18"/>
        <w:szCs w:val="18"/>
      </w:rPr>
    </w:pPr>
    <w:r>
      <w:rPr>
        <w:rFonts w:cstheme="minorHAnsi"/>
        <w:b/>
        <w:bCs/>
        <w:sz w:val="18"/>
        <w:szCs w:val="18"/>
      </w:rPr>
      <w:t xml:space="preserve"> </w:t>
    </w:r>
    <w:r w:rsidRPr="00784989">
      <w:rPr>
        <w:rFonts w:cstheme="minorHAnsi"/>
        <w:b/>
        <w:bCs/>
        <w:sz w:val="18"/>
        <w:szCs w:val="18"/>
      </w:rPr>
      <w:t>HCHC276/25</w:t>
    </w:r>
  </w:p>
  <w:bookmarkEnd w:id="1"/>
  <w:p w14:paraId="5FDEFC80" w14:textId="42260BF8" w:rsidR="00784989" w:rsidRDefault="00784989" w:rsidP="00784989">
    <w:pPr>
      <w:pStyle w:val="Header"/>
    </w:pPr>
  </w:p>
  <w:p w14:paraId="00A83740" w14:textId="77777777" w:rsidR="006E535B" w:rsidRDefault="006E53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D4689D" w14:textId="77777777" w:rsidR="0007140A" w:rsidRDefault="000714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C23FB"/>
    <w:multiLevelType w:val="hybridMultilevel"/>
    <w:tmpl w:val="0764C2F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4C661848"/>
    <w:multiLevelType w:val="hybridMultilevel"/>
    <w:tmpl w:val="774AD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0F51AEA"/>
    <w:multiLevelType w:val="hybridMultilevel"/>
    <w:tmpl w:val="5BCC1F1E"/>
    <w:lvl w:ilvl="0" w:tplc="3009001B">
      <w:start w:val="1"/>
      <w:numFmt w:val="lowerRoman"/>
      <w:lvlText w:val="%1."/>
      <w:lvlJc w:val="righ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
    <w:nsid w:val="5E4A1365"/>
    <w:multiLevelType w:val="hybridMultilevel"/>
    <w:tmpl w:val="5BCC1F1E"/>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nsid w:val="7B0004E3"/>
    <w:multiLevelType w:val="hybridMultilevel"/>
    <w:tmpl w:val="615A2824"/>
    <w:lvl w:ilvl="0" w:tplc="30090017">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7CB51047"/>
    <w:multiLevelType w:val="hybridMultilevel"/>
    <w:tmpl w:val="5BCC1F1E"/>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abstractNumId w:val="4"/>
  </w:num>
  <w:num w:numId="2">
    <w:abstractNumId w:val="1"/>
  </w:num>
  <w:num w:numId="3">
    <w:abstractNumId w:val="2"/>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56F6"/>
    <w:rsid w:val="000641AD"/>
    <w:rsid w:val="0007140A"/>
    <w:rsid w:val="000C3A0F"/>
    <w:rsid w:val="00111C78"/>
    <w:rsid w:val="0012385D"/>
    <w:rsid w:val="00163179"/>
    <w:rsid w:val="001B0810"/>
    <w:rsid w:val="00216AE2"/>
    <w:rsid w:val="00363C88"/>
    <w:rsid w:val="003661B3"/>
    <w:rsid w:val="00375AE3"/>
    <w:rsid w:val="0038555E"/>
    <w:rsid w:val="003D4270"/>
    <w:rsid w:val="00406D75"/>
    <w:rsid w:val="00486160"/>
    <w:rsid w:val="004957E8"/>
    <w:rsid w:val="00532873"/>
    <w:rsid w:val="00576917"/>
    <w:rsid w:val="00577A93"/>
    <w:rsid w:val="005A7EA4"/>
    <w:rsid w:val="00614B1E"/>
    <w:rsid w:val="00622FE9"/>
    <w:rsid w:val="00634B06"/>
    <w:rsid w:val="00640470"/>
    <w:rsid w:val="00651998"/>
    <w:rsid w:val="006A1FFC"/>
    <w:rsid w:val="006B6405"/>
    <w:rsid w:val="006C18B5"/>
    <w:rsid w:val="006E50DF"/>
    <w:rsid w:val="006E535B"/>
    <w:rsid w:val="006F04C6"/>
    <w:rsid w:val="006F4633"/>
    <w:rsid w:val="00724C23"/>
    <w:rsid w:val="0078214B"/>
    <w:rsid w:val="00784989"/>
    <w:rsid w:val="007A4801"/>
    <w:rsid w:val="00836EE1"/>
    <w:rsid w:val="00841F5E"/>
    <w:rsid w:val="00855E58"/>
    <w:rsid w:val="00855F37"/>
    <w:rsid w:val="008834B8"/>
    <w:rsid w:val="0088361E"/>
    <w:rsid w:val="00891602"/>
    <w:rsid w:val="008930B1"/>
    <w:rsid w:val="008A0883"/>
    <w:rsid w:val="008A276B"/>
    <w:rsid w:val="008D097F"/>
    <w:rsid w:val="0093767B"/>
    <w:rsid w:val="009A432F"/>
    <w:rsid w:val="00A357DF"/>
    <w:rsid w:val="00A410BB"/>
    <w:rsid w:val="00A648CD"/>
    <w:rsid w:val="00A8437C"/>
    <w:rsid w:val="00AD7766"/>
    <w:rsid w:val="00B32B48"/>
    <w:rsid w:val="00B456F6"/>
    <w:rsid w:val="00B539D9"/>
    <w:rsid w:val="00B938A4"/>
    <w:rsid w:val="00BA582C"/>
    <w:rsid w:val="00C21C59"/>
    <w:rsid w:val="00C44D34"/>
    <w:rsid w:val="00CC5C27"/>
    <w:rsid w:val="00D81084"/>
    <w:rsid w:val="00D963F1"/>
    <w:rsid w:val="00E3661E"/>
    <w:rsid w:val="00E71FD3"/>
    <w:rsid w:val="00E80266"/>
    <w:rsid w:val="00E86546"/>
    <w:rsid w:val="00ED13F0"/>
    <w:rsid w:val="00ED4B48"/>
    <w:rsid w:val="00F03536"/>
    <w:rsid w:val="00F04ECD"/>
    <w:rsid w:val="00F072E2"/>
    <w:rsid w:val="00F40158"/>
    <w:rsid w:val="00F8742D"/>
    <w:rsid w:val="00FD0CB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12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3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535B"/>
    <w:pPr>
      <w:spacing w:after="0" w:line="240" w:lineRule="auto"/>
    </w:pPr>
  </w:style>
  <w:style w:type="paragraph" w:styleId="Header">
    <w:name w:val="header"/>
    <w:basedOn w:val="Normal"/>
    <w:link w:val="HeaderChar"/>
    <w:uiPriority w:val="99"/>
    <w:unhideWhenUsed/>
    <w:rsid w:val="006E53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535B"/>
  </w:style>
  <w:style w:type="paragraph" w:styleId="Footer">
    <w:name w:val="footer"/>
    <w:basedOn w:val="Normal"/>
    <w:link w:val="FooterChar"/>
    <w:uiPriority w:val="99"/>
    <w:unhideWhenUsed/>
    <w:rsid w:val="006E53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535B"/>
  </w:style>
  <w:style w:type="paragraph" w:customStyle="1" w:styleId="Default">
    <w:name w:val="Default"/>
    <w:rsid w:val="00614B1E"/>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6A1FFC"/>
    <w:pPr>
      <w:ind w:left="720"/>
      <w:contextualSpacing/>
    </w:pPr>
  </w:style>
  <w:style w:type="paragraph" w:styleId="FootnoteText">
    <w:name w:val="footnote text"/>
    <w:basedOn w:val="Normal"/>
    <w:link w:val="FootnoteTextChar"/>
    <w:uiPriority w:val="99"/>
    <w:semiHidden/>
    <w:unhideWhenUsed/>
    <w:rsid w:val="00841F5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1F5E"/>
    <w:rPr>
      <w:sz w:val="20"/>
      <w:szCs w:val="20"/>
    </w:rPr>
  </w:style>
  <w:style w:type="character" w:styleId="FootnoteReference">
    <w:name w:val="footnote reference"/>
    <w:basedOn w:val="DefaultParagraphFont"/>
    <w:uiPriority w:val="99"/>
    <w:semiHidden/>
    <w:unhideWhenUsed/>
    <w:rsid w:val="00841F5E"/>
    <w:rPr>
      <w:vertAlign w:val="superscript"/>
    </w:rPr>
  </w:style>
  <w:style w:type="paragraph" w:customStyle="1" w:styleId="parties">
    <w:name w:val="parties"/>
    <w:basedOn w:val="Normal"/>
    <w:rsid w:val="008A276B"/>
    <w:pPr>
      <w:spacing w:before="100" w:beforeAutospacing="1" w:after="100" w:afterAutospacing="1" w:line="240" w:lineRule="auto"/>
    </w:pPr>
    <w:rPr>
      <w:rFonts w:ascii="Times New Roman" w:eastAsia="Times New Roman" w:hAnsi="Times New Roman" w:cs="Times New Roman"/>
      <w:sz w:val="24"/>
      <w:szCs w:val="24"/>
      <w:lang w:eastAsia="en-Z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3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535B"/>
    <w:pPr>
      <w:spacing w:after="0" w:line="240" w:lineRule="auto"/>
    </w:pPr>
  </w:style>
  <w:style w:type="paragraph" w:styleId="Header">
    <w:name w:val="header"/>
    <w:basedOn w:val="Normal"/>
    <w:link w:val="HeaderChar"/>
    <w:uiPriority w:val="99"/>
    <w:unhideWhenUsed/>
    <w:rsid w:val="006E53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535B"/>
  </w:style>
  <w:style w:type="paragraph" w:styleId="Footer">
    <w:name w:val="footer"/>
    <w:basedOn w:val="Normal"/>
    <w:link w:val="FooterChar"/>
    <w:uiPriority w:val="99"/>
    <w:unhideWhenUsed/>
    <w:rsid w:val="006E53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535B"/>
  </w:style>
  <w:style w:type="paragraph" w:customStyle="1" w:styleId="Default">
    <w:name w:val="Default"/>
    <w:rsid w:val="00614B1E"/>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6A1FFC"/>
    <w:pPr>
      <w:ind w:left="720"/>
      <w:contextualSpacing/>
    </w:pPr>
  </w:style>
  <w:style w:type="paragraph" w:styleId="FootnoteText">
    <w:name w:val="footnote text"/>
    <w:basedOn w:val="Normal"/>
    <w:link w:val="FootnoteTextChar"/>
    <w:uiPriority w:val="99"/>
    <w:semiHidden/>
    <w:unhideWhenUsed/>
    <w:rsid w:val="00841F5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1F5E"/>
    <w:rPr>
      <w:sz w:val="20"/>
      <w:szCs w:val="20"/>
    </w:rPr>
  </w:style>
  <w:style w:type="character" w:styleId="FootnoteReference">
    <w:name w:val="footnote reference"/>
    <w:basedOn w:val="DefaultParagraphFont"/>
    <w:uiPriority w:val="99"/>
    <w:semiHidden/>
    <w:unhideWhenUsed/>
    <w:rsid w:val="00841F5E"/>
    <w:rPr>
      <w:vertAlign w:val="superscript"/>
    </w:rPr>
  </w:style>
  <w:style w:type="paragraph" w:customStyle="1" w:styleId="parties">
    <w:name w:val="parties"/>
    <w:basedOn w:val="Normal"/>
    <w:rsid w:val="008A276B"/>
    <w:pPr>
      <w:spacing w:before="100" w:beforeAutospacing="1" w:after="100" w:afterAutospacing="1" w:line="240" w:lineRule="auto"/>
    </w:pPr>
    <w:rPr>
      <w:rFonts w:ascii="Times New Roman" w:eastAsia="Times New Roman" w:hAnsi="Times New Roman" w:cs="Times New Roman"/>
      <w:sz w:val="24"/>
      <w:szCs w:val="24"/>
      <w:lang w:eastAsia="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3423</Words>
  <Characters>19515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IECMS</dc:creator>
  <cp:lastModifiedBy>JSC</cp:lastModifiedBy>
  <cp:revision>2</cp:revision>
  <cp:lastPrinted>2026-02-05T15:18:00Z</cp:lastPrinted>
  <dcterms:created xsi:type="dcterms:W3CDTF">2026-02-06T10:38:00Z</dcterms:created>
  <dcterms:modified xsi:type="dcterms:W3CDTF">2026-02-06T10:38:00Z</dcterms:modified>
</cp:coreProperties>
</file>