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Override PartName="/word/header1.xml" ContentType="application/vnd.openxmlformats-officedocument.wordprocessingml.header+xml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p>
      <w:pPr>
        <w:pStyle w:val="BodyText"/>
        <w:spacing w:before="4"/>
        <w:rPr>
          <w:sz w:val="26"/>
        </w:rPr>
      </w:pPr>
    </w:p>
    <w:p>
      <w:pPr>
        <w:spacing w:after="0"/>
        <w:rPr>
          <w:sz w:val="26"/>
        </w:rPr>
        <w:sectPr>
          <w:type w:val="continuous"/>
          <w:pgSz w:w="11910" w:h="16840"/>
          <w:pgMar w:top="1580" w:bottom="280" w:left="1340" w:right="1180"/>
        </w:sectPr>
      </w:pPr>
    </w:p>
    <w:p>
      <w:pPr>
        <w:pStyle w:val="Heading1"/>
        <w:spacing w:before="90"/>
      </w:pPr>
      <w:r>
        <w:rPr/>
        <w:drawing>
          <wp:anchor distT="0" distB="0" distL="0" distR="0" allowOverlap="1" layoutInCell="1" locked="0" behindDoc="0" simplePos="0" relativeHeight="15728640">
            <wp:simplePos x="0" y="0"/>
            <wp:positionH relativeFrom="page">
              <wp:posOffset>848360</wp:posOffset>
            </wp:positionH>
            <wp:positionV relativeFrom="paragraph">
              <wp:posOffset>-190714</wp:posOffset>
            </wp:positionV>
            <wp:extent cx="5010912" cy="2651759"/>
            <wp:effectExtent l="0" t="0" r="0" b="0"/>
            <wp:wrapNone/>
            <wp:docPr id="1" name="image1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1.pn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010912" cy="265175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t>IN</w:t>
      </w:r>
      <w:r>
        <w:rPr>
          <w:spacing w:val="-1"/>
        </w:rPr>
        <w:t> </w:t>
      </w:r>
      <w:r>
        <w:rPr/>
        <w:t>THE</w:t>
      </w:r>
      <w:r>
        <w:rPr>
          <w:spacing w:val="-1"/>
        </w:rPr>
        <w:t> </w:t>
      </w:r>
      <w:r>
        <w:rPr/>
        <w:t>LABOUR</w:t>
      </w:r>
      <w:r>
        <w:rPr>
          <w:spacing w:val="-2"/>
        </w:rPr>
        <w:t> </w:t>
      </w:r>
      <w:r>
        <w:rPr/>
        <w:t>COURT</w:t>
      </w:r>
      <w:r>
        <w:rPr>
          <w:spacing w:val="-1"/>
        </w:rPr>
        <w:t> </w:t>
      </w:r>
      <w:r>
        <w:rPr/>
        <w:t>OF</w:t>
      </w:r>
      <w:r>
        <w:rPr>
          <w:spacing w:val="-1"/>
        </w:rPr>
        <w:t> </w:t>
      </w:r>
      <w:r>
        <w:rPr/>
        <w:t>ZIMBABWE</w:t>
      </w:r>
    </w:p>
    <w:p>
      <w:pPr>
        <w:pStyle w:val="BodyText"/>
        <w:rPr>
          <w:b/>
        </w:rPr>
      </w:pPr>
    </w:p>
    <w:p>
      <w:pPr>
        <w:spacing w:before="0"/>
        <w:ind w:left="100" w:right="0" w:firstLine="0"/>
        <w:jc w:val="left"/>
        <w:rPr>
          <w:b/>
          <w:sz w:val="24"/>
        </w:rPr>
      </w:pPr>
      <w:r>
        <w:rPr>
          <w:b/>
          <w:sz w:val="24"/>
        </w:rPr>
        <w:t>HARARE,</w:t>
      </w:r>
      <w:r>
        <w:rPr>
          <w:b/>
          <w:spacing w:val="-1"/>
          <w:sz w:val="24"/>
        </w:rPr>
        <w:t> </w:t>
      </w:r>
      <w:r>
        <w:rPr>
          <w:b/>
          <w:sz w:val="24"/>
        </w:rPr>
        <w:t>27 JUNE 2023</w:t>
      </w:r>
    </w:p>
    <w:p>
      <w:pPr>
        <w:pStyle w:val="Heading1"/>
      </w:pPr>
      <w:r>
        <w:rPr/>
        <w:t>27</w:t>
      </w:r>
      <w:r>
        <w:rPr>
          <w:spacing w:val="-1"/>
        </w:rPr>
        <w:t> </w:t>
      </w:r>
      <w:r>
        <w:rPr/>
        <w:t>SEPTEMBER 2023</w:t>
      </w:r>
    </w:p>
    <w:p>
      <w:pPr>
        <w:spacing w:line="480" w:lineRule="auto" w:before="90"/>
        <w:ind w:left="100" w:right="93" w:firstLine="0"/>
        <w:jc w:val="left"/>
        <w:rPr>
          <w:b/>
          <w:sz w:val="24"/>
        </w:rPr>
      </w:pPr>
      <w:r>
        <w:rPr/>
        <w:br w:type="column"/>
      </w:r>
      <w:r>
        <w:rPr>
          <w:b/>
          <w:sz w:val="24"/>
        </w:rPr>
        <w:t>JUDGMENT NO LC/H/284/2023</w:t>
      </w:r>
      <w:r>
        <w:rPr>
          <w:b/>
          <w:spacing w:val="-57"/>
          <w:sz w:val="24"/>
        </w:rPr>
        <w:t> </w:t>
      </w:r>
      <w:r>
        <w:rPr>
          <w:b/>
          <w:sz w:val="24"/>
        </w:rPr>
        <w:t>CASE</w:t>
      </w:r>
      <w:r>
        <w:rPr>
          <w:b/>
          <w:spacing w:val="-1"/>
          <w:sz w:val="24"/>
        </w:rPr>
        <w:t> </w:t>
      </w:r>
      <w:r>
        <w:rPr>
          <w:b/>
          <w:sz w:val="24"/>
        </w:rPr>
        <w:t>NO LC/H/887/22</w:t>
      </w:r>
    </w:p>
    <w:p>
      <w:pPr>
        <w:spacing w:after="0" w:line="480" w:lineRule="auto"/>
        <w:jc w:val="left"/>
        <w:rPr>
          <w:sz w:val="24"/>
        </w:rPr>
        <w:sectPr>
          <w:type w:val="continuous"/>
          <w:pgSz w:w="11910" w:h="16840"/>
          <w:pgMar w:top="1580" w:bottom="280" w:left="1340" w:right="1180"/>
          <w:cols w:num="2" w:equalWidth="0">
            <w:col w:w="4813" w:space="950"/>
            <w:col w:w="3627"/>
          </w:cols>
        </w:sect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spacing w:before="2"/>
        <w:rPr>
          <w:b/>
          <w:sz w:val="28"/>
        </w:rPr>
      </w:pPr>
    </w:p>
    <w:p>
      <w:pPr>
        <w:pStyle w:val="Heading1"/>
        <w:tabs>
          <w:tab w:pos="5861" w:val="left" w:leader="none"/>
        </w:tabs>
        <w:spacing w:before="90"/>
      </w:pPr>
      <w:r>
        <w:rPr/>
        <w:t>SAMUEL</w:t>
      </w:r>
      <w:r>
        <w:rPr>
          <w:spacing w:val="-1"/>
        </w:rPr>
        <w:t> </w:t>
      </w:r>
      <w:r>
        <w:rPr/>
        <w:t>HOVA</w:t>
        <w:tab/>
        <w:t>APPLICANT</w:t>
      </w:r>
    </w:p>
    <w:p>
      <w:pPr>
        <w:pStyle w:val="BodyText"/>
        <w:rPr>
          <w:b/>
          <w:sz w:val="26"/>
        </w:rPr>
      </w:pPr>
    </w:p>
    <w:p>
      <w:pPr>
        <w:pStyle w:val="BodyText"/>
        <w:rPr>
          <w:b/>
          <w:sz w:val="26"/>
        </w:rPr>
      </w:pPr>
    </w:p>
    <w:p>
      <w:pPr>
        <w:tabs>
          <w:tab w:pos="5861" w:val="left" w:leader="none"/>
        </w:tabs>
        <w:spacing w:before="231"/>
        <w:ind w:left="100" w:right="0" w:firstLine="0"/>
        <w:jc w:val="left"/>
        <w:rPr>
          <w:b/>
          <w:sz w:val="24"/>
        </w:rPr>
      </w:pPr>
      <w:r>
        <w:rPr>
          <w:b/>
          <w:sz w:val="24"/>
        </w:rPr>
        <w:t>PETROZIM</w:t>
      </w:r>
      <w:r>
        <w:rPr>
          <w:b/>
          <w:spacing w:val="-2"/>
          <w:sz w:val="24"/>
        </w:rPr>
        <w:t> </w:t>
      </w:r>
      <w:r>
        <w:rPr>
          <w:b/>
          <w:sz w:val="24"/>
        </w:rPr>
        <w:t>LINE</w:t>
      </w:r>
      <w:r>
        <w:rPr>
          <w:b/>
          <w:spacing w:val="-1"/>
          <w:sz w:val="24"/>
        </w:rPr>
        <w:t> </w:t>
      </w:r>
      <w:r>
        <w:rPr>
          <w:b/>
          <w:sz w:val="24"/>
        </w:rPr>
        <w:t>PVT LTD</w:t>
        <w:tab/>
        <w:t>RESPONDENT</w:t>
      </w:r>
    </w:p>
    <w:p>
      <w:pPr>
        <w:pStyle w:val="BodyText"/>
        <w:rPr>
          <w:b/>
          <w:sz w:val="26"/>
        </w:rPr>
      </w:pPr>
    </w:p>
    <w:p>
      <w:pPr>
        <w:pStyle w:val="BodyText"/>
        <w:rPr>
          <w:b/>
          <w:sz w:val="22"/>
        </w:rPr>
      </w:pPr>
    </w:p>
    <w:p>
      <w:pPr>
        <w:pStyle w:val="BodyText"/>
        <w:ind w:left="100"/>
      </w:pPr>
      <w:r>
        <w:rPr/>
        <w:t>Before</w:t>
      </w:r>
      <w:r>
        <w:rPr>
          <w:spacing w:val="-2"/>
        </w:rPr>
        <w:t> </w:t>
      </w:r>
      <w:r>
        <w:rPr/>
        <w:t>the</w:t>
      </w:r>
      <w:r>
        <w:rPr>
          <w:spacing w:val="-1"/>
        </w:rPr>
        <w:t> </w:t>
      </w:r>
      <w:r>
        <w:rPr/>
        <w:t>Honourable</w:t>
      </w:r>
      <w:r>
        <w:rPr>
          <w:spacing w:val="1"/>
        </w:rPr>
        <w:t> </w:t>
      </w:r>
      <w:r>
        <w:rPr/>
        <w:t>G.</w:t>
      </w:r>
      <w:r>
        <w:rPr>
          <w:spacing w:val="-1"/>
        </w:rPr>
        <w:t> </w:t>
      </w:r>
      <w:r>
        <w:rPr/>
        <w:t>Musariri</w:t>
      </w:r>
      <w:r>
        <w:rPr>
          <w:spacing w:val="-1"/>
        </w:rPr>
        <w:t> </w:t>
      </w:r>
      <w:r>
        <w:rPr/>
        <w:t>Judge:</w:t>
      </w:r>
    </w:p>
    <w:p>
      <w:pPr>
        <w:pStyle w:val="BodyText"/>
      </w:pPr>
    </w:p>
    <w:p>
      <w:pPr>
        <w:pStyle w:val="BodyText"/>
        <w:tabs>
          <w:tab w:pos="2980" w:val="left" w:leader="none"/>
        </w:tabs>
        <w:ind w:left="100"/>
      </w:pPr>
      <w:r>
        <w:rPr/>
        <w:t>For</w:t>
      </w:r>
      <w:r>
        <w:rPr>
          <w:spacing w:val="-2"/>
        </w:rPr>
        <w:t> </w:t>
      </w:r>
      <w:r>
        <w:rPr/>
        <w:t>Applicant</w:t>
        <w:tab/>
        <w:t>-Mr P.</w:t>
      </w:r>
      <w:r>
        <w:rPr>
          <w:spacing w:val="-1"/>
        </w:rPr>
        <w:t> </w:t>
      </w:r>
      <w:r>
        <w:rPr/>
        <w:t>Mutasa,</w:t>
      </w:r>
      <w:r>
        <w:rPr>
          <w:spacing w:val="-1"/>
        </w:rPr>
        <w:t> </w:t>
      </w:r>
      <w:r>
        <w:rPr/>
        <w:t>Unionist</w:t>
      </w:r>
    </w:p>
    <w:p>
      <w:pPr>
        <w:pStyle w:val="BodyText"/>
        <w:tabs>
          <w:tab w:pos="2980" w:val="left" w:leader="none"/>
        </w:tabs>
        <w:spacing w:before="137"/>
        <w:ind w:left="100"/>
      </w:pPr>
      <w:r>
        <w:rPr/>
        <w:t>For</w:t>
      </w:r>
      <w:r>
        <w:rPr>
          <w:spacing w:val="-2"/>
        </w:rPr>
        <w:t> </w:t>
      </w:r>
      <w:r>
        <w:rPr/>
        <w:t>Respondent</w:t>
        <w:tab/>
        <w:t>-</w:t>
      </w:r>
      <w:r>
        <w:rPr>
          <w:spacing w:val="-1"/>
        </w:rPr>
        <w:t> </w:t>
      </w:r>
      <w:r>
        <w:rPr/>
        <w:t>Mr</w:t>
      </w:r>
      <w:r>
        <w:rPr>
          <w:spacing w:val="-1"/>
        </w:rPr>
        <w:t> </w:t>
      </w:r>
      <w:r>
        <w:rPr/>
        <w:t>A. Maguchu.</w:t>
      </w:r>
      <w:r>
        <w:rPr>
          <w:spacing w:val="1"/>
        </w:rPr>
        <w:t> </w:t>
      </w:r>
      <w:r>
        <w:rPr/>
        <w:t>Attorney</w:t>
      </w:r>
    </w:p>
    <w:p>
      <w:pPr>
        <w:pStyle w:val="BodyText"/>
        <w:rPr>
          <w:sz w:val="26"/>
        </w:rPr>
      </w:pPr>
    </w:p>
    <w:p>
      <w:pPr>
        <w:pStyle w:val="BodyText"/>
        <w:spacing w:before="1"/>
        <w:rPr>
          <w:sz w:val="34"/>
        </w:rPr>
      </w:pPr>
    </w:p>
    <w:p>
      <w:pPr>
        <w:pStyle w:val="Heading1"/>
      </w:pPr>
      <w:r>
        <w:rPr/>
        <w:t>MUSARIRI,</w:t>
      </w:r>
      <w:r>
        <w:rPr>
          <w:spacing w:val="-1"/>
        </w:rPr>
        <w:t> </w:t>
      </w:r>
      <w:r>
        <w:rPr/>
        <w:t>J:</w:t>
      </w:r>
    </w:p>
    <w:p>
      <w:pPr>
        <w:pStyle w:val="BodyText"/>
        <w:rPr>
          <w:b/>
        </w:rPr>
      </w:pPr>
    </w:p>
    <w:p>
      <w:pPr>
        <w:pStyle w:val="BodyText"/>
        <w:spacing w:line="360" w:lineRule="auto"/>
        <w:ind w:left="100" w:right="258" w:firstLine="719"/>
        <w:jc w:val="both"/>
      </w:pPr>
      <w:r>
        <w:rPr/>
        <w:t>Applicant applied to this Court for the review of the determination by Respondent’s</w:t>
      </w:r>
      <w:r>
        <w:rPr>
          <w:spacing w:val="1"/>
        </w:rPr>
        <w:t> </w:t>
      </w:r>
      <w:r>
        <w:rPr/>
        <w:t>appeals</w:t>
      </w:r>
      <w:r>
        <w:rPr>
          <w:spacing w:val="1"/>
        </w:rPr>
        <w:t> </w:t>
      </w:r>
      <w:r>
        <w:rPr/>
        <w:t>committee</w:t>
      </w:r>
      <w:r>
        <w:rPr>
          <w:spacing w:val="1"/>
        </w:rPr>
        <w:t> </w:t>
      </w:r>
      <w:r>
        <w:rPr/>
        <w:t>which</w:t>
      </w:r>
      <w:r>
        <w:rPr>
          <w:spacing w:val="1"/>
        </w:rPr>
        <w:t> </w:t>
      </w:r>
      <w:r>
        <w:rPr/>
        <w:t>dismissed</w:t>
      </w:r>
      <w:r>
        <w:rPr>
          <w:spacing w:val="1"/>
        </w:rPr>
        <w:t> </w:t>
      </w:r>
      <w:r>
        <w:rPr/>
        <w:t>his</w:t>
      </w:r>
      <w:r>
        <w:rPr>
          <w:spacing w:val="1"/>
        </w:rPr>
        <w:t> </w:t>
      </w:r>
      <w:r>
        <w:rPr/>
        <w:t>appeal</w:t>
      </w:r>
      <w:r>
        <w:rPr>
          <w:spacing w:val="1"/>
        </w:rPr>
        <w:t> </w:t>
      </w:r>
      <w:r>
        <w:rPr/>
        <w:t>against</w:t>
      </w:r>
      <w:r>
        <w:rPr>
          <w:spacing w:val="1"/>
        </w:rPr>
        <w:t> </w:t>
      </w:r>
      <w:r>
        <w:rPr/>
        <w:t>the</w:t>
      </w:r>
      <w:r>
        <w:rPr>
          <w:spacing w:val="1"/>
        </w:rPr>
        <w:t> </w:t>
      </w:r>
      <w:r>
        <w:rPr/>
        <w:t>decision</w:t>
      </w:r>
      <w:r>
        <w:rPr>
          <w:spacing w:val="1"/>
        </w:rPr>
        <w:t> </w:t>
      </w:r>
      <w:r>
        <w:rPr/>
        <w:t>of</w:t>
      </w:r>
      <w:r>
        <w:rPr>
          <w:spacing w:val="1"/>
        </w:rPr>
        <w:t> </w:t>
      </w:r>
      <w:r>
        <w:rPr/>
        <w:t>the</w:t>
      </w:r>
      <w:r>
        <w:rPr>
          <w:spacing w:val="1"/>
        </w:rPr>
        <w:t> </w:t>
      </w:r>
      <w:r>
        <w:rPr/>
        <w:t>disciplinary</w:t>
      </w:r>
      <w:r>
        <w:rPr>
          <w:spacing w:val="1"/>
        </w:rPr>
        <w:t> </w:t>
      </w:r>
      <w:r>
        <w:rPr/>
        <w:t>committee.</w:t>
      </w:r>
      <w:r>
        <w:rPr>
          <w:spacing w:val="1"/>
        </w:rPr>
        <w:t> </w:t>
      </w:r>
      <w:r>
        <w:rPr/>
        <w:t>The application was made in terms of Section 92EE of the </w:t>
      </w:r>
      <w:r>
        <w:rPr>
          <w:u w:val="single"/>
        </w:rPr>
        <w:t>Labour</w:t>
      </w:r>
      <w:r>
        <w:rPr/>
        <w:t> </w:t>
      </w:r>
      <w:r>
        <w:rPr>
          <w:u w:val="single"/>
        </w:rPr>
        <w:t>Ac</w:t>
      </w:r>
      <w:r>
        <w:rPr/>
        <w:t>t Chapter</w:t>
      </w:r>
      <w:r>
        <w:rPr>
          <w:spacing w:val="1"/>
        </w:rPr>
        <w:t> </w:t>
      </w:r>
      <w:r>
        <w:rPr>
          <w:spacing w:val="-1"/>
        </w:rPr>
        <w:t>28:01</w:t>
      </w:r>
      <w:r>
        <w:rPr>
          <w:spacing w:val="-14"/>
        </w:rPr>
        <w:t> </w:t>
      </w:r>
      <w:r>
        <w:rPr/>
        <w:t>as</w:t>
      </w:r>
      <w:r>
        <w:rPr>
          <w:spacing w:val="-15"/>
        </w:rPr>
        <w:t> </w:t>
      </w:r>
      <w:r>
        <w:rPr/>
        <w:t>read</w:t>
      </w:r>
      <w:r>
        <w:rPr>
          <w:spacing w:val="-15"/>
        </w:rPr>
        <w:t> </w:t>
      </w:r>
      <w:r>
        <w:rPr/>
        <w:t>with</w:t>
      </w:r>
      <w:r>
        <w:rPr>
          <w:spacing w:val="-14"/>
        </w:rPr>
        <w:t> </w:t>
      </w:r>
      <w:r>
        <w:rPr/>
        <w:t>Rule</w:t>
      </w:r>
      <w:r>
        <w:rPr>
          <w:spacing w:val="-14"/>
        </w:rPr>
        <w:t> </w:t>
      </w:r>
      <w:r>
        <w:rPr/>
        <w:t>20</w:t>
      </w:r>
      <w:r>
        <w:rPr>
          <w:spacing w:val="-15"/>
        </w:rPr>
        <w:t> </w:t>
      </w:r>
      <w:r>
        <w:rPr/>
        <w:t>of</w:t>
      </w:r>
      <w:r>
        <w:rPr>
          <w:spacing w:val="-16"/>
        </w:rPr>
        <w:t> </w:t>
      </w:r>
      <w:r>
        <w:rPr/>
        <w:t>the</w:t>
      </w:r>
      <w:r>
        <w:rPr>
          <w:spacing w:val="-14"/>
        </w:rPr>
        <w:t> </w:t>
      </w:r>
      <w:r>
        <w:rPr>
          <w:u w:val="single"/>
        </w:rPr>
        <w:t>Labour</w:t>
      </w:r>
      <w:r>
        <w:rPr>
          <w:spacing w:val="-14"/>
          <w:u w:val="single"/>
        </w:rPr>
        <w:t> </w:t>
      </w:r>
      <w:r>
        <w:rPr>
          <w:u w:val="single"/>
        </w:rPr>
        <w:t>Court</w:t>
      </w:r>
      <w:r>
        <w:rPr>
          <w:spacing w:val="-12"/>
          <w:u w:val="single"/>
        </w:rPr>
        <w:t> </w:t>
      </w:r>
      <w:r>
        <w:rPr>
          <w:u w:val="single"/>
        </w:rPr>
        <w:t>Rules</w:t>
      </w:r>
      <w:r>
        <w:rPr>
          <w:spacing w:val="-14"/>
        </w:rPr>
        <w:t> </w:t>
      </w:r>
      <w:r>
        <w:rPr/>
        <w:t>S.I.</w:t>
      </w:r>
      <w:r>
        <w:rPr>
          <w:spacing w:val="-15"/>
        </w:rPr>
        <w:t> </w:t>
      </w:r>
      <w:r>
        <w:rPr/>
        <w:t>150/17.</w:t>
      </w:r>
      <w:r>
        <w:rPr>
          <w:spacing w:val="32"/>
        </w:rPr>
        <w:t> </w:t>
      </w:r>
      <w:r>
        <w:rPr/>
        <w:t>The</w:t>
      </w:r>
      <w:r>
        <w:rPr>
          <w:spacing w:val="-16"/>
        </w:rPr>
        <w:t> </w:t>
      </w:r>
      <w:r>
        <w:rPr/>
        <w:t>impugned</w:t>
      </w:r>
      <w:r>
        <w:rPr>
          <w:spacing w:val="-15"/>
        </w:rPr>
        <w:t> </w:t>
      </w:r>
      <w:r>
        <w:rPr/>
        <w:t>determination</w:t>
      </w:r>
      <w:r>
        <w:rPr>
          <w:spacing w:val="-57"/>
        </w:rPr>
        <w:t> </w:t>
      </w:r>
      <w:r>
        <w:rPr/>
        <w:t>by</w:t>
      </w:r>
      <w:r>
        <w:rPr>
          <w:spacing w:val="-1"/>
        </w:rPr>
        <w:t> </w:t>
      </w:r>
      <w:r>
        <w:rPr/>
        <w:t>the appeals committee reads as</w:t>
      </w:r>
      <w:r>
        <w:rPr>
          <w:spacing w:val="2"/>
        </w:rPr>
        <w:t> </w:t>
      </w:r>
      <w:r>
        <w:rPr/>
        <w:t>follows,</w:t>
      </w:r>
    </w:p>
    <w:p>
      <w:pPr>
        <w:pStyle w:val="BodyText"/>
        <w:ind w:left="820" w:right="259"/>
        <w:jc w:val="both"/>
      </w:pPr>
      <w:r>
        <w:rPr/>
        <w:t>“The</w:t>
      </w:r>
      <w:r>
        <w:rPr>
          <w:spacing w:val="1"/>
        </w:rPr>
        <w:t> </w:t>
      </w:r>
      <w:r>
        <w:rPr/>
        <w:t>appeals</w:t>
      </w:r>
      <w:r>
        <w:rPr>
          <w:spacing w:val="1"/>
        </w:rPr>
        <w:t> </w:t>
      </w:r>
      <w:r>
        <w:rPr/>
        <w:t>committee</w:t>
      </w:r>
      <w:r>
        <w:rPr>
          <w:spacing w:val="1"/>
        </w:rPr>
        <w:t> </w:t>
      </w:r>
      <w:r>
        <w:rPr/>
        <w:t>considered</w:t>
      </w:r>
      <w:r>
        <w:rPr>
          <w:spacing w:val="1"/>
        </w:rPr>
        <w:t> </w:t>
      </w:r>
      <w:r>
        <w:rPr/>
        <w:t>a</w:t>
      </w:r>
      <w:r>
        <w:rPr>
          <w:spacing w:val="1"/>
        </w:rPr>
        <w:t> </w:t>
      </w:r>
      <w:r>
        <w:rPr/>
        <w:t>preliminary</w:t>
      </w:r>
      <w:r>
        <w:rPr>
          <w:spacing w:val="1"/>
        </w:rPr>
        <w:t> </w:t>
      </w:r>
      <w:r>
        <w:rPr/>
        <w:t>point</w:t>
      </w:r>
      <w:r>
        <w:rPr>
          <w:spacing w:val="1"/>
        </w:rPr>
        <w:t> </w:t>
      </w:r>
      <w:r>
        <w:rPr/>
        <w:t>that</w:t>
      </w:r>
      <w:r>
        <w:rPr>
          <w:spacing w:val="1"/>
        </w:rPr>
        <w:t> </w:t>
      </w:r>
      <w:r>
        <w:rPr/>
        <w:t>was</w:t>
      </w:r>
      <w:r>
        <w:rPr>
          <w:spacing w:val="1"/>
        </w:rPr>
        <w:t> </w:t>
      </w:r>
      <w:r>
        <w:rPr/>
        <w:t>raised</w:t>
      </w:r>
      <w:r>
        <w:rPr>
          <w:spacing w:val="1"/>
        </w:rPr>
        <w:t> </w:t>
      </w:r>
      <w:r>
        <w:rPr/>
        <w:t>by</w:t>
      </w:r>
      <w:r>
        <w:rPr>
          <w:spacing w:val="1"/>
        </w:rPr>
        <w:t> </w:t>
      </w:r>
      <w:r>
        <w:rPr/>
        <w:t>the</w:t>
      </w:r>
      <w:r>
        <w:rPr>
          <w:spacing w:val="1"/>
        </w:rPr>
        <w:t> </w:t>
      </w:r>
      <w:r>
        <w:rPr/>
        <w:t>respondent in response to your grounds of appeal, regarding the propriety of your</w:t>
      </w:r>
      <w:r>
        <w:rPr>
          <w:spacing w:val="1"/>
        </w:rPr>
        <w:t> </w:t>
      </w:r>
      <w:r>
        <w:rPr/>
        <w:t>appeal to the appeals committee.</w:t>
      </w:r>
      <w:r>
        <w:rPr>
          <w:spacing w:val="1"/>
        </w:rPr>
        <w:t> </w:t>
      </w:r>
      <w:r>
        <w:rPr/>
        <w:t>Following consideration of submission from both</w:t>
      </w:r>
      <w:r>
        <w:rPr>
          <w:spacing w:val="1"/>
        </w:rPr>
        <w:t> </w:t>
      </w:r>
      <w:r>
        <w:rPr/>
        <w:t>parties on this preliminary point, the appeals committee upheld the preliminary point</w:t>
      </w:r>
      <w:r>
        <w:rPr>
          <w:spacing w:val="1"/>
        </w:rPr>
        <w:t> </w:t>
      </w:r>
      <w:r>
        <w:rPr/>
        <w:t>and held that you are not entitled to appeal against what was effectively a default</w:t>
      </w:r>
      <w:r>
        <w:rPr>
          <w:spacing w:val="1"/>
        </w:rPr>
        <w:t> </w:t>
      </w:r>
      <w:r>
        <w:rPr/>
        <w:t>judgment.</w:t>
      </w:r>
    </w:p>
    <w:p>
      <w:pPr>
        <w:pStyle w:val="BodyText"/>
        <w:ind w:left="820" w:right="266"/>
        <w:jc w:val="both"/>
      </w:pPr>
      <w:r>
        <w:rPr/>
        <w:t>You will therefore remain dismissed. Please note that you have the right to appeal</w:t>
      </w:r>
      <w:r>
        <w:rPr>
          <w:spacing w:val="1"/>
        </w:rPr>
        <w:t> </w:t>
      </w:r>
      <w:r>
        <w:rPr/>
        <w:t>against this</w:t>
      </w:r>
      <w:r>
        <w:rPr>
          <w:spacing w:val="-1"/>
        </w:rPr>
        <w:t> </w:t>
      </w:r>
      <w:r>
        <w:rPr/>
        <w:t>decision in accordance</w:t>
      </w:r>
      <w:r>
        <w:rPr>
          <w:spacing w:val="-1"/>
        </w:rPr>
        <w:t> </w:t>
      </w:r>
      <w:r>
        <w:rPr/>
        <w:t>with</w:t>
      </w:r>
      <w:r>
        <w:rPr>
          <w:spacing w:val="-2"/>
        </w:rPr>
        <w:t> </w:t>
      </w:r>
      <w:r>
        <w:rPr/>
        <w:t>the</w:t>
      </w:r>
      <w:r>
        <w:rPr>
          <w:spacing w:val="-1"/>
        </w:rPr>
        <w:t> </w:t>
      </w:r>
      <w:r>
        <w:rPr/>
        <w:t>Labour Act”</w:t>
      </w:r>
    </w:p>
    <w:p>
      <w:pPr>
        <w:pStyle w:val="BodyText"/>
      </w:pPr>
    </w:p>
    <w:p>
      <w:pPr>
        <w:pStyle w:val="BodyText"/>
        <w:ind w:left="820"/>
        <w:jc w:val="both"/>
      </w:pPr>
      <w:r>
        <w:rPr/>
        <w:t>The</w:t>
      </w:r>
      <w:r>
        <w:rPr>
          <w:spacing w:val="-4"/>
        </w:rPr>
        <w:t> </w:t>
      </w:r>
      <w:r>
        <w:rPr/>
        <w:t>grounds</w:t>
      </w:r>
      <w:r>
        <w:rPr>
          <w:spacing w:val="-1"/>
        </w:rPr>
        <w:t> </w:t>
      </w:r>
      <w:r>
        <w:rPr/>
        <w:t>for</w:t>
      </w:r>
      <w:r>
        <w:rPr>
          <w:spacing w:val="-1"/>
        </w:rPr>
        <w:t> </w:t>
      </w:r>
      <w:r>
        <w:rPr/>
        <w:t>review were</w:t>
      </w:r>
      <w:r>
        <w:rPr>
          <w:spacing w:val="-1"/>
        </w:rPr>
        <w:t> </w:t>
      </w:r>
      <w:r>
        <w:rPr/>
        <w:t>cited</w:t>
      </w:r>
      <w:r>
        <w:rPr>
          <w:spacing w:val="-1"/>
        </w:rPr>
        <w:t> </w:t>
      </w:r>
      <w:r>
        <w:rPr/>
        <w:t>as</w:t>
      </w:r>
    </w:p>
    <w:p>
      <w:pPr>
        <w:pStyle w:val="BodyText"/>
      </w:pPr>
    </w:p>
    <w:p>
      <w:pPr>
        <w:pStyle w:val="ListParagraph"/>
        <w:numPr>
          <w:ilvl w:val="0"/>
          <w:numId w:val="1"/>
        </w:numPr>
        <w:tabs>
          <w:tab w:pos="1181" w:val="left" w:leader="none"/>
        </w:tabs>
        <w:spacing w:line="240" w:lineRule="auto" w:before="0" w:after="0"/>
        <w:ind w:left="1180" w:right="0" w:hanging="361"/>
        <w:jc w:val="left"/>
        <w:rPr>
          <w:sz w:val="24"/>
        </w:rPr>
      </w:pPr>
      <w:r>
        <w:rPr>
          <w:sz w:val="24"/>
        </w:rPr>
        <w:t>Illegality</w:t>
      </w:r>
      <w:r>
        <w:rPr>
          <w:spacing w:val="-2"/>
          <w:sz w:val="24"/>
        </w:rPr>
        <w:t> </w:t>
      </w:r>
      <w:r>
        <w:rPr>
          <w:sz w:val="24"/>
        </w:rPr>
        <w:t>in</w:t>
      </w:r>
      <w:r>
        <w:rPr>
          <w:spacing w:val="-2"/>
          <w:sz w:val="24"/>
        </w:rPr>
        <w:t> </w:t>
      </w:r>
      <w:r>
        <w:rPr>
          <w:sz w:val="24"/>
        </w:rPr>
        <w:t>the</w:t>
      </w:r>
      <w:r>
        <w:rPr>
          <w:spacing w:val="-1"/>
          <w:sz w:val="24"/>
        </w:rPr>
        <w:t> </w:t>
      </w:r>
      <w:r>
        <w:rPr>
          <w:sz w:val="24"/>
        </w:rPr>
        <w:t>proceedings,</w:t>
      </w:r>
    </w:p>
    <w:p>
      <w:pPr>
        <w:pStyle w:val="ListParagraph"/>
        <w:numPr>
          <w:ilvl w:val="0"/>
          <w:numId w:val="1"/>
        </w:numPr>
        <w:tabs>
          <w:tab w:pos="1181" w:val="left" w:leader="none"/>
        </w:tabs>
        <w:spacing w:line="240" w:lineRule="auto" w:before="0" w:after="0"/>
        <w:ind w:left="1180" w:right="0" w:hanging="361"/>
        <w:jc w:val="left"/>
        <w:rPr>
          <w:sz w:val="24"/>
        </w:rPr>
      </w:pPr>
      <w:r>
        <w:rPr>
          <w:sz w:val="24"/>
        </w:rPr>
        <w:t>Gross</w:t>
      </w:r>
      <w:r>
        <w:rPr>
          <w:spacing w:val="-2"/>
          <w:sz w:val="24"/>
        </w:rPr>
        <w:t> </w:t>
      </w:r>
      <w:r>
        <w:rPr>
          <w:sz w:val="24"/>
        </w:rPr>
        <w:t>unreasonableness</w:t>
      </w:r>
      <w:r>
        <w:rPr>
          <w:spacing w:val="-1"/>
          <w:sz w:val="24"/>
        </w:rPr>
        <w:t> </w:t>
      </w:r>
      <w:r>
        <w:rPr>
          <w:sz w:val="24"/>
        </w:rPr>
        <w:t>in</w:t>
      </w:r>
      <w:r>
        <w:rPr>
          <w:spacing w:val="-1"/>
          <w:sz w:val="24"/>
        </w:rPr>
        <w:t> </w:t>
      </w:r>
      <w:r>
        <w:rPr>
          <w:sz w:val="24"/>
        </w:rPr>
        <w:t>the</w:t>
      </w:r>
      <w:r>
        <w:rPr>
          <w:spacing w:val="-1"/>
          <w:sz w:val="24"/>
        </w:rPr>
        <w:t> </w:t>
      </w:r>
      <w:r>
        <w:rPr>
          <w:sz w:val="24"/>
        </w:rPr>
        <w:t>decision</w:t>
      </w:r>
    </w:p>
    <w:p>
      <w:pPr>
        <w:pStyle w:val="ListParagraph"/>
        <w:numPr>
          <w:ilvl w:val="0"/>
          <w:numId w:val="1"/>
        </w:numPr>
        <w:tabs>
          <w:tab w:pos="1181" w:val="left" w:leader="none"/>
        </w:tabs>
        <w:spacing w:line="240" w:lineRule="auto" w:before="0" w:after="0"/>
        <w:ind w:left="1180" w:right="0" w:hanging="361"/>
        <w:jc w:val="left"/>
        <w:rPr>
          <w:sz w:val="24"/>
        </w:rPr>
      </w:pPr>
      <w:r>
        <w:rPr>
          <w:sz w:val="24"/>
        </w:rPr>
        <w:t>Bias</w:t>
      </w:r>
      <w:r>
        <w:rPr>
          <w:spacing w:val="-1"/>
          <w:sz w:val="24"/>
        </w:rPr>
        <w:t> </w:t>
      </w:r>
      <w:r>
        <w:rPr>
          <w:sz w:val="24"/>
        </w:rPr>
        <w:t>by</w:t>
      </w:r>
      <w:r>
        <w:rPr>
          <w:spacing w:val="-1"/>
          <w:sz w:val="24"/>
        </w:rPr>
        <w:t> </w:t>
      </w:r>
      <w:r>
        <w:rPr>
          <w:sz w:val="24"/>
        </w:rPr>
        <w:t>the</w:t>
      </w:r>
      <w:r>
        <w:rPr>
          <w:spacing w:val="-2"/>
          <w:sz w:val="24"/>
        </w:rPr>
        <w:t> </w:t>
      </w:r>
      <w:r>
        <w:rPr>
          <w:sz w:val="24"/>
        </w:rPr>
        <w:t>appeals</w:t>
      </w:r>
      <w:r>
        <w:rPr>
          <w:spacing w:val="-1"/>
          <w:sz w:val="24"/>
        </w:rPr>
        <w:t> </w:t>
      </w:r>
      <w:r>
        <w:rPr>
          <w:sz w:val="24"/>
        </w:rPr>
        <w:t>committee</w:t>
      </w:r>
      <w:r>
        <w:rPr>
          <w:spacing w:val="-2"/>
          <w:sz w:val="24"/>
        </w:rPr>
        <w:t> </w:t>
      </w:r>
      <w:r>
        <w:rPr>
          <w:sz w:val="24"/>
        </w:rPr>
        <w:t>against</w:t>
      </w:r>
      <w:r>
        <w:rPr>
          <w:spacing w:val="-1"/>
          <w:sz w:val="24"/>
        </w:rPr>
        <w:t> </w:t>
      </w:r>
      <w:r>
        <w:rPr>
          <w:sz w:val="24"/>
        </w:rPr>
        <w:t>applicant</w:t>
      </w:r>
    </w:p>
    <w:p>
      <w:pPr>
        <w:pStyle w:val="ListParagraph"/>
        <w:numPr>
          <w:ilvl w:val="0"/>
          <w:numId w:val="1"/>
        </w:numPr>
        <w:tabs>
          <w:tab w:pos="1181" w:val="left" w:leader="none"/>
        </w:tabs>
        <w:spacing w:line="240" w:lineRule="auto" w:before="0" w:after="0"/>
        <w:ind w:left="1180" w:right="0" w:hanging="361"/>
        <w:jc w:val="left"/>
        <w:rPr>
          <w:sz w:val="24"/>
        </w:rPr>
      </w:pPr>
      <w:r>
        <w:rPr>
          <w:sz w:val="24"/>
        </w:rPr>
        <w:t>Gross</w:t>
      </w:r>
      <w:r>
        <w:rPr>
          <w:spacing w:val="-2"/>
          <w:sz w:val="24"/>
        </w:rPr>
        <w:t> </w:t>
      </w:r>
      <w:r>
        <w:rPr>
          <w:sz w:val="24"/>
        </w:rPr>
        <w:t>irregularity</w:t>
      </w:r>
      <w:r>
        <w:rPr>
          <w:spacing w:val="-1"/>
          <w:sz w:val="24"/>
        </w:rPr>
        <w:t> </w:t>
      </w:r>
      <w:r>
        <w:rPr>
          <w:sz w:val="24"/>
        </w:rPr>
        <w:t>in</w:t>
      </w:r>
      <w:r>
        <w:rPr>
          <w:spacing w:val="-2"/>
          <w:sz w:val="24"/>
        </w:rPr>
        <w:t> </w:t>
      </w:r>
      <w:r>
        <w:rPr>
          <w:sz w:val="24"/>
        </w:rPr>
        <w:t>the</w:t>
      </w:r>
      <w:r>
        <w:rPr>
          <w:spacing w:val="-1"/>
          <w:sz w:val="24"/>
        </w:rPr>
        <w:t> </w:t>
      </w:r>
      <w:r>
        <w:rPr>
          <w:sz w:val="24"/>
        </w:rPr>
        <w:t>proceedings</w:t>
      </w:r>
      <w:r>
        <w:rPr>
          <w:spacing w:val="-1"/>
          <w:sz w:val="24"/>
        </w:rPr>
        <w:t> </w:t>
      </w:r>
      <w:r>
        <w:rPr>
          <w:sz w:val="24"/>
        </w:rPr>
        <w:t>or</w:t>
      </w:r>
      <w:r>
        <w:rPr>
          <w:spacing w:val="-2"/>
          <w:sz w:val="24"/>
        </w:rPr>
        <w:t> </w:t>
      </w:r>
      <w:r>
        <w:rPr>
          <w:sz w:val="24"/>
        </w:rPr>
        <w:t>decision.</w:t>
      </w:r>
    </w:p>
    <w:p>
      <w:pPr>
        <w:spacing w:after="0" w:line="240" w:lineRule="auto"/>
        <w:jc w:val="left"/>
        <w:rPr>
          <w:sz w:val="24"/>
        </w:rPr>
        <w:sectPr>
          <w:type w:val="continuous"/>
          <w:pgSz w:w="11910" w:h="16840"/>
          <w:pgMar w:top="1580" w:bottom="280" w:left="1340" w:right="1180"/>
        </w:sect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3"/>
        <w:rPr>
          <w:sz w:val="17"/>
        </w:rPr>
      </w:pPr>
    </w:p>
    <w:p>
      <w:pPr>
        <w:pStyle w:val="BodyText"/>
        <w:spacing w:before="90"/>
        <w:ind w:left="100"/>
      </w:pPr>
      <w:r>
        <w:rPr/>
        <w:t>The</w:t>
      </w:r>
      <w:r>
        <w:rPr>
          <w:spacing w:val="-3"/>
        </w:rPr>
        <w:t> </w:t>
      </w:r>
      <w:r>
        <w:rPr/>
        <w:t>relevant</w:t>
      </w:r>
      <w:r>
        <w:rPr>
          <w:spacing w:val="-1"/>
        </w:rPr>
        <w:t> </w:t>
      </w:r>
      <w:r>
        <w:rPr/>
        <w:t>portion</w:t>
      </w:r>
      <w:r>
        <w:rPr>
          <w:spacing w:val="-1"/>
        </w:rPr>
        <w:t> </w:t>
      </w:r>
      <w:r>
        <w:rPr/>
        <w:t>of</w:t>
      </w:r>
      <w:r>
        <w:rPr>
          <w:spacing w:val="-2"/>
        </w:rPr>
        <w:t> </w:t>
      </w:r>
      <w:r>
        <w:rPr/>
        <w:t>applicant’s</w:t>
      </w:r>
      <w:r>
        <w:rPr>
          <w:spacing w:val="-1"/>
        </w:rPr>
        <w:t> </w:t>
      </w:r>
      <w:r>
        <w:rPr/>
        <w:t>founding</w:t>
      </w:r>
      <w:r>
        <w:rPr>
          <w:spacing w:val="-1"/>
        </w:rPr>
        <w:t> </w:t>
      </w:r>
      <w:r>
        <w:rPr/>
        <w:t>affidavit</w:t>
      </w:r>
      <w:r>
        <w:rPr>
          <w:spacing w:val="-1"/>
        </w:rPr>
        <w:t> </w:t>
      </w:r>
      <w:r>
        <w:rPr/>
        <w:t>reads</w:t>
      </w:r>
      <w:r>
        <w:rPr>
          <w:spacing w:val="-1"/>
        </w:rPr>
        <w:t> </w:t>
      </w:r>
      <w:r>
        <w:rPr/>
        <w:t>thus,</w:t>
      </w:r>
    </w:p>
    <w:p>
      <w:pPr>
        <w:pStyle w:val="BodyText"/>
        <w:spacing w:before="11"/>
        <w:rPr>
          <w:sz w:val="23"/>
        </w:rPr>
      </w:pPr>
    </w:p>
    <w:p>
      <w:pPr>
        <w:pStyle w:val="BodyText"/>
        <w:ind w:left="820" w:right="256"/>
        <w:jc w:val="both"/>
      </w:pPr>
      <w:r>
        <w:rPr/>
        <w:t>“11. The hearing proceeded on the 30</w:t>
      </w:r>
      <w:r>
        <w:rPr>
          <w:vertAlign w:val="superscript"/>
        </w:rPr>
        <w:t>th</w:t>
      </w:r>
      <w:r>
        <w:rPr>
          <w:vertAlign w:val="baseline"/>
        </w:rPr>
        <w:t> of May 2022 with the complainant presenting</w:t>
      </w:r>
      <w:r>
        <w:rPr>
          <w:spacing w:val="1"/>
          <w:vertAlign w:val="baseline"/>
        </w:rPr>
        <w:t> </w:t>
      </w:r>
      <w:r>
        <w:rPr>
          <w:vertAlign w:val="baseline"/>
        </w:rPr>
        <w:t>his case and I pleaded not guilty to the charges and hearing was adjourned to 2 June</w:t>
      </w:r>
      <w:r>
        <w:rPr>
          <w:spacing w:val="1"/>
          <w:vertAlign w:val="baseline"/>
        </w:rPr>
        <w:t> </w:t>
      </w:r>
      <w:r>
        <w:rPr>
          <w:vertAlign w:val="baseline"/>
        </w:rPr>
        <w:t>2022.</w:t>
      </w:r>
    </w:p>
    <w:p>
      <w:pPr>
        <w:pStyle w:val="ListParagraph"/>
        <w:numPr>
          <w:ilvl w:val="0"/>
          <w:numId w:val="2"/>
        </w:numPr>
        <w:tabs>
          <w:tab w:pos="1183" w:val="left" w:leader="none"/>
        </w:tabs>
        <w:spacing w:line="240" w:lineRule="auto" w:before="0" w:after="0"/>
        <w:ind w:left="820" w:right="264" w:firstLine="0"/>
        <w:jc w:val="both"/>
        <w:rPr>
          <w:sz w:val="24"/>
        </w:rPr>
      </w:pPr>
      <w:r>
        <w:rPr>
          <w:sz w:val="24"/>
        </w:rPr>
        <w:t>From 2,3, 6, 7, 9,10, 13 and 14 June 2022, the complainant presented his evidence</w:t>
      </w:r>
      <w:r>
        <w:rPr>
          <w:spacing w:val="-57"/>
          <w:sz w:val="24"/>
        </w:rPr>
        <w:t> </w:t>
      </w:r>
      <w:r>
        <w:rPr>
          <w:sz w:val="24"/>
        </w:rPr>
        <w:t>and</w:t>
      </w:r>
      <w:r>
        <w:rPr>
          <w:spacing w:val="-1"/>
          <w:sz w:val="24"/>
        </w:rPr>
        <w:t> </w:t>
      </w:r>
      <w:r>
        <w:rPr>
          <w:sz w:val="24"/>
        </w:rPr>
        <w:t>called 6 witnesses.</w:t>
      </w:r>
    </w:p>
    <w:p>
      <w:pPr>
        <w:pStyle w:val="ListParagraph"/>
        <w:numPr>
          <w:ilvl w:val="0"/>
          <w:numId w:val="2"/>
        </w:numPr>
        <w:tabs>
          <w:tab w:pos="1185" w:val="left" w:leader="none"/>
        </w:tabs>
        <w:spacing w:line="240" w:lineRule="auto" w:before="0" w:after="0"/>
        <w:ind w:left="820" w:right="253" w:firstLine="0"/>
        <w:jc w:val="both"/>
        <w:rPr>
          <w:sz w:val="24"/>
        </w:rPr>
      </w:pPr>
      <w:r>
        <w:rPr>
          <w:sz w:val="24"/>
        </w:rPr>
        <w:t>On the 13</w:t>
      </w:r>
      <w:r>
        <w:rPr>
          <w:sz w:val="24"/>
          <w:vertAlign w:val="superscript"/>
        </w:rPr>
        <w:t>th</w:t>
      </w:r>
      <w:r>
        <w:rPr>
          <w:sz w:val="24"/>
          <w:vertAlign w:val="baseline"/>
        </w:rPr>
        <w:t> we requested for a postponement for the hearing scheduled on the 15</w:t>
      </w:r>
      <w:r>
        <w:rPr>
          <w:sz w:val="24"/>
          <w:vertAlign w:val="superscript"/>
        </w:rPr>
        <w:t>th</w:t>
      </w:r>
      <w:r>
        <w:rPr>
          <w:spacing w:val="1"/>
          <w:sz w:val="24"/>
          <w:vertAlign w:val="baseline"/>
        </w:rPr>
        <w:t> </w:t>
      </w:r>
      <w:r>
        <w:rPr>
          <w:sz w:val="24"/>
          <w:vertAlign w:val="baseline"/>
        </w:rPr>
        <w:t>of</w:t>
      </w:r>
      <w:r>
        <w:rPr>
          <w:spacing w:val="-1"/>
          <w:sz w:val="24"/>
          <w:vertAlign w:val="baseline"/>
        </w:rPr>
        <w:t> </w:t>
      </w:r>
      <w:r>
        <w:rPr>
          <w:sz w:val="24"/>
          <w:vertAlign w:val="baseline"/>
        </w:rPr>
        <w:t>June</w:t>
      </w:r>
      <w:r>
        <w:rPr>
          <w:spacing w:val="-2"/>
          <w:sz w:val="24"/>
          <w:vertAlign w:val="baseline"/>
        </w:rPr>
        <w:t> </w:t>
      </w:r>
      <w:r>
        <w:rPr>
          <w:sz w:val="24"/>
          <w:vertAlign w:val="baseline"/>
        </w:rPr>
        <w:t>2022 to attend conciliation</w:t>
      </w:r>
      <w:r>
        <w:rPr>
          <w:spacing w:val="-1"/>
          <w:sz w:val="24"/>
          <w:vertAlign w:val="baseline"/>
        </w:rPr>
        <w:t> </w:t>
      </w:r>
      <w:r>
        <w:rPr>
          <w:sz w:val="24"/>
          <w:vertAlign w:val="baseline"/>
        </w:rPr>
        <w:t>at the Ministry of</w:t>
      </w:r>
      <w:r>
        <w:rPr>
          <w:spacing w:val="-1"/>
          <w:sz w:val="24"/>
          <w:vertAlign w:val="baseline"/>
        </w:rPr>
        <w:t> </w:t>
      </w:r>
      <w:r>
        <w:rPr>
          <w:sz w:val="24"/>
          <w:vertAlign w:val="baseline"/>
        </w:rPr>
        <w:t>Labour See</w:t>
      </w:r>
      <w:r>
        <w:rPr>
          <w:spacing w:val="1"/>
          <w:sz w:val="24"/>
          <w:vertAlign w:val="baseline"/>
        </w:rPr>
        <w:t> </w:t>
      </w:r>
      <w:r>
        <w:rPr>
          <w:sz w:val="24"/>
          <w:vertAlign w:val="baseline"/>
        </w:rPr>
        <w:t>Annexure</w:t>
      </w:r>
      <w:r>
        <w:rPr>
          <w:spacing w:val="1"/>
          <w:sz w:val="24"/>
          <w:vertAlign w:val="baseline"/>
        </w:rPr>
        <w:t> </w:t>
      </w:r>
      <w:r>
        <w:rPr>
          <w:sz w:val="24"/>
          <w:vertAlign w:val="baseline"/>
        </w:rPr>
        <w:t>D.</w:t>
      </w:r>
    </w:p>
    <w:p>
      <w:pPr>
        <w:pStyle w:val="ListParagraph"/>
        <w:numPr>
          <w:ilvl w:val="0"/>
          <w:numId w:val="2"/>
        </w:numPr>
        <w:tabs>
          <w:tab w:pos="1171" w:val="left" w:leader="none"/>
        </w:tabs>
        <w:spacing w:line="240" w:lineRule="auto" w:before="0" w:after="0"/>
        <w:ind w:left="820" w:right="255" w:firstLine="0"/>
        <w:jc w:val="both"/>
        <w:rPr>
          <w:sz w:val="24"/>
        </w:rPr>
      </w:pPr>
      <w:r>
        <w:rPr>
          <w:sz w:val="24"/>
        </w:rPr>
        <w:t>On</w:t>
      </w:r>
      <w:r>
        <w:rPr>
          <w:spacing w:val="-12"/>
          <w:sz w:val="24"/>
        </w:rPr>
        <w:t> </w:t>
      </w:r>
      <w:r>
        <w:rPr>
          <w:sz w:val="24"/>
        </w:rPr>
        <w:t>the</w:t>
      </w:r>
      <w:r>
        <w:rPr>
          <w:spacing w:val="-8"/>
          <w:sz w:val="24"/>
        </w:rPr>
        <w:t> </w:t>
      </w:r>
      <w:r>
        <w:rPr>
          <w:sz w:val="24"/>
        </w:rPr>
        <w:t>15th</w:t>
      </w:r>
      <w:r>
        <w:rPr>
          <w:spacing w:val="-10"/>
          <w:sz w:val="24"/>
        </w:rPr>
        <w:t> </w:t>
      </w:r>
      <w:r>
        <w:rPr>
          <w:sz w:val="24"/>
        </w:rPr>
        <w:t>of</w:t>
      </w:r>
      <w:r>
        <w:rPr>
          <w:spacing w:val="-9"/>
          <w:sz w:val="24"/>
        </w:rPr>
        <w:t> </w:t>
      </w:r>
      <w:r>
        <w:rPr>
          <w:sz w:val="24"/>
        </w:rPr>
        <w:t>June</w:t>
      </w:r>
      <w:r>
        <w:rPr>
          <w:spacing w:val="-11"/>
          <w:sz w:val="24"/>
        </w:rPr>
        <w:t> </w:t>
      </w:r>
      <w:r>
        <w:rPr>
          <w:sz w:val="24"/>
        </w:rPr>
        <w:t>2022</w:t>
      </w:r>
      <w:r>
        <w:rPr>
          <w:spacing w:val="-10"/>
          <w:sz w:val="24"/>
        </w:rPr>
        <w:t> </w:t>
      </w:r>
      <w:r>
        <w:rPr>
          <w:sz w:val="24"/>
        </w:rPr>
        <w:t>the</w:t>
      </w:r>
      <w:r>
        <w:rPr>
          <w:spacing w:val="-11"/>
          <w:sz w:val="24"/>
        </w:rPr>
        <w:t> </w:t>
      </w:r>
      <w:r>
        <w:rPr>
          <w:sz w:val="24"/>
        </w:rPr>
        <w:t>committee</w:t>
      </w:r>
      <w:r>
        <w:rPr>
          <w:spacing w:val="-9"/>
          <w:sz w:val="24"/>
        </w:rPr>
        <w:t> </w:t>
      </w:r>
      <w:r>
        <w:rPr>
          <w:sz w:val="24"/>
        </w:rPr>
        <w:t>proceeded</w:t>
      </w:r>
      <w:r>
        <w:rPr>
          <w:spacing w:val="-10"/>
          <w:sz w:val="24"/>
        </w:rPr>
        <w:t> </w:t>
      </w:r>
      <w:r>
        <w:rPr>
          <w:sz w:val="24"/>
        </w:rPr>
        <w:t>to</w:t>
      </w:r>
      <w:r>
        <w:rPr>
          <w:spacing w:val="-6"/>
          <w:sz w:val="24"/>
        </w:rPr>
        <w:t> </w:t>
      </w:r>
      <w:r>
        <w:rPr>
          <w:sz w:val="24"/>
          <w:u w:val="single"/>
        </w:rPr>
        <w:t>hear</w:t>
      </w:r>
      <w:r>
        <w:rPr>
          <w:spacing w:val="-9"/>
          <w:sz w:val="24"/>
          <w:u w:val="single"/>
        </w:rPr>
        <w:t> </w:t>
      </w:r>
      <w:r>
        <w:rPr>
          <w:sz w:val="24"/>
          <w:u w:val="single"/>
        </w:rPr>
        <w:t>the</w:t>
      </w:r>
      <w:r>
        <w:rPr>
          <w:spacing w:val="-11"/>
          <w:sz w:val="24"/>
          <w:u w:val="single"/>
        </w:rPr>
        <w:t> </w:t>
      </w:r>
      <w:r>
        <w:rPr>
          <w:sz w:val="24"/>
          <w:u w:val="single"/>
        </w:rPr>
        <w:t>matter</w:t>
      </w:r>
      <w:r>
        <w:rPr>
          <w:spacing w:val="-11"/>
          <w:sz w:val="24"/>
          <w:u w:val="single"/>
        </w:rPr>
        <w:t> </w:t>
      </w:r>
      <w:r>
        <w:rPr>
          <w:sz w:val="24"/>
          <w:u w:val="single"/>
        </w:rPr>
        <w:t>in</w:t>
      </w:r>
      <w:r>
        <w:rPr>
          <w:spacing w:val="-5"/>
          <w:sz w:val="24"/>
          <w:u w:val="single"/>
        </w:rPr>
        <w:t> </w:t>
      </w:r>
      <w:r>
        <w:rPr>
          <w:sz w:val="24"/>
          <w:u w:val="single"/>
        </w:rPr>
        <w:t>my</w:t>
      </w:r>
      <w:r>
        <w:rPr>
          <w:spacing w:val="-9"/>
          <w:sz w:val="24"/>
          <w:u w:val="single"/>
        </w:rPr>
        <w:t> </w:t>
      </w:r>
      <w:r>
        <w:rPr>
          <w:sz w:val="24"/>
          <w:u w:val="single"/>
        </w:rPr>
        <w:t>absence</w:t>
      </w:r>
      <w:r>
        <w:rPr>
          <w:spacing w:val="-57"/>
          <w:sz w:val="24"/>
        </w:rPr>
        <w:t> </w:t>
      </w:r>
      <w:r>
        <w:rPr>
          <w:sz w:val="24"/>
        </w:rPr>
        <w:t>despite the fact that the defence team had notified them of the meeting at the Ministry</w:t>
      </w:r>
      <w:r>
        <w:rPr>
          <w:spacing w:val="1"/>
          <w:sz w:val="24"/>
        </w:rPr>
        <w:t> </w:t>
      </w:r>
      <w:r>
        <w:rPr>
          <w:sz w:val="24"/>
        </w:rPr>
        <w:t>of Labour. The parties being myself and National Oil Infrastructure Company of</w:t>
      </w:r>
      <w:r>
        <w:rPr>
          <w:spacing w:val="1"/>
          <w:sz w:val="24"/>
        </w:rPr>
        <w:t> </w:t>
      </w:r>
      <w:r>
        <w:rPr>
          <w:sz w:val="24"/>
        </w:rPr>
        <w:t>Zimbabwe.</w:t>
      </w:r>
      <w:r>
        <w:rPr>
          <w:spacing w:val="59"/>
          <w:sz w:val="24"/>
        </w:rPr>
        <w:t> </w:t>
      </w:r>
      <w:r>
        <w:rPr>
          <w:sz w:val="24"/>
        </w:rPr>
        <w:t>See</w:t>
      </w:r>
      <w:r>
        <w:rPr>
          <w:spacing w:val="-1"/>
          <w:sz w:val="24"/>
        </w:rPr>
        <w:t> </w:t>
      </w:r>
      <w:r>
        <w:rPr>
          <w:sz w:val="24"/>
        </w:rPr>
        <w:t>Annexure</w:t>
      </w:r>
      <w:r>
        <w:rPr>
          <w:spacing w:val="-1"/>
          <w:sz w:val="24"/>
        </w:rPr>
        <w:t> </w:t>
      </w:r>
      <w:r>
        <w:rPr>
          <w:sz w:val="24"/>
        </w:rPr>
        <w:t>6.</w:t>
      </w:r>
    </w:p>
    <w:p>
      <w:pPr>
        <w:pStyle w:val="ListParagraph"/>
        <w:numPr>
          <w:ilvl w:val="0"/>
          <w:numId w:val="2"/>
        </w:numPr>
        <w:tabs>
          <w:tab w:pos="1122" w:val="left" w:leader="none"/>
        </w:tabs>
        <w:spacing w:line="240" w:lineRule="auto" w:before="0" w:after="0"/>
        <w:ind w:left="820" w:right="795" w:firstLine="0"/>
        <w:jc w:val="both"/>
        <w:rPr>
          <w:sz w:val="24"/>
        </w:rPr>
      </w:pPr>
      <w:r>
        <w:rPr>
          <w:sz w:val="24"/>
        </w:rPr>
        <w:t>This decision was made without a properly constituted quorum as required by</w:t>
      </w:r>
      <w:r>
        <w:rPr>
          <w:spacing w:val="-58"/>
          <w:sz w:val="24"/>
        </w:rPr>
        <w:t> </w:t>
      </w:r>
      <w:r>
        <w:rPr>
          <w:sz w:val="24"/>
        </w:rPr>
        <w:t>section</w:t>
      </w:r>
      <w:r>
        <w:rPr>
          <w:spacing w:val="-1"/>
          <w:sz w:val="24"/>
        </w:rPr>
        <w:t> </w:t>
      </w:r>
      <w:r>
        <w:rPr>
          <w:sz w:val="24"/>
        </w:rPr>
        <w:t>9 of</w:t>
      </w:r>
      <w:r>
        <w:rPr>
          <w:spacing w:val="-1"/>
          <w:sz w:val="24"/>
        </w:rPr>
        <w:t> </w:t>
      </w:r>
      <w:r>
        <w:rPr>
          <w:sz w:val="24"/>
        </w:rPr>
        <w:t>the Code.”</w:t>
      </w:r>
    </w:p>
    <w:p>
      <w:pPr>
        <w:pStyle w:val="BodyText"/>
        <w:spacing w:before="10"/>
        <w:rPr>
          <w:sz w:val="23"/>
        </w:rPr>
      </w:pPr>
    </w:p>
    <w:p>
      <w:pPr>
        <w:pStyle w:val="BodyText"/>
        <w:ind w:left="100"/>
      </w:pPr>
      <w:r>
        <w:rPr/>
        <w:t>Respondent</w:t>
      </w:r>
      <w:r>
        <w:rPr>
          <w:spacing w:val="-2"/>
        </w:rPr>
        <w:t> </w:t>
      </w:r>
      <w:r>
        <w:rPr/>
        <w:t>countered</w:t>
      </w:r>
      <w:r>
        <w:rPr>
          <w:spacing w:val="-1"/>
        </w:rPr>
        <w:t> </w:t>
      </w:r>
      <w:r>
        <w:rPr/>
        <w:t>in</w:t>
      </w:r>
      <w:r>
        <w:rPr>
          <w:spacing w:val="1"/>
        </w:rPr>
        <w:t> </w:t>
      </w:r>
      <w:r>
        <w:rPr/>
        <w:t>its</w:t>
      </w:r>
      <w:r>
        <w:rPr>
          <w:spacing w:val="-1"/>
        </w:rPr>
        <w:t> </w:t>
      </w:r>
      <w:r>
        <w:rPr/>
        <w:t>opposition</w:t>
      </w:r>
      <w:r>
        <w:rPr>
          <w:spacing w:val="-1"/>
        </w:rPr>
        <w:t> </w:t>
      </w:r>
      <w:r>
        <w:rPr/>
        <w:t>affidavit</w:t>
      </w:r>
      <w:r>
        <w:rPr>
          <w:spacing w:val="-1"/>
        </w:rPr>
        <w:t> </w:t>
      </w:r>
      <w:r>
        <w:rPr/>
        <w:t>as</w:t>
      </w:r>
      <w:r>
        <w:rPr>
          <w:spacing w:val="-1"/>
        </w:rPr>
        <w:t> </w:t>
      </w:r>
      <w:r>
        <w:rPr/>
        <w:t>follows</w:t>
      </w:r>
    </w:p>
    <w:p>
      <w:pPr>
        <w:pStyle w:val="BodyText"/>
      </w:pPr>
    </w:p>
    <w:p>
      <w:pPr>
        <w:pStyle w:val="BodyText"/>
        <w:ind w:left="820" w:right="256"/>
        <w:jc w:val="both"/>
      </w:pPr>
      <w:r>
        <w:rPr/>
        <w:t>“7.</w:t>
      </w:r>
      <w:r>
        <w:rPr>
          <w:spacing w:val="-5"/>
        </w:rPr>
        <w:t> </w:t>
      </w:r>
      <w:r>
        <w:rPr/>
        <w:t>Where</w:t>
      </w:r>
      <w:r>
        <w:rPr>
          <w:spacing w:val="-5"/>
        </w:rPr>
        <w:t> </w:t>
      </w:r>
      <w:r>
        <w:rPr/>
        <w:t>the</w:t>
      </w:r>
      <w:r>
        <w:rPr>
          <w:spacing w:val="-4"/>
        </w:rPr>
        <w:t> </w:t>
      </w:r>
      <w:r>
        <w:rPr/>
        <w:t>record</w:t>
      </w:r>
      <w:r>
        <w:rPr>
          <w:spacing w:val="-5"/>
        </w:rPr>
        <w:t> </w:t>
      </w:r>
      <w:r>
        <w:rPr/>
        <w:t>of</w:t>
      </w:r>
      <w:r>
        <w:rPr>
          <w:spacing w:val="-5"/>
        </w:rPr>
        <w:t> </w:t>
      </w:r>
      <w:r>
        <w:rPr/>
        <w:t>proceedings</w:t>
      </w:r>
      <w:r>
        <w:rPr>
          <w:spacing w:val="-3"/>
        </w:rPr>
        <w:t> </w:t>
      </w:r>
      <w:r>
        <w:rPr/>
        <w:t>was</w:t>
      </w:r>
      <w:r>
        <w:rPr>
          <w:spacing w:val="-4"/>
        </w:rPr>
        <w:t> </w:t>
      </w:r>
      <w:r>
        <w:rPr/>
        <w:t>confirmed</w:t>
      </w:r>
      <w:r>
        <w:rPr>
          <w:spacing w:val="-4"/>
        </w:rPr>
        <w:t> </w:t>
      </w:r>
      <w:r>
        <w:rPr/>
        <w:t>as</w:t>
      </w:r>
      <w:r>
        <w:rPr>
          <w:spacing w:val="-4"/>
        </w:rPr>
        <w:t> </w:t>
      </w:r>
      <w:r>
        <w:rPr/>
        <w:t>correct,</w:t>
      </w:r>
      <w:r>
        <w:rPr>
          <w:spacing w:val="-3"/>
        </w:rPr>
        <w:t> </w:t>
      </w:r>
      <w:r>
        <w:rPr/>
        <w:t>the</w:t>
      </w:r>
      <w:r>
        <w:rPr>
          <w:spacing w:val="-4"/>
        </w:rPr>
        <w:t> </w:t>
      </w:r>
      <w:r>
        <w:rPr/>
        <w:t>Appeals</w:t>
      </w:r>
      <w:r>
        <w:rPr>
          <w:spacing w:val="-3"/>
        </w:rPr>
        <w:t> </w:t>
      </w:r>
      <w:r>
        <w:rPr/>
        <w:t>Committee</w:t>
      </w:r>
      <w:r>
        <w:rPr>
          <w:spacing w:val="-58"/>
        </w:rPr>
        <w:t> </w:t>
      </w:r>
      <w:r>
        <w:rPr/>
        <w:t>did not need to hear any evidence to find whether the Applicant was in wilful default.</w:t>
      </w:r>
      <w:r>
        <w:rPr>
          <w:spacing w:val="1"/>
        </w:rPr>
        <w:t> </w:t>
      </w:r>
      <w:r>
        <w:rPr/>
        <w:t>In</w:t>
      </w:r>
      <w:r>
        <w:rPr>
          <w:spacing w:val="-2"/>
        </w:rPr>
        <w:t> </w:t>
      </w:r>
      <w:r>
        <w:rPr/>
        <w:t>fact,</w:t>
      </w:r>
      <w:r>
        <w:rPr>
          <w:spacing w:val="-1"/>
        </w:rPr>
        <w:t> </w:t>
      </w:r>
      <w:r>
        <w:rPr/>
        <w:t>Applicant</w:t>
      </w:r>
      <w:r>
        <w:rPr>
          <w:spacing w:val="-1"/>
        </w:rPr>
        <w:t> </w:t>
      </w:r>
      <w:r>
        <w:rPr/>
        <w:t>deny</w:t>
      </w:r>
      <w:r>
        <w:rPr>
          <w:spacing w:val="-1"/>
        </w:rPr>
        <w:t> </w:t>
      </w:r>
      <w:r>
        <w:rPr/>
        <w:t>that</w:t>
      </w:r>
      <w:r>
        <w:rPr>
          <w:spacing w:val="-1"/>
        </w:rPr>
        <w:t> </w:t>
      </w:r>
      <w:r>
        <w:rPr/>
        <w:t>the</w:t>
      </w:r>
      <w:r>
        <w:rPr>
          <w:spacing w:val="-2"/>
        </w:rPr>
        <w:t> </w:t>
      </w:r>
      <w:r>
        <w:rPr/>
        <w:t>was</w:t>
      </w:r>
      <w:r>
        <w:rPr>
          <w:spacing w:val="-2"/>
        </w:rPr>
        <w:t> </w:t>
      </w:r>
      <w:r>
        <w:rPr/>
        <w:t>in</w:t>
      </w:r>
      <w:r>
        <w:rPr>
          <w:spacing w:val="-1"/>
        </w:rPr>
        <w:t> </w:t>
      </w:r>
      <w:r>
        <w:rPr/>
        <w:t>default.</w:t>
      </w:r>
      <w:r>
        <w:rPr>
          <w:spacing w:val="58"/>
        </w:rPr>
        <w:t> </w:t>
      </w:r>
      <w:r>
        <w:rPr/>
        <w:t>If fact,</w:t>
      </w:r>
      <w:r>
        <w:rPr>
          <w:spacing w:val="-1"/>
        </w:rPr>
        <w:t> </w:t>
      </w:r>
      <w:r>
        <w:rPr/>
        <w:t>Applicant</w:t>
      </w:r>
      <w:r>
        <w:rPr>
          <w:spacing w:val="-2"/>
        </w:rPr>
        <w:t> </w:t>
      </w:r>
      <w:r>
        <w:rPr/>
        <w:t>does</w:t>
      </w:r>
      <w:r>
        <w:rPr>
          <w:spacing w:val="-1"/>
        </w:rPr>
        <w:t> </w:t>
      </w:r>
      <w:r>
        <w:rPr/>
        <w:t>not</w:t>
      </w:r>
      <w:r>
        <w:rPr>
          <w:spacing w:val="-1"/>
        </w:rPr>
        <w:t> </w:t>
      </w:r>
      <w:r>
        <w:rPr/>
        <w:t>deny</w:t>
      </w:r>
      <w:r>
        <w:rPr>
          <w:spacing w:val="-1"/>
        </w:rPr>
        <w:t> </w:t>
      </w:r>
      <w:r>
        <w:rPr/>
        <w:t>that</w:t>
      </w:r>
      <w:r>
        <w:rPr>
          <w:spacing w:val="-1"/>
        </w:rPr>
        <w:t> </w:t>
      </w:r>
      <w:r>
        <w:rPr/>
        <w:t>he</w:t>
      </w:r>
      <w:r>
        <w:rPr>
          <w:spacing w:val="-58"/>
        </w:rPr>
        <w:t> </w:t>
      </w:r>
      <w:r>
        <w:rPr/>
        <w:t>was</w:t>
      </w:r>
      <w:r>
        <w:rPr>
          <w:spacing w:val="-1"/>
        </w:rPr>
        <w:t> </w:t>
      </w:r>
      <w:r>
        <w:rPr/>
        <w:t>in default. As such</w:t>
      </w:r>
      <w:r>
        <w:rPr>
          <w:spacing w:val="2"/>
        </w:rPr>
        <w:t> </w:t>
      </w:r>
      <w:r>
        <w:rPr/>
        <w:t>a default judgement could</w:t>
      </w:r>
      <w:r>
        <w:rPr>
          <w:spacing w:val="2"/>
        </w:rPr>
        <w:t> </w:t>
      </w:r>
      <w:r>
        <w:rPr/>
        <w:t>be</w:t>
      </w:r>
      <w:r>
        <w:rPr>
          <w:spacing w:val="-1"/>
        </w:rPr>
        <w:t> </w:t>
      </w:r>
      <w:r>
        <w:rPr/>
        <w:t>entered.</w:t>
      </w:r>
    </w:p>
    <w:p>
      <w:pPr>
        <w:pStyle w:val="BodyText"/>
        <w:ind w:left="820" w:right="258"/>
        <w:jc w:val="both"/>
      </w:pPr>
      <w:r>
        <w:rPr/>
        <w:t>8.</w:t>
      </w:r>
      <w:r>
        <w:rPr>
          <w:spacing w:val="1"/>
        </w:rPr>
        <w:t> </w:t>
      </w:r>
      <w:r>
        <w:rPr/>
        <w:t>The</w:t>
      </w:r>
      <w:r>
        <w:rPr>
          <w:spacing w:val="1"/>
        </w:rPr>
        <w:t> </w:t>
      </w:r>
      <w:r>
        <w:rPr/>
        <w:t>Appeals</w:t>
      </w:r>
      <w:r>
        <w:rPr>
          <w:spacing w:val="1"/>
        </w:rPr>
        <w:t> </w:t>
      </w:r>
      <w:r>
        <w:rPr/>
        <w:t>Committee’s</w:t>
      </w:r>
      <w:r>
        <w:rPr>
          <w:spacing w:val="1"/>
        </w:rPr>
        <w:t> </w:t>
      </w:r>
      <w:r>
        <w:rPr/>
        <w:t>reasoning</w:t>
      </w:r>
      <w:r>
        <w:rPr>
          <w:spacing w:val="1"/>
        </w:rPr>
        <w:t> </w:t>
      </w:r>
      <w:r>
        <w:rPr/>
        <w:t>is</w:t>
      </w:r>
      <w:r>
        <w:rPr>
          <w:spacing w:val="1"/>
        </w:rPr>
        <w:t> </w:t>
      </w:r>
      <w:r>
        <w:rPr/>
        <w:t>clear,</w:t>
      </w:r>
      <w:r>
        <w:rPr>
          <w:spacing w:val="1"/>
        </w:rPr>
        <w:t> </w:t>
      </w:r>
      <w:r>
        <w:rPr/>
        <w:t>namely</w:t>
      </w:r>
      <w:r>
        <w:rPr>
          <w:spacing w:val="1"/>
        </w:rPr>
        <w:t> </w:t>
      </w:r>
      <w:r>
        <w:rPr/>
        <w:t>that</w:t>
      </w:r>
      <w:r>
        <w:rPr>
          <w:spacing w:val="1"/>
        </w:rPr>
        <w:t> </w:t>
      </w:r>
      <w:r>
        <w:rPr/>
        <w:t>the</w:t>
      </w:r>
      <w:r>
        <w:rPr>
          <w:spacing w:val="1"/>
        </w:rPr>
        <w:t> </w:t>
      </w:r>
      <w:r>
        <w:rPr/>
        <w:t>Disciplinary</w:t>
      </w:r>
      <w:r>
        <w:rPr>
          <w:spacing w:val="1"/>
        </w:rPr>
        <w:t> </w:t>
      </w:r>
      <w:r>
        <w:rPr>
          <w:spacing w:val="-1"/>
        </w:rPr>
        <w:t>Committee</w:t>
      </w:r>
      <w:r>
        <w:rPr>
          <w:spacing w:val="-14"/>
        </w:rPr>
        <w:t> </w:t>
      </w:r>
      <w:r>
        <w:rPr>
          <w:spacing w:val="-1"/>
        </w:rPr>
        <w:t>issued</w:t>
      </w:r>
      <w:r>
        <w:rPr>
          <w:spacing w:val="-15"/>
        </w:rPr>
        <w:t> </w:t>
      </w:r>
      <w:r>
        <w:rPr>
          <w:spacing w:val="-1"/>
        </w:rPr>
        <w:t>a</w:t>
      </w:r>
      <w:r>
        <w:rPr>
          <w:spacing w:val="-12"/>
        </w:rPr>
        <w:t> </w:t>
      </w:r>
      <w:r>
        <w:rPr>
          <w:spacing w:val="-1"/>
        </w:rPr>
        <w:t>default</w:t>
      </w:r>
      <w:r>
        <w:rPr>
          <w:spacing w:val="-12"/>
        </w:rPr>
        <w:t> </w:t>
      </w:r>
      <w:r>
        <w:rPr/>
        <w:t>judgement</w:t>
      </w:r>
      <w:r>
        <w:rPr>
          <w:spacing w:val="-10"/>
        </w:rPr>
        <w:t> </w:t>
      </w:r>
      <w:r>
        <w:rPr/>
        <w:t>and</w:t>
      </w:r>
      <w:r>
        <w:rPr>
          <w:spacing w:val="-15"/>
        </w:rPr>
        <w:t> </w:t>
      </w:r>
      <w:r>
        <w:rPr/>
        <w:t>that</w:t>
      </w:r>
      <w:r>
        <w:rPr>
          <w:spacing w:val="-11"/>
        </w:rPr>
        <w:t> </w:t>
      </w:r>
      <w:r>
        <w:rPr/>
        <w:t>a</w:t>
      </w:r>
      <w:r>
        <w:rPr>
          <w:spacing w:val="-13"/>
        </w:rPr>
        <w:t> </w:t>
      </w:r>
      <w:r>
        <w:rPr/>
        <w:t>default</w:t>
      </w:r>
      <w:r>
        <w:rPr>
          <w:spacing w:val="-12"/>
        </w:rPr>
        <w:t> </w:t>
      </w:r>
      <w:r>
        <w:rPr/>
        <w:t>judgment</w:t>
      </w:r>
      <w:r>
        <w:rPr>
          <w:spacing w:val="-11"/>
        </w:rPr>
        <w:t> </w:t>
      </w:r>
      <w:r>
        <w:rPr/>
        <w:t>may</w:t>
      </w:r>
      <w:r>
        <w:rPr>
          <w:spacing w:val="-13"/>
        </w:rPr>
        <w:t> </w:t>
      </w:r>
      <w:r>
        <w:rPr/>
        <w:t>not</w:t>
      </w:r>
      <w:r>
        <w:rPr>
          <w:spacing w:val="-13"/>
        </w:rPr>
        <w:t> </w:t>
      </w:r>
      <w:r>
        <w:rPr/>
        <w:t>be</w:t>
      </w:r>
      <w:r>
        <w:rPr>
          <w:spacing w:val="-13"/>
        </w:rPr>
        <w:t> </w:t>
      </w:r>
      <w:r>
        <w:rPr/>
        <w:t>appealed.</w:t>
      </w:r>
      <w:r>
        <w:rPr>
          <w:spacing w:val="-57"/>
        </w:rPr>
        <w:t> </w:t>
      </w:r>
      <w:r>
        <w:rPr/>
        <w:t>Reasons</w:t>
      </w:r>
      <w:r>
        <w:rPr>
          <w:spacing w:val="-1"/>
        </w:rPr>
        <w:t> </w:t>
      </w:r>
      <w:r>
        <w:rPr/>
        <w:t>does not</w:t>
      </w:r>
      <w:r>
        <w:rPr>
          <w:spacing w:val="1"/>
        </w:rPr>
        <w:t> </w:t>
      </w:r>
      <w:r>
        <w:rPr/>
        <w:t>connote</w:t>
      </w:r>
      <w:r>
        <w:rPr>
          <w:spacing w:val="-1"/>
        </w:rPr>
        <w:t> </w:t>
      </w:r>
      <w:r>
        <w:rPr/>
        <w:t>verbiage.”</w:t>
      </w:r>
    </w:p>
    <w:p>
      <w:pPr>
        <w:pStyle w:val="BodyText"/>
        <w:spacing w:before="1"/>
      </w:pPr>
    </w:p>
    <w:p>
      <w:pPr>
        <w:pStyle w:val="BodyText"/>
        <w:spacing w:line="360" w:lineRule="auto"/>
        <w:ind w:left="100" w:right="255"/>
        <w:jc w:val="both"/>
      </w:pPr>
      <w:r>
        <w:rPr/>
        <w:t>I consider that the Appeals Committee (AC) erred by dismissing the appeal on the basis that</w:t>
      </w:r>
      <w:r>
        <w:rPr>
          <w:spacing w:val="1"/>
        </w:rPr>
        <w:t> </w:t>
      </w:r>
      <w:r>
        <w:rPr/>
        <w:t>appellant had no right of appeal.</w:t>
      </w:r>
      <w:r>
        <w:rPr>
          <w:spacing w:val="1"/>
        </w:rPr>
        <w:t> </w:t>
      </w:r>
      <w:r>
        <w:rPr/>
        <w:t>Part 6 of the applicable Code of Conduct in section 21 (2)</w:t>
      </w:r>
      <w:r>
        <w:rPr>
          <w:spacing w:val="1"/>
        </w:rPr>
        <w:t> </w:t>
      </w:r>
      <w:r>
        <w:rPr/>
        <w:t>provides</w:t>
      </w:r>
      <w:r>
        <w:rPr>
          <w:spacing w:val="-1"/>
        </w:rPr>
        <w:t> </w:t>
      </w:r>
      <w:r>
        <w:rPr/>
        <w:t>that</w:t>
      </w:r>
    </w:p>
    <w:p>
      <w:pPr>
        <w:pStyle w:val="BodyText"/>
        <w:spacing w:before="1"/>
        <w:ind w:left="820"/>
      </w:pPr>
      <w:r>
        <w:rPr/>
        <w:t>“An</w:t>
      </w:r>
      <w:r>
        <w:rPr>
          <w:spacing w:val="23"/>
        </w:rPr>
        <w:t> </w:t>
      </w:r>
      <w:r>
        <w:rPr/>
        <w:t>employee.,</w:t>
      </w:r>
      <w:r>
        <w:rPr>
          <w:spacing w:val="25"/>
        </w:rPr>
        <w:t> </w:t>
      </w:r>
      <w:r>
        <w:rPr/>
        <w:t>referred</w:t>
      </w:r>
      <w:r>
        <w:rPr>
          <w:spacing w:val="23"/>
        </w:rPr>
        <w:t> </w:t>
      </w:r>
      <w:r>
        <w:rPr/>
        <w:t>to</w:t>
      </w:r>
      <w:r>
        <w:rPr>
          <w:spacing w:val="24"/>
        </w:rPr>
        <w:t> </w:t>
      </w:r>
      <w:r>
        <w:rPr/>
        <w:t>in</w:t>
      </w:r>
      <w:r>
        <w:rPr>
          <w:spacing w:val="24"/>
        </w:rPr>
        <w:t> </w:t>
      </w:r>
      <w:r>
        <w:rPr/>
        <w:t>section</w:t>
      </w:r>
      <w:r>
        <w:rPr>
          <w:spacing w:val="23"/>
        </w:rPr>
        <w:t> </w:t>
      </w:r>
      <w:r>
        <w:rPr/>
        <w:t>20,</w:t>
      </w:r>
      <w:r>
        <w:rPr>
          <w:spacing w:val="23"/>
        </w:rPr>
        <w:t> </w:t>
      </w:r>
      <w:r>
        <w:rPr/>
        <w:t>who</w:t>
      </w:r>
      <w:r>
        <w:rPr>
          <w:spacing w:val="23"/>
        </w:rPr>
        <w:t> </w:t>
      </w:r>
      <w:r>
        <w:rPr/>
        <w:t>is</w:t>
      </w:r>
      <w:r>
        <w:rPr>
          <w:spacing w:val="24"/>
        </w:rPr>
        <w:t> </w:t>
      </w:r>
      <w:r>
        <w:rPr/>
        <w:t>aggrieved</w:t>
      </w:r>
      <w:r>
        <w:rPr>
          <w:spacing w:val="23"/>
        </w:rPr>
        <w:t> </w:t>
      </w:r>
      <w:r>
        <w:rPr/>
        <w:t>by</w:t>
      </w:r>
      <w:r>
        <w:rPr>
          <w:spacing w:val="26"/>
        </w:rPr>
        <w:t> </w:t>
      </w:r>
      <w:r>
        <w:rPr/>
        <w:t>a</w:t>
      </w:r>
      <w:r>
        <w:rPr>
          <w:spacing w:val="25"/>
        </w:rPr>
        <w:t> </w:t>
      </w:r>
      <w:r>
        <w:rPr/>
        <w:t>decision</w:t>
      </w:r>
      <w:r>
        <w:rPr>
          <w:spacing w:val="23"/>
        </w:rPr>
        <w:t> </w:t>
      </w:r>
      <w:r>
        <w:rPr/>
        <w:t>or</w:t>
      </w:r>
      <w:r>
        <w:rPr>
          <w:spacing w:val="-57"/>
        </w:rPr>
        <w:t> </w:t>
      </w:r>
      <w:r>
        <w:rPr/>
        <w:t>determination</w:t>
      </w:r>
      <w:r>
        <w:rPr>
          <w:spacing w:val="-1"/>
        </w:rPr>
        <w:t> </w:t>
      </w:r>
      <w:r>
        <w:rPr/>
        <w:t>made</w:t>
      </w:r>
      <w:r>
        <w:rPr>
          <w:spacing w:val="-2"/>
        </w:rPr>
        <w:t> </w:t>
      </w:r>
      <w:r>
        <w:rPr/>
        <w:t>by a</w:t>
      </w:r>
      <w:r>
        <w:rPr>
          <w:spacing w:val="1"/>
        </w:rPr>
        <w:t> </w:t>
      </w:r>
      <w:r>
        <w:rPr/>
        <w:t>Disciplinary Committee.</w:t>
      </w:r>
    </w:p>
    <w:p>
      <w:pPr>
        <w:pStyle w:val="BodyText"/>
        <w:ind w:left="820"/>
      </w:pPr>
      <w:r>
        <w:rPr/>
        <w:t>may-</w:t>
      </w:r>
    </w:p>
    <w:p>
      <w:pPr>
        <w:pStyle w:val="BodyText"/>
        <w:ind w:left="820" w:right="260"/>
        <w:jc w:val="both"/>
      </w:pPr>
      <w:r>
        <w:rPr/>
        <w:t>(c)</w:t>
      </w:r>
      <w:r>
        <w:rPr>
          <w:spacing w:val="-15"/>
        </w:rPr>
        <w:t> </w:t>
      </w:r>
      <w:r>
        <w:rPr/>
        <w:t>by</w:t>
      </w:r>
      <w:r>
        <w:rPr>
          <w:spacing w:val="-13"/>
        </w:rPr>
        <w:t> </w:t>
      </w:r>
      <w:r>
        <w:rPr/>
        <w:t>giving</w:t>
      </w:r>
      <w:r>
        <w:rPr>
          <w:spacing w:val="-13"/>
        </w:rPr>
        <w:t> </w:t>
      </w:r>
      <w:r>
        <w:rPr/>
        <w:t>written</w:t>
      </w:r>
      <w:r>
        <w:rPr>
          <w:spacing w:val="-14"/>
        </w:rPr>
        <w:t> </w:t>
      </w:r>
      <w:r>
        <w:rPr/>
        <w:t>notice</w:t>
      </w:r>
      <w:r>
        <w:rPr>
          <w:spacing w:val="-14"/>
        </w:rPr>
        <w:t> </w:t>
      </w:r>
      <w:r>
        <w:rPr/>
        <w:t>of</w:t>
      </w:r>
      <w:r>
        <w:rPr>
          <w:spacing w:val="-14"/>
        </w:rPr>
        <w:t> </w:t>
      </w:r>
      <w:r>
        <w:rPr/>
        <w:t>intention</w:t>
      </w:r>
      <w:r>
        <w:rPr>
          <w:spacing w:val="-13"/>
        </w:rPr>
        <w:t> </w:t>
      </w:r>
      <w:r>
        <w:rPr/>
        <w:t>to</w:t>
      </w:r>
      <w:r>
        <w:rPr>
          <w:spacing w:val="-13"/>
        </w:rPr>
        <w:t> </w:t>
      </w:r>
      <w:r>
        <w:rPr/>
        <w:t>appeal</w:t>
      </w:r>
      <w:r>
        <w:rPr>
          <w:spacing w:val="-13"/>
        </w:rPr>
        <w:t> </w:t>
      </w:r>
      <w:r>
        <w:rPr/>
        <w:t>to</w:t>
      </w:r>
      <w:r>
        <w:rPr>
          <w:spacing w:val="-14"/>
        </w:rPr>
        <w:t> </w:t>
      </w:r>
      <w:r>
        <w:rPr/>
        <w:t>the</w:t>
      </w:r>
      <w:r>
        <w:rPr>
          <w:spacing w:val="-14"/>
        </w:rPr>
        <w:t> </w:t>
      </w:r>
      <w:r>
        <w:rPr/>
        <w:t>Secretary,</w:t>
      </w:r>
      <w:r>
        <w:rPr>
          <w:spacing w:val="-11"/>
        </w:rPr>
        <w:t> </w:t>
      </w:r>
      <w:r>
        <w:rPr/>
        <w:t>appeal</w:t>
      </w:r>
      <w:r>
        <w:rPr>
          <w:spacing w:val="-13"/>
        </w:rPr>
        <w:t> </w:t>
      </w:r>
      <w:r>
        <w:rPr/>
        <w:t>to</w:t>
      </w:r>
      <w:r>
        <w:rPr>
          <w:spacing w:val="-13"/>
        </w:rPr>
        <w:t> </w:t>
      </w:r>
      <w:r>
        <w:rPr/>
        <w:t>the</w:t>
      </w:r>
      <w:r>
        <w:rPr>
          <w:spacing w:val="-14"/>
        </w:rPr>
        <w:t> </w:t>
      </w:r>
      <w:r>
        <w:rPr/>
        <w:t>Appeals</w:t>
      </w:r>
      <w:r>
        <w:rPr>
          <w:spacing w:val="-58"/>
        </w:rPr>
        <w:t> </w:t>
      </w:r>
      <w:r>
        <w:rPr/>
        <w:t>Committee which shall determine the matter within fourteen working days and advise</w:t>
      </w:r>
      <w:r>
        <w:rPr>
          <w:spacing w:val="1"/>
        </w:rPr>
        <w:t> </w:t>
      </w:r>
      <w:r>
        <w:rPr/>
        <w:t>the</w:t>
      </w:r>
      <w:r>
        <w:rPr>
          <w:spacing w:val="-1"/>
        </w:rPr>
        <w:t> </w:t>
      </w:r>
      <w:r>
        <w:rPr/>
        <w:t>employee</w:t>
      </w:r>
      <w:r>
        <w:rPr>
          <w:spacing w:val="-1"/>
        </w:rPr>
        <w:t> </w:t>
      </w:r>
      <w:r>
        <w:rPr/>
        <w:t>and</w:t>
      </w:r>
      <w:r>
        <w:rPr>
          <w:spacing w:val="-1"/>
        </w:rPr>
        <w:t> </w:t>
      </w:r>
      <w:r>
        <w:rPr/>
        <w:t>the</w:t>
      </w:r>
      <w:r>
        <w:rPr>
          <w:spacing w:val="-1"/>
        </w:rPr>
        <w:t> </w:t>
      </w:r>
      <w:r>
        <w:rPr/>
        <w:t>relevant local</w:t>
      </w:r>
      <w:r>
        <w:rPr>
          <w:spacing w:val="-1"/>
        </w:rPr>
        <w:t> </w:t>
      </w:r>
      <w:r>
        <w:rPr/>
        <w:t>senior</w:t>
      </w:r>
      <w:r>
        <w:rPr>
          <w:spacing w:val="-1"/>
        </w:rPr>
        <w:t> </w:t>
      </w:r>
      <w:r>
        <w:rPr/>
        <w:t>official</w:t>
      </w:r>
      <w:r>
        <w:rPr>
          <w:spacing w:val="2"/>
        </w:rPr>
        <w:t> </w:t>
      </w:r>
      <w:r>
        <w:rPr/>
        <w:t>accordingly.”</w:t>
      </w:r>
    </w:p>
    <w:p>
      <w:pPr>
        <w:pStyle w:val="BodyText"/>
        <w:spacing w:before="1"/>
      </w:pPr>
    </w:p>
    <w:p>
      <w:pPr>
        <w:pStyle w:val="BodyText"/>
        <w:spacing w:line="360" w:lineRule="auto"/>
        <w:ind w:left="100" w:right="258" w:firstLine="719"/>
        <w:jc w:val="both"/>
      </w:pPr>
      <w:r>
        <w:rPr/>
        <w:t>The Code gives the employee a </w:t>
      </w:r>
      <w:r>
        <w:rPr>
          <w:u w:val="single"/>
        </w:rPr>
        <w:t>clear</w:t>
      </w:r>
      <w:r>
        <w:rPr/>
        <w:t> and </w:t>
      </w:r>
      <w:r>
        <w:rPr>
          <w:u w:val="single"/>
        </w:rPr>
        <w:t>unconditional right of appeal</w:t>
      </w:r>
      <w:r>
        <w:rPr/>
        <w:t> against any</w:t>
      </w:r>
      <w:r>
        <w:rPr>
          <w:spacing w:val="1"/>
        </w:rPr>
        <w:t> </w:t>
      </w:r>
      <w:r>
        <w:rPr/>
        <w:t>decision of the Disciplinary Committee. Thus, the Appeals Committee erred by ruling that</w:t>
      </w:r>
      <w:r>
        <w:rPr>
          <w:spacing w:val="1"/>
        </w:rPr>
        <w:t> </w:t>
      </w:r>
      <w:r>
        <w:rPr/>
        <w:t>appellant did not have a right of appeal.</w:t>
      </w:r>
      <w:r>
        <w:rPr>
          <w:spacing w:val="1"/>
        </w:rPr>
        <w:t> </w:t>
      </w:r>
      <w:r>
        <w:rPr/>
        <w:t>The AC in essence sought to apply the rules of</w:t>
      </w:r>
      <w:r>
        <w:rPr>
          <w:spacing w:val="1"/>
        </w:rPr>
        <w:t> </w:t>
      </w:r>
      <w:r>
        <w:rPr/>
        <w:t>procedure in courts of law which require a party to purge its default in order to be heard. With</w:t>
      </w:r>
      <w:r>
        <w:rPr>
          <w:spacing w:val="-58"/>
        </w:rPr>
        <w:t> </w:t>
      </w:r>
      <w:r>
        <w:rPr/>
        <w:t>due</w:t>
      </w:r>
      <w:r>
        <w:rPr>
          <w:spacing w:val="-7"/>
        </w:rPr>
        <w:t> </w:t>
      </w:r>
      <w:r>
        <w:rPr/>
        <w:t>respect</w:t>
      </w:r>
      <w:r>
        <w:rPr>
          <w:spacing w:val="-6"/>
        </w:rPr>
        <w:t> </w:t>
      </w:r>
      <w:r>
        <w:rPr/>
        <w:t>quasi-judicial</w:t>
      </w:r>
      <w:r>
        <w:rPr>
          <w:spacing w:val="-5"/>
        </w:rPr>
        <w:t> </w:t>
      </w:r>
      <w:r>
        <w:rPr/>
        <w:t>tribunals</w:t>
      </w:r>
      <w:r>
        <w:rPr>
          <w:spacing w:val="-6"/>
        </w:rPr>
        <w:t> </w:t>
      </w:r>
      <w:r>
        <w:rPr/>
        <w:t>are</w:t>
      </w:r>
      <w:r>
        <w:rPr>
          <w:spacing w:val="-6"/>
        </w:rPr>
        <w:t> </w:t>
      </w:r>
      <w:r>
        <w:rPr/>
        <w:t>not</w:t>
      </w:r>
      <w:r>
        <w:rPr>
          <w:spacing w:val="-5"/>
        </w:rPr>
        <w:t> </w:t>
      </w:r>
      <w:r>
        <w:rPr/>
        <w:t>courts</w:t>
      </w:r>
      <w:r>
        <w:rPr>
          <w:spacing w:val="-3"/>
        </w:rPr>
        <w:t> </w:t>
      </w:r>
      <w:r>
        <w:rPr/>
        <w:t>which</w:t>
      </w:r>
      <w:r>
        <w:rPr>
          <w:spacing w:val="-6"/>
        </w:rPr>
        <w:t> </w:t>
      </w:r>
      <w:r>
        <w:rPr/>
        <w:t>are</w:t>
      </w:r>
      <w:r>
        <w:rPr>
          <w:spacing w:val="-7"/>
        </w:rPr>
        <w:t> </w:t>
      </w:r>
      <w:r>
        <w:rPr/>
        <w:t>bound</w:t>
      </w:r>
      <w:r>
        <w:rPr>
          <w:spacing w:val="-5"/>
        </w:rPr>
        <w:t> </w:t>
      </w:r>
      <w:r>
        <w:rPr/>
        <w:t>by</w:t>
      </w:r>
      <w:r>
        <w:rPr>
          <w:spacing w:val="-4"/>
        </w:rPr>
        <w:t> </w:t>
      </w:r>
      <w:r>
        <w:rPr/>
        <w:t>strict</w:t>
      </w:r>
      <w:r>
        <w:rPr>
          <w:spacing w:val="-1"/>
        </w:rPr>
        <w:t> </w:t>
      </w:r>
      <w:r>
        <w:rPr/>
        <w:t>rules</w:t>
      </w:r>
      <w:r>
        <w:rPr>
          <w:spacing w:val="-6"/>
        </w:rPr>
        <w:t> </w:t>
      </w:r>
      <w:r>
        <w:rPr/>
        <w:t>of</w:t>
      </w:r>
      <w:r>
        <w:rPr>
          <w:spacing w:val="-5"/>
        </w:rPr>
        <w:t> </w:t>
      </w:r>
      <w:r>
        <w:rPr/>
        <w:t>procedure.</w:t>
      </w:r>
      <w:r>
        <w:rPr>
          <w:spacing w:val="-57"/>
        </w:rPr>
        <w:t> </w:t>
      </w:r>
      <w:r>
        <w:rPr/>
        <w:t>Their</w:t>
      </w:r>
      <w:r>
        <w:rPr>
          <w:spacing w:val="-1"/>
        </w:rPr>
        <w:t> </w:t>
      </w:r>
      <w:r>
        <w:rPr/>
        <w:t>procedures</w:t>
      </w:r>
    </w:p>
    <w:p>
      <w:pPr>
        <w:spacing w:after="0" w:line="360" w:lineRule="auto"/>
        <w:jc w:val="both"/>
        <w:sectPr>
          <w:headerReference w:type="default" r:id="rId6"/>
          <w:pgSz w:w="11910" w:h="16840"/>
          <w:pgMar w:header="763" w:footer="0" w:top="1580" w:bottom="280" w:left="1340" w:right="1180"/>
          <w:pgNumType w:start="2"/>
        </w:sect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1"/>
        <w:rPr>
          <w:sz w:val="17"/>
        </w:rPr>
      </w:pPr>
    </w:p>
    <w:p>
      <w:pPr>
        <w:pStyle w:val="BodyText"/>
        <w:spacing w:line="360" w:lineRule="auto" w:before="90"/>
        <w:ind w:left="100" w:right="257"/>
        <w:jc w:val="both"/>
      </w:pPr>
      <w:r>
        <w:rPr/>
        <w:t>need only comply with tenets of natural justice. See </w:t>
      </w:r>
      <w:r>
        <w:rPr>
          <w:b/>
        </w:rPr>
        <w:t>Mapondera v Freda Rebecca </w:t>
      </w:r>
      <w:r>
        <w:rPr/>
        <w:t>SC 81/22</w:t>
      </w:r>
      <w:r>
        <w:rPr>
          <w:spacing w:val="1"/>
        </w:rPr>
        <w:t> </w:t>
      </w:r>
      <w:r>
        <w:rPr/>
        <w:t>Per Bhunu</w:t>
      </w:r>
      <w:r>
        <w:rPr>
          <w:spacing w:val="1"/>
        </w:rPr>
        <w:t> </w:t>
      </w:r>
      <w:r>
        <w:rPr/>
        <w:t>JA at para</w:t>
      </w:r>
      <w:r>
        <w:rPr>
          <w:spacing w:val="1"/>
        </w:rPr>
        <w:t> </w:t>
      </w:r>
      <w:r>
        <w:rPr/>
        <w:t>25. “When interpreting statutes and </w:t>
      </w:r>
      <w:r>
        <w:rPr>
          <w:u w:val="single"/>
        </w:rPr>
        <w:t>codes</w:t>
      </w:r>
      <w:r>
        <w:rPr/>
        <w:t> of </w:t>
      </w:r>
      <w:r>
        <w:rPr>
          <w:u w:val="single"/>
        </w:rPr>
        <w:t>conduct</w:t>
      </w:r>
      <w:r>
        <w:rPr/>
        <w:t>, the court a quo</w:t>
      </w:r>
      <w:r>
        <w:rPr>
          <w:spacing w:val="1"/>
        </w:rPr>
        <w:t> </w:t>
      </w:r>
      <w:r>
        <w:rPr/>
        <w:t>should give a </w:t>
      </w:r>
      <w:r>
        <w:rPr>
          <w:u w:val="single"/>
        </w:rPr>
        <w:t>broad liberal</w:t>
      </w:r>
      <w:r>
        <w:rPr/>
        <w:t> </w:t>
      </w:r>
      <w:r>
        <w:rPr>
          <w:u w:val="single"/>
        </w:rPr>
        <w:t>interpretation</w:t>
      </w:r>
      <w:r>
        <w:rPr/>
        <w:t> that is not embroiled in flimsy legal technicalities in</w:t>
      </w:r>
      <w:r>
        <w:rPr>
          <w:spacing w:val="1"/>
        </w:rPr>
        <w:t> </w:t>
      </w:r>
      <w:r>
        <w:rPr/>
        <w:t>order to achieve social </w:t>
      </w:r>
      <w:r>
        <w:rPr>
          <w:u w:val="single"/>
        </w:rPr>
        <w:t>justice</w:t>
      </w:r>
      <w:r>
        <w:rPr/>
        <w:t> based on </w:t>
      </w:r>
      <w:r>
        <w:rPr>
          <w:u w:val="single"/>
        </w:rPr>
        <w:t>equitable</w:t>
      </w:r>
      <w:r>
        <w:rPr/>
        <w:t> </w:t>
      </w:r>
      <w:r>
        <w:rPr>
          <w:u w:val="single"/>
        </w:rPr>
        <w:t>labour</w:t>
      </w:r>
      <w:r>
        <w:rPr/>
        <w:t> </w:t>
      </w:r>
      <w:r>
        <w:rPr>
          <w:u w:val="single"/>
        </w:rPr>
        <w:t>standards</w:t>
      </w:r>
      <w:r>
        <w:rPr/>
        <w:t>.”</w:t>
      </w:r>
      <w:r>
        <w:rPr>
          <w:spacing w:val="1"/>
        </w:rPr>
        <w:t> </w:t>
      </w:r>
      <w:r>
        <w:rPr/>
        <w:t>By non-suiting appellant</w:t>
      </w:r>
      <w:r>
        <w:rPr>
          <w:spacing w:val="-57"/>
        </w:rPr>
        <w:t> </w:t>
      </w:r>
      <w:r>
        <w:rPr/>
        <w:t>on</w:t>
      </w:r>
      <w:r>
        <w:rPr>
          <w:spacing w:val="-9"/>
        </w:rPr>
        <w:t> </w:t>
      </w:r>
      <w:r>
        <w:rPr/>
        <w:t>a</w:t>
      </w:r>
      <w:r>
        <w:rPr>
          <w:spacing w:val="-9"/>
        </w:rPr>
        <w:t> </w:t>
      </w:r>
      <w:r>
        <w:rPr/>
        <w:t>technicality</w:t>
      </w:r>
      <w:r>
        <w:rPr>
          <w:spacing w:val="-8"/>
        </w:rPr>
        <w:t> </w:t>
      </w:r>
      <w:r>
        <w:rPr/>
        <w:t>the</w:t>
      </w:r>
      <w:r>
        <w:rPr>
          <w:spacing w:val="-8"/>
        </w:rPr>
        <w:t> </w:t>
      </w:r>
      <w:r>
        <w:rPr/>
        <w:t>AC</w:t>
      </w:r>
      <w:r>
        <w:rPr>
          <w:spacing w:val="-6"/>
        </w:rPr>
        <w:t> </w:t>
      </w:r>
      <w:r>
        <w:rPr/>
        <w:t>violated</w:t>
      </w:r>
      <w:r>
        <w:rPr>
          <w:spacing w:val="-8"/>
        </w:rPr>
        <w:t> </w:t>
      </w:r>
      <w:r>
        <w:rPr/>
        <w:t>appellant’s</w:t>
      </w:r>
      <w:r>
        <w:rPr>
          <w:spacing w:val="-6"/>
        </w:rPr>
        <w:t> </w:t>
      </w:r>
      <w:r>
        <w:rPr/>
        <w:t>right</w:t>
      </w:r>
      <w:r>
        <w:rPr>
          <w:spacing w:val="-5"/>
        </w:rPr>
        <w:t> </w:t>
      </w:r>
      <w:r>
        <w:rPr/>
        <w:t>to</w:t>
      </w:r>
      <w:r>
        <w:rPr>
          <w:spacing w:val="-8"/>
        </w:rPr>
        <w:t> </w:t>
      </w:r>
      <w:r>
        <w:rPr/>
        <w:t>be</w:t>
      </w:r>
      <w:r>
        <w:rPr>
          <w:spacing w:val="-9"/>
        </w:rPr>
        <w:t> </w:t>
      </w:r>
      <w:r>
        <w:rPr/>
        <w:t>heard.</w:t>
      </w:r>
      <w:r>
        <w:rPr>
          <w:spacing w:val="-7"/>
        </w:rPr>
        <w:t> </w:t>
      </w:r>
      <w:r>
        <w:rPr/>
        <w:t>Accordingly,</w:t>
      </w:r>
      <w:r>
        <w:rPr>
          <w:spacing w:val="-5"/>
        </w:rPr>
        <w:t> </w:t>
      </w:r>
      <w:r>
        <w:rPr/>
        <w:t>the</w:t>
      </w:r>
      <w:r>
        <w:rPr>
          <w:spacing w:val="-8"/>
        </w:rPr>
        <w:t> </w:t>
      </w:r>
      <w:r>
        <w:rPr/>
        <w:t>matter</w:t>
      </w:r>
      <w:r>
        <w:rPr>
          <w:spacing w:val="-10"/>
        </w:rPr>
        <w:t> </w:t>
      </w:r>
      <w:r>
        <w:rPr/>
        <w:t>shall</w:t>
      </w:r>
      <w:r>
        <w:rPr>
          <w:spacing w:val="-7"/>
        </w:rPr>
        <w:t> </w:t>
      </w:r>
      <w:r>
        <w:rPr/>
        <w:t>be</w:t>
      </w:r>
      <w:r>
        <w:rPr>
          <w:spacing w:val="-58"/>
        </w:rPr>
        <w:t> </w:t>
      </w:r>
      <w:r>
        <w:rPr/>
        <w:t>remitted</w:t>
      </w:r>
      <w:r>
        <w:rPr>
          <w:spacing w:val="-1"/>
        </w:rPr>
        <w:t> </w:t>
      </w:r>
      <w:r>
        <w:rPr/>
        <w:t>back to the</w:t>
      </w:r>
      <w:r>
        <w:rPr>
          <w:spacing w:val="-1"/>
        </w:rPr>
        <w:t> </w:t>
      </w:r>
      <w:r>
        <w:rPr/>
        <w:t>AC to determine</w:t>
      </w:r>
      <w:r>
        <w:rPr>
          <w:spacing w:val="-1"/>
        </w:rPr>
        <w:t> </w:t>
      </w:r>
      <w:r>
        <w:rPr/>
        <w:t>the</w:t>
      </w:r>
      <w:r>
        <w:rPr>
          <w:spacing w:val="-1"/>
        </w:rPr>
        <w:t> </w:t>
      </w:r>
      <w:r>
        <w:rPr/>
        <w:t>merits of the</w:t>
      </w:r>
      <w:r>
        <w:rPr>
          <w:spacing w:val="-1"/>
        </w:rPr>
        <w:t> </w:t>
      </w:r>
      <w:r>
        <w:rPr/>
        <w:t>appeal</w:t>
      </w:r>
    </w:p>
    <w:p>
      <w:pPr>
        <w:pStyle w:val="BodyText"/>
        <w:rPr>
          <w:sz w:val="26"/>
        </w:rPr>
      </w:pPr>
    </w:p>
    <w:p>
      <w:pPr>
        <w:pStyle w:val="BodyText"/>
        <w:rPr>
          <w:sz w:val="26"/>
        </w:rPr>
      </w:pPr>
    </w:p>
    <w:p>
      <w:pPr>
        <w:pStyle w:val="Heading1"/>
        <w:spacing w:before="231"/>
        <w:ind w:left="820"/>
      </w:pPr>
      <w:r>
        <w:rPr/>
        <w:t>Wherefore</w:t>
      </w:r>
      <w:r>
        <w:rPr>
          <w:spacing w:val="-2"/>
        </w:rPr>
        <w:t> </w:t>
      </w:r>
      <w:r>
        <w:rPr/>
        <w:t>it</w:t>
      </w:r>
      <w:r>
        <w:rPr>
          <w:spacing w:val="-1"/>
        </w:rPr>
        <w:t> </w:t>
      </w:r>
      <w:r>
        <w:rPr/>
        <w:t>is</w:t>
      </w:r>
      <w:r>
        <w:rPr>
          <w:spacing w:val="-1"/>
        </w:rPr>
        <w:t> </w:t>
      </w:r>
      <w:r>
        <w:rPr/>
        <w:t>ordered</w:t>
      </w:r>
      <w:r>
        <w:rPr>
          <w:spacing w:val="-1"/>
        </w:rPr>
        <w:t> </w:t>
      </w:r>
      <w:r>
        <w:rPr/>
        <w:t>that</w:t>
      </w:r>
    </w:p>
    <w:p>
      <w:pPr>
        <w:pStyle w:val="BodyText"/>
        <w:rPr>
          <w:b/>
          <w:sz w:val="26"/>
        </w:rPr>
      </w:pPr>
    </w:p>
    <w:p>
      <w:pPr>
        <w:pStyle w:val="BodyText"/>
        <w:rPr>
          <w:b/>
          <w:sz w:val="22"/>
        </w:rPr>
      </w:pPr>
    </w:p>
    <w:p>
      <w:pPr>
        <w:pStyle w:val="ListParagraph"/>
        <w:numPr>
          <w:ilvl w:val="0"/>
          <w:numId w:val="3"/>
        </w:numPr>
        <w:tabs>
          <w:tab w:pos="821" w:val="left" w:leader="none"/>
        </w:tabs>
        <w:spacing w:line="240" w:lineRule="auto" w:before="0" w:after="0"/>
        <w:ind w:left="820" w:right="0" w:hanging="361"/>
        <w:jc w:val="left"/>
        <w:rPr>
          <w:b/>
          <w:sz w:val="24"/>
        </w:rPr>
      </w:pPr>
      <w:r>
        <w:rPr>
          <w:b/>
          <w:sz w:val="24"/>
        </w:rPr>
        <w:t>The</w:t>
      </w:r>
      <w:r>
        <w:rPr>
          <w:b/>
          <w:spacing w:val="-2"/>
          <w:sz w:val="24"/>
        </w:rPr>
        <w:t> </w:t>
      </w:r>
      <w:r>
        <w:rPr>
          <w:b/>
          <w:sz w:val="24"/>
        </w:rPr>
        <w:t>application</w:t>
      </w:r>
      <w:r>
        <w:rPr>
          <w:b/>
          <w:spacing w:val="-1"/>
          <w:sz w:val="24"/>
        </w:rPr>
        <w:t> </w:t>
      </w:r>
      <w:r>
        <w:rPr>
          <w:b/>
          <w:sz w:val="24"/>
        </w:rPr>
        <w:t>for</w:t>
      </w:r>
      <w:r>
        <w:rPr>
          <w:b/>
          <w:spacing w:val="-3"/>
          <w:sz w:val="24"/>
        </w:rPr>
        <w:t> </w:t>
      </w:r>
      <w:r>
        <w:rPr>
          <w:b/>
          <w:sz w:val="24"/>
        </w:rPr>
        <w:t>review</w:t>
      </w:r>
      <w:r>
        <w:rPr>
          <w:b/>
          <w:spacing w:val="-2"/>
          <w:sz w:val="24"/>
        </w:rPr>
        <w:t> </w:t>
      </w:r>
      <w:r>
        <w:rPr>
          <w:b/>
          <w:sz w:val="24"/>
        </w:rPr>
        <w:t>be</w:t>
      </w:r>
      <w:r>
        <w:rPr>
          <w:b/>
          <w:spacing w:val="-2"/>
          <w:sz w:val="24"/>
        </w:rPr>
        <w:t> </w:t>
      </w:r>
      <w:r>
        <w:rPr>
          <w:b/>
          <w:sz w:val="24"/>
        </w:rPr>
        <w:t>and</w:t>
      </w:r>
      <w:r>
        <w:rPr>
          <w:b/>
          <w:spacing w:val="-1"/>
          <w:sz w:val="24"/>
        </w:rPr>
        <w:t> </w:t>
      </w:r>
      <w:r>
        <w:rPr>
          <w:b/>
          <w:sz w:val="24"/>
        </w:rPr>
        <w:t>is</w:t>
      </w:r>
      <w:r>
        <w:rPr>
          <w:b/>
          <w:spacing w:val="1"/>
          <w:sz w:val="24"/>
        </w:rPr>
        <w:t> </w:t>
      </w:r>
      <w:r>
        <w:rPr>
          <w:b/>
          <w:sz w:val="24"/>
        </w:rPr>
        <w:t>hereby</w:t>
      </w:r>
      <w:r>
        <w:rPr>
          <w:b/>
          <w:spacing w:val="-1"/>
          <w:sz w:val="24"/>
        </w:rPr>
        <w:t> </w:t>
      </w:r>
      <w:r>
        <w:rPr>
          <w:b/>
          <w:sz w:val="24"/>
        </w:rPr>
        <w:t>granted;</w:t>
      </w:r>
    </w:p>
    <w:p>
      <w:pPr>
        <w:pStyle w:val="BodyText"/>
        <w:rPr>
          <w:b/>
          <w:sz w:val="26"/>
        </w:rPr>
      </w:pPr>
    </w:p>
    <w:p>
      <w:pPr>
        <w:pStyle w:val="BodyText"/>
        <w:rPr>
          <w:b/>
          <w:sz w:val="22"/>
        </w:rPr>
      </w:pPr>
    </w:p>
    <w:p>
      <w:pPr>
        <w:pStyle w:val="Heading1"/>
        <w:numPr>
          <w:ilvl w:val="0"/>
          <w:numId w:val="3"/>
        </w:numPr>
        <w:tabs>
          <w:tab w:pos="821" w:val="left" w:leader="none"/>
        </w:tabs>
        <w:spacing w:line="240" w:lineRule="auto" w:before="0" w:after="0"/>
        <w:ind w:left="820" w:right="0" w:hanging="361"/>
        <w:jc w:val="left"/>
      </w:pPr>
      <w:r>
        <w:rPr/>
        <w:t>The</w:t>
      </w:r>
      <w:r>
        <w:rPr>
          <w:spacing w:val="-3"/>
        </w:rPr>
        <w:t> </w:t>
      </w:r>
      <w:r>
        <w:rPr/>
        <w:t>decision</w:t>
      </w:r>
      <w:r>
        <w:rPr>
          <w:spacing w:val="-1"/>
        </w:rPr>
        <w:t> </w:t>
      </w:r>
      <w:r>
        <w:rPr/>
        <w:t>of</w:t>
      </w:r>
      <w:r>
        <w:rPr>
          <w:spacing w:val="-1"/>
        </w:rPr>
        <w:t> </w:t>
      </w:r>
      <w:r>
        <w:rPr/>
        <w:t>the</w:t>
      </w:r>
      <w:r>
        <w:rPr>
          <w:spacing w:val="-2"/>
        </w:rPr>
        <w:t> </w:t>
      </w:r>
      <w:r>
        <w:rPr/>
        <w:t>Appeals</w:t>
      </w:r>
      <w:r>
        <w:rPr>
          <w:spacing w:val="-1"/>
        </w:rPr>
        <w:t> </w:t>
      </w:r>
      <w:r>
        <w:rPr/>
        <w:t>Committee</w:t>
      </w:r>
      <w:r>
        <w:rPr>
          <w:spacing w:val="-2"/>
        </w:rPr>
        <w:t> </w:t>
      </w:r>
      <w:r>
        <w:rPr/>
        <w:t>be</w:t>
      </w:r>
      <w:r>
        <w:rPr>
          <w:spacing w:val="-2"/>
        </w:rPr>
        <w:t> </w:t>
      </w:r>
      <w:r>
        <w:rPr/>
        <w:t>and</w:t>
      </w:r>
      <w:r>
        <w:rPr>
          <w:spacing w:val="-1"/>
        </w:rPr>
        <w:t> </w:t>
      </w:r>
      <w:r>
        <w:rPr/>
        <w:t>is</w:t>
      </w:r>
      <w:r>
        <w:rPr>
          <w:spacing w:val="-1"/>
        </w:rPr>
        <w:t> </w:t>
      </w:r>
      <w:r>
        <w:rPr/>
        <w:t>hereby</w:t>
      </w:r>
      <w:r>
        <w:rPr>
          <w:spacing w:val="-2"/>
        </w:rPr>
        <w:t> </w:t>
      </w:r>
      <w:r>
        <w:rPr/>
        <w:t>set</w:t>
      </w:r>
      <w:r>
        <w:rPr>
          <w:spacing w:val="-1"/>
        </w:rPr>
        <w:t> </w:t>
      </w:r>
      <w:r>
        <w:rPr/>
        <w:t>aside;</w:t>
      </w:r>
    </w:p>
    <w:p>
      <w:pPr>
        <w:pStyle w:val="BodyText"/>
        <w:rPr>
          <w:b/>
          <w:sz w:val="26"/>
        </w:rPr>
      </w:pPr>
    </w:p>
    <w:p>
      <w:pPr>
        <w:pStyle w:val="BodyText"/>
        <w:spacing w:before="1"/>
        <w:rPr>
          <w:b/>
          <w:sz w:val="22"/>
        </w:rPr>
      </w:pPr>
    </w:p>
    <w:p>
      <w:pPr>
        <w:pStyle w:val="ListParagraph"/>
        <w:numPr>
          <w:ilvl w:val="0"/>
          <w:numId w:val="3"/>
        </w:numPr>
        <w:tabs>
          <w:tab w:pos="821" w:val="left" w:leader="none"/>
        </w:tabs>
        <w:spacing w:line="360" w:lineRule="auto" w:before="0" w:after="0"/>
        <w:ind w:left="820" w:right="460" w:hanging="360"/>
        <w:jc w:val="left"/>
        <w:rPr>
          <w:b/>
          <w:sz w:val="24"/>
        </w:rPr>
      </w:pPr>
      <w:r>
        <w:rPr>
          <w:b/>
          <w:sz w:val="24"/>
        </w:rPr>
        <w:t>The matter is remitted back to the Appeals Committee for determination of the</w:t>
      </w:r>
      <w:r>
        <w:rPr>
          <w:b/>
          <w:spacing w:val="-57"/>
          <w:sz w:val="24"/>
        </w:rPr>
        <w:t> </w:t>
      </w:r>
      <w:r>
        <w:rPr>
          <w:b/>
          <w:sz w:val="24"/>
        </w:rPr>
        <w:t>merits</w:t>
      </w:r>
      <w:r>
        <w:rPr>
          <w:b/>
          <w:spacing w:val="-1"/>
          <w:sz w:val="24"/>
        </w:rPr>
        <w:t> </w:t>
      </w:r>
      <w:r>
        <w:rPr>
          <w:b/>
          <w:sz w:val="24"/>
        </w:rPr>
        <w:t>of</w:t>
      </w:r>
      <w:r>
        <w:rPr>
          <w:b/>
          <w:spacing w:val="-1"/>
          <w:sz w:val="24"/>
        </w:rPr>
        <w:t> </w:t>
      </w:r>
      <w:r>
        <w:rPr>
          <w:b/>
          <w:sz w:val="24"/>
        </w:rPr>
        <w:t>the</w:t>
      </w:r>
      <w:r>
        <w:rPr>
          <w:b/>
          <w:spacing w:val="-1"/>
          <w:sz w:val="24"/>
        </w:rPr>
        <w:t> </w:t>
      </w:r>
      <w:r>
        <w:rPr>
          <w:b/>
          <w:sz w:val="24"/>
        </w:rPr>
        <w:t>Appellant’s</w:t>
      </w:r>
      <w:r>
        <w:rPr>
          <w:b/>
          <w:spacing w:val="1"/>
          <w:sz w:val="24"/>
        </w:rPr>
        <w:t> </w:t>
      </w:r>
      <w:r>
        <w:rPr>
          <w:b/>
          <w:sz w:val="24"/>
        </w:rPr>
        <w:t>appeal</w:t>
      </w:r>
      <w:r>
        <w:rPr>
          <w:b/>
          <w:spacing w:val="1"/>
          <w:sz w:val="24"/>
        </w:rPr>
        <w:t> </w:t>
      </w:r>
      <w:r>
        <w:rPr>
          <w:b/>
          <w:sz w:val="24"/>
        </w:rPr>
        <w:t>to it</w:t>
      </w:r>
      <w:r>
        <w:rPr>
          <w:b/>
          <w:spacing w:val="-1"/>
          <w:sz w:val="24"/>
        </w:rPr>
        <w:t> </w:t>
      </w:r>
      <w:r>
        <w:rPr>
          <w:b/>
          <w:sz w:val="24"/>
        </w:rPr>
        <w:t>within one</w:t>
      </w:r>
      <w:r>
        <w:rPr>
          <w:b/>
          <w:spacing w:val="-5"/>
          <w:sz w:val="24"/>
        </w:rPr>
        <w:t> </w:t>
      </w:r>
      <w:r>
        <w:rPr>
          <w:b/>
          <w:sz w:val="24"/>
        </w:rPr>
        <w:t>(1)</w:t>
      </w:r>
      <w:r>
        <w:rPr>
          <w:b/>
          <w:spacing w:val="-2"/>
          <w:sz w:val="24"/>
        </w:rPr>
        <w:t> </w:t>
      </w:r>
      <w:r>
        <w:rPr>
          <w:b/>
          <w:sz w:val="24"/>
        </w:rPr>
        <w:t>month;</w:t>
      </w:r>
    </w:p>
    <w:p>
      <w:pPr>
        <w:pStyle w:val="BodyText"/>
        <w:spacing w:before="10"/>
        <w:rPr>
          <w:b/>
          <w:sz w:val="35"/>
        </w:rPr>
      </w:pPr>
    </w:p>
    <w:p>
      <w:pPr>
        <w:pStyle w:val="Heading1"/>
        <w:numPr>
          <w:ilvl w:val="0"/>
          <w:numId w:val="3"/>
        </w:numPr>
        <w:tabs>
          <w:tab w:pos="821" w:val="left" w:leader="none"/>
        </w:tabs>
        <w:spacing w:line="360" w:lineRule="auto" w:before="0" w:after="0"/>
        <w:ind w:left="820" w:right="519" w:hanging="360"/>
        <w:jc w:val="left"/>
      </w:pPr>
      <w:r>
        <w:rPr/>
        <w:t>If the Appeals Committee fails to comply with paragraph 3 of this order,</w:t>
      </w:r>
      <w:r>
        <w:rPr>
          <w:spacing w:val="1"/>
        </w:rPr>
        <w:t> </w:t>
      </w:r>
      <w:r>
        <w:rPr/>
        <w:t>appellant</w:t>
      </w:r>
      <w:r>
        <w:rPr>
          <w:spacing w:val="-6"/>
        </w:rPr>
        <w:t> </w:t>
      </w:r>
      <w:r>
        <w:rPr/>
        <w:t>may</w:t>
      </w:r>
      <w:r>
        <w:rPr>
          <w:spacing w:val="-1"/>
        </w:rPr>
        <w:t> </w:t>
      </w:r>
      <w:r>
        <w:rPr/>
        <w:t>appeal</w:t>
      </w:r>
      <w:r>
        <w:rPr>
          <w:spacing w:val="-2"/>
        </w:rPr>
        <w:t> </w:t>
      </w:r>
      <w:r>
        <w:rPr/>
        <w:t>the</w:t>
      </w:r>
      <w:r>
        <w:rPr>
          <w:spacing w:val="-2"/>
        </w:rPr>
        <w:t> </w:t>
      </w:r>
      <w:r>
        <w:rPr/>
        <w:t>underlying</w:t>
      </w:r>
      <w:r>
        <w:rPr>
          <w:spacing w:val="-4"/>
        </w:rPr>
        <w:t> </w:t>
      </w:r>
      <w:r>
        <w:rPr/>
        <w:t>decision</w:t>
      </w:r>
      <w:r>
        <w:rPr>
          <w:spacing w:val="-4"/>
        </w:rPr>
        <w:t> </w:t>
      </w:r>
      <w:r>
        <w:rPr/>
        <w:t>of</w:t>
      </w:r>
      <w:r>
        <w:rPr>
          <w:spacing w:val="-1"/>
        </w:rPr>
        <w:t> </w:t>
      </w:r>
      <w:r>
        <w:rPr/>
        <w:t>the</w:t>
      </w:r>
      <w:r>
        <w:rPr>
          <w:spacing w:val="-3"/>
        </w:rPr>
        <w:t> </w:t>
      </w:r>
      <w:r>
        <w:rPr/>
        <w:t>Disciplinary</w:t>
      </w:r>
      <w:r>
        <w:rPr>
          <w:spacing w:val="-1"/>
        </w:rPr>
        <w:t> </w:t>
      </w:r>
      <w:r>
        <w:rPr/>
        <w:t>Committee</w:t>
      </w:r>
      <w:r>
        <w:rPr>
          <w:spacing w:val="-3"/>
        </w:rPr>
        <w:t> </w:t>
      </w:r>
      <w:r>
        <w:rPr/>
        <w:t>to</w:t>
      </w:r>
      <w:r>
        <w:rPr>
          <w:spacing w:val="-57"/>
        </w:rPr>
        <w:t> </w:t>
      </w:r>
      <w:r>
        <w:rPr/>
        <w:t>this</w:t>
      </w:r>
      <w:r>
        <w:rPr>
          <w:spacing w:val="-1"/>
        </w:rPr>
        <w:t> </w:t>
      </w:r>
      <w:r>
        <w:rPr/>
        <w:t>Court; and</w:t>
      </w:r>
    </w:p>
    <w:p>
      <w:pPr>
        <w:pStyle w:val="BodyText"/>
        <w:rPr>
          <w:b/>
          <w:sz w:val="36"/>
        </w:rPr>
      </w:pPr>
    </w:p>
    <w:p>
      <w:pPr>
        <w:pStyle w:val="ListParagraph"/>
        <w:numPr>
          <w:ilvl w:val="0"/>
          <w:numId w:val="3"/>
        </w:numPr>
        <w:tabs>
          <w:tab w:pos="821" w:val="left" w:leader="none"/>
        </w:tabs>
        <w:spacing w:line="240" w:lineRule="auto" w:before="0" w:after="0"/>
        <w:ind w:left="820" w:right="0" w:hanging="361"/>
        <w:jc w:val="left"/>
        <w:rPr>
          <w:b/>
          <w:sz w:val="24"/>
        </w:rPr>
      </w:pPr>
      <w:r>
        <w:rPr/>
        <w:drawing>
          <wp:anchor distT="0" distB="0" distL="0" distR="0" allowOverlap="1" layoutInCell="1" locked="0" behindDoc="0" simplePos="0" relativeHeight="15729664">
            <wp:simplePos x="0" y="0"/>
            <wp:positionH relativeFrom="page">
              <wp:posOffset>2310892</wp:posOffset>
            </wp:positionH>
            <wp:positionV relativeFrom="paragraph">
              <wp:posOffset>354496</wp:posOffset>
            </wp:positionV>
            <wp:extent cx="3694176" cy="1335024"/>
            <wp:effectExtent l="0" t="0" r="0" b="0"/>
            <wp:wrapNone/>
            <wp:docPr id="3" name="image2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" name="image2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694176" cy="133502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sz w:val="24"/>
        </w:rPr>
        <w:t>Each</w:t>
      </w:r>
      <w:r>
        <w:rPr>
          <w:b/>
          <w:spacing w:val="-1"/>
          <w:sz w:val="24"/>
        </w:rPr>
        <w:t> </w:t>
      </w:r>
      <w:r>
        <w:rPr>
          <w:b/>
          <w:sz w:val="24"/>
        </w:rPr>
        <w:t>party shall</w:t>
      </w:r>
      <w:r>
        <w:rPr>
          <w:b/>
          <w:spacing w:val="-1"/>
          <w:sz w:val="24"/>
        </w:rPr>
        <w:t> </w:t>
      </w:r>
      <w:r>
        <w:rPr>
          <w:b/>
          <w:sz w:val="24"/>
        </w:rPr>
        <w:t>bear</w:t>
      </w:r>
      <w:r>
        <w:rPr>
          <w:b/>
          <w:spacing w:val="-1"/>
          <w:sz w:val="24"/>
        </w:rPr>
        <w:t> </w:t>
      </w:r>
      <w:r>
        <w:rPr>
          <w:b/>
          <w:sz w:val="24"/>
        </w:rPr>
        <w:t>its</w:t>
      </w:r>
      <w:r>
        <w:rPr>
          <w:b/>
          <w:spacing w:val="-1"/>
          <w:sz w:val="24"/>
        </w:rPr>
        <w:t> </w:t>
      </w:r>
      <w:r>
        <w:rPr>
          <w:b/>
          <w:sz w:val="24"/>
        </w:rPr>
        <w:t>own costs.</w:t>
      </w:r>
    </w:p>
    <w:p>
      <w:pPr>
        <w:pStyle w:val="BodyText"/>
        <w:spacing w:before="2"/>
        <w:rPr>
          <w:b/>
          <w:sz w:val="21"/>
        </w:rPr>
      </w:pPr>
      <w:r>
        <w:rPr/>
        <w:pict>
          <v:shape style="position:absolute;margin-left:181.960007pt;margin-top:14.152774pt;width:290.9pt;height:110.15pt;mso-position-horizontal-relative:page;mso-position-vertical-relative:paragraph;z-index:-15728128;mso-wrap-distance-left:0;mso-wrap-distance-right:0" type="#_x0000_t202" filled="false" stroked="false">
            <v:textbox inset="0,0,0,0">
              <w:txbxContent>
                <w:p>
                  <w:pPr>
                    <w:pStyle w:val="BodyText"/>
                    <w:rPr>
                      <w:b/>
                      <w:sz w:val="26"/>
                    </w:rPr>
                  </w:pPr>
                </w:p>
                <w:p>
                  <w:pPr>
                    <w:pStyle w:val="BodyText"/>
                    <w:rPr>
                      <w:b/>
                      <w:sz w:val="26"/>
                    </w:rPr>
                  </w:pPr>
                </w:p>
                <w:p>
                  <w:pPr>
                    <w:pStyle w:val="BodyText"/>
                    <w:rPr>
                      <w:b/>
                      <w:sz w:val="26"/>
                    </w:rPr>
                  </w:pPr>
                </w:p>
                <w:p>
                  <w:pPr>
                    <w:pStyle w:val="BodyText"/>
                    <w:rPr>
                      <w:b/>
                      <w:sz w:val="26"/>
                    </w:rPr>
                  </w:pPr>
                </w:p>
                <w:p>
                  <w:pPr>
                    <w:pStyle w:val="BodyText"/>
                    <w:rPr>
                      <w:b/>
                      <w:sz w:val="26"/>
                    </w:rPr>
                  </w:pPr>
                </w:p>
                <w:p>
                  <w:pPr>
                    <w:pStyle w:val="BodyText"/>
                    <w:spacing w:before="6"/>
                    <w:rPr>
                      <w:b/>
                      <w:sz w:val="37"/>
                    </w:rPr>
                  </w:pPr>
                </w:p>
                <w:p>
                  <w:pPr>
                    <w:spacing w:before="0"/>
                    <w:ind w:left="1461" w:right="0" w:firstLine="0"/>
                    <w:jc w:val="left"/>
                    <w:rPr>
                      <w:b/>
                      <w:sz w:val="24"/>
                    </w:rPr>
                  </w:pPr>
                  <w:r>
                    <w:rPr>
                      <w:b/>
                      <w:sz w:val="24"/>
                    </w:rPr>
                    <w:t>G</w:t>
                  </w:r>
                  <w:r>
                    <w:rPr>
                      <w:b/>
                      <w:spacing w:val="-1"/>
                      <w:sz w:val="24"/>
                    </w:rPr>
                    <w:t> </w:t>
                  </w:r>
                  <w:r>
                    <w:rPr>
                      <w:b/>
                      <w:sz w:val="24"/>
                    </w:rPr>
                    <w:t>MUSARIRI</w:t>
                  </w:r>
                </w:p>
              </w:txbxContent>
            </v:textbox>
            <w10:wrap type="topAndBottom"/>
          </v:shape>
        </w:pict>
      </w:r>
    </w:p>
    <w:p>
      <w:pPr>
        <w:pStyle w:val="Heading1"/>
        <w:spacing w:before="124"/>
        <w:ind w:left="4027" w:right="4188"/>
        <w:jc w:val="center"/>
      </w:pPr>
      <w:r>
        <w:rPr/>
        <w:t>J-U-D-G-E</w:t>
      </w:r>
    </w:p>
    <w:sectPr>
      <w:pgSz w:w="11910" w:h="16840"/>
      <w:pgMar w:header="763" w:footer="0" w:top="1580" w:bottom="280" w:left="1340" w:right="118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  <w:font w:name="Calibri">
    <w:altName w:val="Calibri"/>
    <w:charset w:val="1"/>
    <w:family w:val="roman"/>
    <w:pitch w:val="variable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0"/>
      </w:rPr>
    </w:pPr>
    <w:r>
      <w:rPr/>
      <w:pict>
        <v:shapetype id="_x0000_t202" o:spt="202" coordsize="21600,21600" path="m,l,21600r21600,l21600,xe">
          <v:stroke joinstyle="miter"/>
          <v:path gradientshapeok="t" o:connecttype="rect"/>
        </v:shapetype>
        <v:shape style="position:absolute;margin-left:469.980011pt;margin-top:37.159985pt;width:73.6pt;height:39.950pt;mso-position-horizontal-relative:page;mso-position-vertical-relative:page;z-index:-15801344" type="#_x0000_t202" filled="false" stroked="false">
          <v:textbox inset="0,0,0,0">
            <w:txbxContent>
              <w:p>
                <w:pPr>
                  <w:spacing w:line="245" w:lineRule="exact" w:before="0"/>
                  <w:ind w:left="958" w:right="0" w:firstLine="0"/>
                  <w:jc w:val="left"/>
                  <w:rPr>
                    <w:rFonts w:ascii="Calibri"/>
                    <w:sz w:val="22"/>
                  </w:rPr>
                </w:pPr>
                <w:r>
                  <w:rPr/>
                  <w:fldChar w:fldCharType="begin"/>
                </w:r>
                <w:r>
                  <w:rPr>
                    <w:rFonts w:ascii="Calibri"/>
                    <w:w w:val="100"/>
                    <w:sz w:val="22"/>
                  </w:rPr>
                  <w:instrText> PAGE </w:instrText>
                </w:r>
                <w:r>
                  <w:rPr/>
                  <w:fldChar w:fldCharType="separate"/>
                </w:r>
                <w:r>
                  <w:rPr/>
                  <w:t>2</w:t>
                </w:r>
                <w:r>
                  <w:rPr/>
                  <w:fldChar w:fldCharType="end"/>
                </w:r>
              </w:p>
              <w:p>
                <w:pPr>
                  <w:spacing w:before="0"/>
                  <w:ind w:left="20" w:right="0" w:firstLine="0"/>
                  <w:jc w:val="left"/>
                  <w:rPr>
                    <w:rFonts w:ascii="Calibri"/>
                    <w:sz w:val="22"/>
                  </w:rPr>
                </w:pPr>
                <w:r>
                  <w:rPr>
                    <w:rFonts w:ascii="Calibri"/>
                    <w:sz w:val="22"/>
                  </w:rPr>
                  <w:t>LC/H/284/2023</w:t>
                </w:r>
              </w:p>
              <w:p>
                <w:pPr>
                  <w:spacing w:before="0"/>
                  <w:ind w:left="552" w:right="0" w:firstLine="0"/>
                  <w:jc w:val="left"/>
                  <w:rPr>
                    <w:rFonts w:ascii="Calibri"/>
                    <w:sz w:val="22"/>
                  </w:rPr>
                </w:pPr>
                <w:r>
                  <w:rPr>
                    <w:rFonts w:ascii="Calibri"/>
                    <w:sz w:val="22"/>
                  </w:rPr>
                  <w:t>LC/H/</w:t>
                </w:r>
              </w:p>
            </w:txbxContent>
          </v:textbox>
          <w10:wrap type="none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multiLevelType w:val="hybridMultilevel"/>
    <w:lvl w:ilvl="0">
      <w:start w:val="1"/>
      <w:numFmt w:val="decimal"/>
      <w:lvlText w:val="%1."/>
      <w:lvlJc w:val="left"/>
      <w:pPr>
        <w:ind w:left="820" w:hanging="360"/>
        <w:jc w:val="left"/>
      </w:pPr>
      <w:rPr>
        <w:rFonts w:hint="default" w:ascii="Times New Roman" w:hAnsi="Times New Roman" w:eastAsia="Times New Roman" w:cs="Times New Roman"/>
        <w:b/>
        <w:bCs/>
        <w:w w:val="100"/>
        <w:sz w:val="24"/>
        <w:szCs w:val="24"/>
        <w:lang w:val="en-US" w:eastAsia="en-US" w:bidi="ar-SA"/>
      </w:rPr>
    </w:lvl>
    <w:lvl w:ilvl="1">
      <w:start w:val="0"/>
      <w:numFmt w:val="bullet"/>
      <w:lvlText w:val="•"/>
      <w:lvlJc w:val="left"/>
      <w:pPr>
        <w:ind w:left="1676" w:hanging="360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2533" w:hanging="360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3389" w:hanging="360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4246" w:hanging="360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5103" w:hanging="360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5959" w:hanging="360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6816" w:hanging="360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7673" w:hanging="360"/>
      </w:pPr>
      <w:rPr>
        <w:rFonts w:hint="default"/>
        <w:lang w:val="en-US" w:eastAsia="en-US" w:bidi="ar-SA"/>
      </w:rPr>
    </w:lvl>
  </w:abstractNum>
  <w:abstractNum w:abstractNumId="1">
    <w:multiLevelType w:val="hybridMultilevel"/>
    <w:lvl w:ilvl="0">
      <w:start w:val="12"/>
      <w:numFmt w:val="decimal"/>
      <w:lvlText w:val="%1."/>
      <w:lvlJc w:val="left"/>
      <w:pPr>
        <w:ind w:left="820" w:hanging="363"/>
        <w:jc w:val="left"/>
      </w:pPr>
      <w:rPr>
        <w:rFonts w:hint="default" w:ascii="Times New Roman" w:hAnsi="Times New Roman" w:eastAsia="Times New Roman" w:cs="Times New Roman"/>
        <w:w w:val="100"/>
        <w:sz w:val="24"/>
        <w:szCs w:val="24"/>
        <w:lang w:val="en-US" w:eastAsia="en-US" w:bidi="ar-SA"/>
      </w:rPr>
    </w:lvl>
    <w:lvl w:ilvl="1">
      <w:start w:val="0"/>
      <w:numFmt w:val="bullet"/>
      <w:lvlText w:val="•"/>
      <w:lvlJc w:val="left"/>
      <w:pPr>
        <w:ind w:left="1676" w:hanging="363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2533" w:hanging="363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3389" w:hanging="363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4246" w:hanging="363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5103" w:hanging="363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5959" w:hanging="363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6816" w:hanging="363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7673" w:hanging="363"/>
      </w:pPr>
      <w:rPr>
        <w:rFonts w:hint="default"/>
        <w:lang w:val="en-US" w:eastAsia="en-US" w:bidi="ar-SA"/>
      </w:rPr>
    </w:lvl>
  </w:abstractNum>
  <w:abstractNum w:abstractNumId="0">
    <w:multiLevelType w:val="hybridMultilevel"/>
    <w:lvl w:ilvl="0">
      <w:start w:val="1"/>
      <w:numFmt w:val="decimal"/>
      <w:lvlText w:val="%1."/>
      <w:lvlJc w:val="left"/>
      <w:pPr>
        <w:ind w:left="1180" w:hanging="360"/>
        <w:jc w:val="left"/>
      </w:pPr>
      <w:rPr>
        <w:rFonts w:hint="default" w:ascii="Times New Roman" w:hAnsi="Times New Roman" w:eastAsia="Times New Roman" w:cs="Times New Roman"/>
        <w:w w:val="100"/>
        <w:sz w:val="24"/>
        <w:szCs w:val="24"/>
        <w:lang w:val="en-US" w:eastAsia="en-US" w:bidi="ar-SA"/>
      </w:rPr>
    </w:lvl>
    <w:lvl w:ilvl="1">
      <w:start w:val="0"/>
      <w:numFmt w:val="bullet"/>
      <w:lvlText w:val="•"/>
      <w:lvlJc w:val="left"/>
      <w:pPr>
        <w:ind w:left="2000" w:hanging="360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2821" w:hanging="360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3641" w:hanging="360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4462" w:hanging="360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5283" w:hanging="360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6103" w:hanging="360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6924" w:hanging="360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7745" w:hanging="360"/>
      </w:pPr>
      <w:rPr>
        <w:rFonts w:hint="default"/>
        <w:lang w:val="en-US" w:eastAsia="en-US" w:bidi="ar-SA"/>
      </w:rPr>
    </w:lvl>
  </w:abstractNum>
  <w:num w:numId="3">
    <w:abstractNumId w:val="2"/>
  </w:num>
  <w:num w:numId="2">
    <w:abstractNumId w:val="1"/>
  </w: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imes New Roman" w:hAnsi="Times New Roman" w:eastAsia="Times New Roman" w:cs="Times New Roman"/>
      <w:lang w:val="en-US" w:eastAsia="en-US" w:bidi="ar-SA"/>
    </w:rPr>
  </w:style>
  <w:style w:styleId="BodyText" w:type="paragraph">
    <w:name w:val="Body Text"/>
    <w:basedOn w:val="Normal"/>
    <w:uiPriority w:val="1"/>
    <w:qFormat/>
    <w:pPr/>
    <w:rPr>
      <w:rFonts w:ascii="Times New Roman" w:hAnsi="Times New Roman" w:eastAsia="Times New Roman" w:cs="Times New Roman"/>
      <w:sz w:val="24"/>
      <w:szCs w:val="24"/>
      <w:lang w:val="en-US" w:eastAsia="en-US" w:bidi="ar-SA"/>
    </w:rPr>
  </w:style>
  <w:style w:styleId="Heading1" w:type="paragraph">
    <w:name w:val="Heading 1"/>
    <w:basedOn w:val="Normal"/>
    <w:uiPriority w:val="1"/>
    <w:qFormat/>
    <w:pPr>
      <w:ind w:left="100"/>
      <w:outlineLvl w:val="1"/>
    </w:pPr>
    <w:rPr>
      <w:rFonts w:ascii="Times New Roman" w:hAnsi="Times New Roman" w:eastAsia="Times New Roman" w:cs="Times New Roman"/>
      <w:b/>
      <w:bCs/>
      <w:sz w:val="24"/>
      <w:szCs w:val="24"/>
      <w:lang w:val="en-US" w:eastAsia="en-US" w:bidi="ar-SA"/>
    </w:rPr>
  </w:style>
  <w:style w:styleId="ListParagraph" w:type="paragraph">
    <w:name w:val="List Paragraph"/>
    <w:basedOn w:val="Normal"/>
    <w:uiPriority w:val="1"/>
    <w:qFormat/>
    <w:pPr>
      <w:ind w:left="820" w:hanging="361"/>
    </w:pPr>
    <w:rPr>
      <w:rFonts w:ascii="Times New Roman" w:hAnsi="Times New Roman" w:eastAsia="Times New Roman" w:cs="Times New Roman"/>
      <w:lang w:val="en-US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header" Target="header1.xml"/><Relationship Id="rId7" Type="http://schemas.openxmlformats.org/officeDocument/2006/relationships/image" Target="media/image2.png"/><Relationship Id="rId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JSC</dc:creator>
  <dcterms:created xsi:type="dcterms:W3CDTF">2023-10-06T10:37:25Z</dcterms:created>
  <dcterms:modified xsi:type="dcterms:W3CDTF">2023-10-06T10:37:25Z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2023-09-27T00:00:00Z</vt:filetime>
  </property>
  <property fmtid="{D5CDD505-2E9C-101B-9397-08002B2CF9AE}" pid="3" name="Creator">
    <vt:lpwstr>Microsoft® Word 2019</vt:lpwstr>
  </property>
  <property fmtid="{D5CDD505-2E9C-101B-9397-08002B2CF9AE}" pid="4" name="LastSaved">
    <vt:filetime>2023-10-06T00:00:00Z</vt:filetime>
  </property>
</Properties>
</file>