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012EA3" w14:textId="56FF2067" w:rsidR="0050061B" w:rsidRPr="00D55BA2" w:rsidRDefault="00F347E7" w:rsidP="0050061B">
      <w:pPr>
        <w:spacing w:after="0" w:line="240" w:lineRule="auto"/>
        <w:rPr>
          <w:rFonts w:cs="Times New Roman"/>
          <w:szCs w:val="24"/>
        </w:rPr>
      </w:pPr>
      <w:bookmarkStart w:id="0" w:name="_GoBack"/>
      <w:bookmarkEnd w:id="0"/>
      <w:r w:rsidRPr="00D55BA2">
        <w:rPr>
          <w:rFonts w:cs="Times New Roman"/>
          <w:szCs w:val="24"/>
        </w:rPr>
        <w:t xml:space="preserve">HRL SAFARI LLC LIMITED </w:t>
      </w:r>
    </w:p>
    <w:p w14:paraId="0E3F61B0" w14:textId="77777777" w:rsidR="0050061B" w:rsidRPr="00D55BA2" w:rsidRDefault="0050061B" w:rsidP="0050061B">
      <w:pPr>
        <w:spacing w:after="0" w:line="240" w:lineRule="auto"/>
        <w:rPr>
          <w:rFonts w:cs="Times New Roman"/>
          <w:szCs w:val="24"/>
        </w:rPr>
      </w:pPr>
      <w:r w:rsidRPr="00D55BA2">
        <w:rPr>
          <w:rFonts w:cs="Times New Roman"/>
          <w:szCs w:val="24"/>
        </w:rPr>
        <w:t>versus</w:t>
      </w:r>
    </w:p>
    <w:p w14:paraId="76C36BA4" w14:textId="24050951" w:rsidR="0050061B" w:rsidRPr="00D55BA2" w:rsidRDefault="00F347E7" w:rsidP="0050061B">
      <w:pPr>
        <w:spacing w:after="0" w:line="240" w:lineRule="auto"/>
        <w:rPr>
          <w:rFonts w:cs="Times New Roman"/>
          <w:szCs w:val="24"/>
        </w:rPr>
      </w:pPr>
      <w:r w:rsidRPr="00D55BA2">
        <w:rPr>
          <w:rFonts w:cs="Times New Roman"/>
          <w:szCs w:val="24"/>
        </w:rPr>
        <w:t>FOREVER AFRICA (PRIVATE) LIMITED</w:t>
      </w:r>
    </w:p>
    <w:p w14:paraId="1E66E559" w14:textId="77777777" w:rsidR="0050061B" w:rsidRPr="00D55BA2" w:rsidRDefault="0050061B" w:rsidP="0050061B">
      <w:pPr>
        <w:spacing w:line="240" w:lineRule="auto"/>
        <w:rPr>
          <w:rFonts w:cs="Times New Roman"/>
          <w:szCs w:val="24"/>
        </w:rPr>
      </w:pPr>
    </w:p>
    <w:p w14:paraId="6C793915" w14:textId="77777777" w:rsidR="0050061B" w:rsidRPr="00D55BA2" w:rsidRDefault="0050061B" w:rsidP="0050061B">
      <w:pPr>
        <w:spacing w:line="240" w:lineRule="auto"/>
        <w:rPr>
          <w:rFonts w:cs="Times New Roman"/>
          <w:szCs w:val="24"/>
        </w:rPr>
      </w:pPr>
    </w:p>
    <w:p w14:paraId="018FCBDA" w14:textId="77777777" w:rsidR="0050061B" w:rsidRPr="00D55BA2" w:rsidRDefault="0050061B" w:rsidP="0050061B">
      <w:pPr>
        <w:spacing w:after="0" w:line="240" w:lineRule="auto"/>
        <w:rPr>
          <w:rFonts w:cs="Times New Roman"/>
          <w:szCs w:val="24"/>
        </w:rPr>
      </w:pPr>
      <w:r w:rsidRPr="00D55BA2">
        <w:rPr>
          <w:rFonts w:cs="Times New Roman"/>
          <w:szCs w:val="24"/>
        </w:rPr>
        <w:t>HIGH COURT OF ZIMBABWE</w:t>
      </w:r>
    </w:p>
    <w:p w14:paraId="6C0084B3" w14:textId="31E0072D" w:rsidR="00F347E7" w:rsidRPr="00D55BA2" w:rsidRDefault="00F347E7" w:rsidP="0050061B">
      <w:pPr>
        <w:spacing w:after="0" w:line="240" w:lineRule="auto"/>
        <w:rPr>
          <w:rFonts w:cs="Times New Roman"/>
          <w:szCs w:val="24"/>
        </w:rPr>
      </w:pPr>
      <w:r w:rsidRPr="00D55BA2">
        <w:rPr>
          <w:rFonts w:cs="Times New Roman"/>
          <w:szCs w:val="24"/>
        </w:rPr>
        <w:t>COMMERCIAL DIVISION</w:t>
      </w:r>
    </w:p>
    <w:p w14:paraId="048C08FF" w14:textId="5E203CEA" w:rsidR="0050061B" w:rsidRPr="00D55BA2" w:rsidRDefault="00F347E7" w:rsidP="0050061B">
      <w:pPr>
        <w:spacing w:after="0" w:line="240" w:lineRule="auto"/>
        <w:rPr>
          <w:rFonts w:cs="Times New Roman"/>
          <w:b/>
          <w:bCs/>
          <w:szCs w:val="24"/>
        </w:rPr>
      </w:pPr>
      <w:r w:rsidRPr="00D55BA2">
        <w:rPr>
          <w:rFonts w:cs="Times New Roman"/>
          <w:b/>
          <w:bCs/>
          <w:szCs w:val="24"/>
        </w:rPr>
        <w:t>MUSHURE</w:t>
      </w:r>
      <w:r w:rsidR="0050061B" w:rsidRPr="00D55BA2">
        <w:rPr>
          <w:rFonts w:cs="Times New Roman"/>
          <w:b/>
          <w:bCs/>
          <w:szCs w:val="24"/>
        </w:rPr>
        <w:t xml:space="preserve"> J</w:t>
      </w:r>
    </w:p>
    <w:p w14:paraId="0B41C4DB" w14:textId="288393BC" w:rsidR="0050061B" w:rsidRPr="00D55BA2" w:rsidRDefault="0050061B" w:rsidP="0050061B">
      <w:pPr>
        <w:spacing w:after="0" w:line="240" w:lineRule="auto"/>
        <w:rPr>
          <w:rFonts w:cs="Times New Roman"/>
          <w:szCs w:val="24"/>
        </w:rPr>
      </w:pPr>
      <w:r w:rsidRPr="00D55BA2">
        <w:rPr>
          <w:rFonts w:cs="Times New Roman"/>
          <w:szCs w:val="24"/>
        </w:rPr>
        <w:t xml:space="preserve">HARARE; 8 </w:t>
      </w:r>
      <w:r w:rsidR="00F347E7" w:rsidRPr="00D55BA2">
        <w:rPr>
          <w:rFonts w:cs="Times New Roman"/>
          <w:szCs w:val="24"/>
        </w:rPr>
        <w:t xml:space="preserve">September </w:t>
      </w:r>
      <w:r w:rsidR="00F86E0D">
        <w:rPr>
          <w:rFonts w:cs="Times New Roman"/>
          <w:szCs w:val="24"/>
        </w:rPr>
        <w:t xml:space="preserve">2025 </w:t>
      </w:r>
      <w:r w:rsidRPr="00D55BA2">
        <w:rPr>
          <w:rFonts w:cs="Times New Roman"/>
          <w:szCs w:val="24"/>
        </w:rPr>
        <w:t xml:space="preserve">&amp; </w:t>
      </w:r>
      <w:r w:rsidR="007226BD">
        <w:rPr>
          <w:rFonts w:cs="Times New Roman"/>
          <w:szCs w:val="24"/>
        </w:rPr>
        <w:t xml:space="preserve">27 </w:t>
      </w:r>
      <w:r w:rsidR="0067507F">
        <w:rPr>
          <w:rFonts w:cs="Times New Roman"/>
          <w:szCs w:val="24"/>
        </w:rPr>
        <w:t>February 2026</w:t>
      </w:r>
      <w:r w:rsidRPr="00D55BA2">
        <w:rPr>
          <w:rFonts w:cs="Times New Roman"/>
          <w:szCs w:val="24"/>
        </w:rPr>
        <w:t xml:space="preserve"> </w:t>
      </w:r>
    </w:p>
    <w:p w14:paraId="7529B697" w14:textId="77777777" w:rsidR="0050061B" w:rsidRPr="00D55BA2" w:rsidRDefault="0050061B" w:rsidP="0050061B">
      <w:pPr>
        <w:spacing w:line="240" w:lineRule="auto"/>
        <w:rPr>
          <w:rFonts w:cs="Times New Roman"/>
          <w:szCs w:val="24"/>
        </w:rPr>
      </w:pPr>
    </w:p>
    <w:p w14:paraId="5514CFF6" w14:textId="34A7CF64" w:rsidR="0050061B" w:rsidRPr="00D55BA2" w:rsidRDefault="00F347E7" w:rsidP="0050061B">
      <w:pPr>
        <w:spacing w:line="240" w:lineRule="auto"/>
        <w:rPr>
          <w:rFonts w:cs="Times New Roman"/>
          <w:b/>
          <w:szCs w:val="24"/>
        </w:rPr>
      </w:pPr>
      <w:r w:rsidRPr="00D55BA2">
        <w:rPr>
          <w:rFonts w:cs="Times New Roman"/>
          <w:b/>
          <w:szCs w:val="24"/>
        </w:rPr>
        <w:t xml:space="preserve">Special case </w:t>
      </w:r>
    </w:p>
    <w:p w14:paraId="31BAF52F" w14:textId="77777777" w:rsidR="00F347E7" w:rsidRPr="00D55BA2" w:rsidRDefault="00F347E7" w:rsidP="0050061B">
      <w:pPr>
        <w:spacing w:line="240" w:lineRule="auto"/>
        <w:rPr>
          <w:rFonts w:cs="Times New Roman"/>
          <w:b/>
          <w:szCs w:val="24"/>
        </w:rPr>
      </w:pPr>
    </w:p>
    <w:p w14:paraId="1A7AEBA2" w14:textId="6FEB423B" w:rsidR="0050061B" w:rsidRPr="00D55BA2" w:rsidRDefault="006C36B3" w:rsidP="0050061B">
      <w:pPr>
        <w:spacing w:after="0" w:line="240" w:lineRule="auto"/>
        <w:rPr>
          <w:rFonts w:cs="Times New Roman"/>
          <w:szCs w:val="24"/>
        </w:rPr>
      </w:pPr>
      <w:r w:rsidRPr="00D55BA2">
        <w:rPr>
          <w:rFonts w:cs="Times New Roman"/>
          <w:i/>
          <w:szCs w:val="24"/>
        </w:rPr>
        <w:t>T</w:t>
      </w:r>
      <w:r w:rsidR="006F48ED" w:rsidRPr="00D55BA2">
        <w:rPr>
          <w:rFonts w:cs="Times New Roman"/>
          <w:i/>
          <w:szCs w:val="24"/>
        </w:rPr>
        <w:t>.</w:t>
      </w:r>
      <w:r w:rsidRPr="00D55BA2">
        <w:rPr>
          <w:rFonts w:cs="Times New Roman"/>
          <w:i/>
          <w:szCs w:val="24"/>
        </w:rPr>
        <w:t xml:space="preserve"> </w:t>
      </w:r>
      <w:r w:rsidR="00F347E7" w:rsidRPr="00D55BA2">
        <w:rPr>
          <w:rFonts w:cs="Times New Roman"/>
          <w:i/>
          <w:szCs w:val="24"/>
        </w:rPr>
        <w:t>Mpofu</w:t>
      </w:r>
      <w:r w:rsidR="006F48ED" w:rsidRPr="00D55BA2">
        <w:rPr>
          <w:rFonts w:cs="Times New Roman"/>
          <w:i/>
          <w:szCs w:val="24"/>
        </w:rPr>
        <w:t xml:space="preserve"> </w:t>
      </w:r>
      <w:r w:rsidR="0050061B" w:rsidRPr="00D55BA2">
        <w:rPr>
          <w:rFonts w:cs="Times New Roman"/>
          <w:szCs w:val="24"/>
        </w:rPr>
        <w:t xml:space="preserve">for the </w:t>
      </w:r>
      <w:r w:rsidR="00F347E7" w:rsidRPr="00D55BA2">
        <w:rPr>
          <w:rFonts w:cs="Times New Roman"/>
          <w:szCs w:val="24"/>
        </w:rPr>
        <w:t>plaintiff</w:t>
      </w:r>
    </w:p>
    <w:p w14:paraId="00BDFA02" w14:textId="51C29B12" w:rsidR="0050061B" w:rsidRPr="00D55BA2" w:rsidRDefault="00833671" w:rsidP="0050061B">
      <w:pPr>
        <w:spacing w:after="0" w:line="240" w:lineRule="auto"/>
        <w:rPr>
          <w:rFonts w:cs="Times New Roman"/>
          <w:szCs w:val="24"/>
        </w:rPr>
      </w:pPr>
      <w:r w:rsidRPr="00D55BA2">
        <w:rPr>
          <w:rFonts w:cs="Times New Roman"/>
          <w:i/>
          <w:iCs/>
          <w:szCs w:val="24"/>
        </w:rPr>
        <w:t>D. Tivadar</w:t>
      </w:r>
      <w:r w:rsidR="006F48ED" w:rsidRPr="00D55BA2">
        <w:rPr>
          <w:rFonts w:cs="Times New Roman"/>
          <w:i/>
          <w:iCs/>
          <w:szCs w:val="24"/>
        </w:rPr>
        <w:t xml:space="preserve"> </w:t>
      </w:r>
      <w:r w:rsidR="0050061B" w:rsidRPr="00D55BA2">
        <w:rPr>
          <w:rFonts w:cs="Times New Roman"/>
          <w:szCs w:val="24"/>
        </w:rPr>
        <w:t xml:space="preserve">for the </w:t>
      </w:r>
      <w:r w:rsidRPr="00D55BA2">
        <w:rPr>
          <w:rFonts w:cs="Times New Roman"/>
          <w:szCs w:val="24"/>
        </w:rPr>
        <w:t>defendant</w:t>
      </w:r>
    </w:p>
    <w:p w14:paraId="55046D69" w14:textId="77777777" w:rsidR="0050061B" w:rsidRPr="00D55BA2" w:rsidRDefault="0050061B" w:rsidP="0050061B">
      <w:pPr>
        <w:spacing w:after="0" w:line="240" w:lineRule="auto"/>
        <w:rPr>
          <w:rFonts w:cs="Times New Roman"/>
          <w:szCs w:val="24"/>
        </w:rPr>
      </w:pPr>
    </w:p>
    <w:p w14:paraId="25E62A7D" w14:textId="77777777" w:rsidR="0050061B" w:rsidRPr="00D55BA2" w:rsidRDefault="0050061B" w:rsidP="0050061B">
      <w:pPr>
        <w:spacing w:line="240" w:lineRule="auto"/>
        <w:rPr>
          <w:rFonts w:cs="Times New Roman"/>
          <w:szCs w:val="24"/>
        </w:rPr>
      </w:pPr>
    </w:p>
    <w:p w14:paraId="2744DA85" w14:textId="31C3ED36" w:rsidR="00833671" w:rsidRPr="00D55BA2" w:rsidRDefault="00833671" w:rsidP="000B747D">
      <w:pPr>
        <w:ind w:firstLine="720"/>
        <w:rPr>
          <w:rFonts w:cs="Times New Roman"/>
          <w:szCs w:val="24"/>
        </w:rPr>
      </w:pPr>
      <w:r w:rsidRPr="00D55BA2">
        <w:rPr>
          <w:rFonts w:cs="Times New Roman"/>
          <w:szCs w:val="24"/>
        </w:rPr>
        <w:t>MUSHURE</w:t>
      </w:r>
      <w:r w:rsidR="0050061B" w:rsidRPr="00D55BA2">
        <w:rPr>
          <w:rFonts w:cs="Times New Roman"/>
          <w:szCs w:val="24"/>
        </w:rPr>
        <w:t xml:space="preserve"> J:</w:t>
      </w:r>
    </w:p>
    <w:p w14:paraId="254E9440" w14:textId="77777777" w:rsidR="00833671" w:rsidRPr="00D55BA2" w:rsidRDefault="00833671" w:rsidP="00833671">
      <w:pPr>
        <w:rPr>
          <w:rFonts w:cs="Times New Roman"/>
          <w:b/>
          <w:bCs/>
          <w:szCs w:val="24"/>
          <w:u w:val="single"/>
        </w:rPr>
      </w:pPr>
      <w:r w:rsidRPr="00D55BA2">
        <w:rPr>
          <w:rFonts w:cs="Times New Roman"/>
          <w:b/>
          <w:bCs/>
          <w:szCs w:val="24"/>
          <w:u w:val="single"/>
        </w:rPr>
        <w:t>INTRODUCTION</w:t>
      </w:r>
    </w:p>
    <w:p w14:paraId="67CDC44F" w14:textId="0B0C7AD1" w:rsidR="00350A6C" w:rsidRPr="00D55BA2" w:rsidRDefault="000B747D" w:rsidP="001904A7">
      <w:pPr>
        <w:pStyle w:val="ListParagraph"/>
        <w:numPr>
          <w:ilvl w:val="0"/>
          <w:numId w:val="5"/>
        </w:numPr>
        <w:ind w:left="567" w:hanging="567"/>
        <w:rPr>
          <w:rFonts w:cs="Times New Roman"/>
          <w:b/>
          <w:bCs/>
          <w:szCs w:val="24"/>
          <w:u w:val="single"/>
        </w:rPr>
      </w:pPr>
      <w:r w:rsidRPr="00D55BA2">
        <w:rPr>
          <w:rFonts w:cs="Times New Roman"/>
          <w:szCs w:val="24"/>
        </w:rPr>
        <w:t>Th</w:t>
      </w:r>
      <w:r w:rsidR="00350A6C" w:rsidRPr="00D55BA2">
        <w:rPr>
          <w:rFonts w:cs="Times New Roman"/>
          <w:szCs w:val="24"/>
        </w:rPr>
        <w:t xml:space="preserve">is is a special case </w:t>
      </w:r>
      <w:r w:rsidR="005021B9" w:rsidRPr="00D55BA2">
        <w:rPr>
          <w:rFonts w:cs="Times New Roman"/>
          <w:szCs w:val="24"/>
        </w:rPr>
        <w:t>in terms of r</w:t>
      </w:r>
      <w:r w:rsidR="00D86855">
        <w:rPr>
          <w:rFonts w:cs="Times New Roman"/>
          <w:szCs w:val="24"/>
        </w:rPr>
        <w:t xml:space="preserve"> </w:t>
      </w:r>
      <w:r w:rsidR="005021B9" w:rsidRPr="00D55BA2">
        <w:rPr>
          <w:rFonts w:cs="Times New Roman"/>
          <w:szCs w:val="24"/>
        </w:rPr>
        <w:t>52 of the High Court Rules, 2021</w:t>
      </w:r>
      <w:r w:rsidR="00AF2A7D">
        <w:rPr>
          <w:rFonts w:cs="Times New Roman"/>
          <w:szCs w:val="24"/>
        </w:rPr>
        <w:t>,</w:t>
      </w:r>
      <w:r w:rsidR="005021B9" w:rsidRPr="00D55BA2">
        <w:rPr>
          <w:rFonts w:cs="Times New Roman"/>
          <w:szCs w:val="24"/>
        </w:rPr>
        <w:t xml:space="preserve"> as read with r</w:t>
      </w:r>
      <w:r w:rsidR="00AF2A7D">
        <w:rPr>
          <w:rFonts w:cs="Times New Roman"/>
          <w:szCs w:val="24"/>
        </w:rPr>
        <w:t xml:space="preserve"> </w:t>
      </w:r>
      <w:r w:rsidR="005021B9" w:rsidRPr="00D55BA2">
        <w:rPr>
          <w:rFonts w:cs="Times New Roman"/>
          <w:szCs w:val="24"/>
        </w:rPr>
        <w:t xml:space="preserve">4(2) of the High Court (Commercial Division) Rules, 2020. </w:t>
      </w:r>
    </w:p>
    <w:p w14:paraId="2EC75FA4" w14:textId="63A26371" w:rsidR="001904A7" w:rsidRPr="00D55BA2" w:rsidRDefault="001904A7" w:rsidP="00350A6C">
      <w:pPr>
        <w:rPr>
          <w:rFonts w:cs="Times New Roman"/>
          <w:b/>
          <w:bCs/>
          <w:szCs w:val="24"/>
          <w:u w:val="single"/>
        </w:rPr>
      </w:pPr>
      <w:r w:rsidRPr="00D55BA2">
        <w:rPr>
          <w:rFonts w:cs="Times New Roman"/>
          <w:b/>
          <w:bCs/>
          <w:szCs w:val="24"/>
          <w:u w:val="single"/>
        </w:rPr>
        <w:t>BACKGROUND</w:t>
      </w:r>
    </w:p>
    <w:p w14:paraId="5A0D8915" w14:textId="745A4591" w:rsidR="00350A6C" w:rsidRPr="00D55BA2" w:rsidRDefault="00350A6C" w:rsidP="00350A6C">
      <w:pPr>
        <w:pStyle w:val="ListParagraph"/>
        <w:numPr>
          <w:ilvl w:val="0"/>
          <w:numId w:val="5"/>
        </w:numPr>
        <w:ind w:left="567" w:hanging="567"/>
        <w:rPr>
          <w:rFonts w:cs="Times New Roman"/>
        </w:rPr>
      </w:pPr>
      <w:r w:rsidRPr="00D55BA2">
        <w:rPr>
          <w:rFonts w:cs="Times New Roman"/>
          <w:szCs w:val="24"/>
        </w:rPr>
        <w:t xml:space="preserve">The plaintiff is a limited liability company registered in the State of Delaware, United States of America. The defendant is a registered company as per the laws of Zimbabwe. </w:t>
      </w:r>
      <w:r w:rsidR="0067507F">
        <w:rPr>
          <w:rFonts w:cs="Times New Roman"/>
          <w:szCs w:val="24"/>
        </w:rPr>
        <w:t>T</w:t>
      </w:r>
      <w:r w:rsidRPr="00D55BA2">
        <w:rPr>
          <w:rFonts w:cs="Times New Roman"/>
          <w:szCs w:val="24"/>
        </w:rPr>
        <w:t xml:space="preserve">his matter commenced as an action with the plaintiff issuing summons against the defendant claiming for the payment of a sum of </w:t>
      </w:r>
      <w:r w:rsidR="00ED7948" w:rsidRPr="00D55BA2">
        <w:rPr>
          <w:rFonts w:cs="Times New Roman"/>
          <w:szCs w:val="24"/>
        </w:rPr>
        <w:t>US</w:t>
      </w:r>
      <w:r w:rsidR="00ED7948">
        <w:rPr>
          <w:rFonts w:cs="Times New Roman"/>
          <w:szCs w:val="24"/>
        </w:rPr>
        <w:t>$</w:t>
      </w:r>
      <w:r w:rsidRPr="00D55BA2">
        <w:rPr>
          <w:rFonts w:cs="Times New Roman"/>
          <w:szCs w:val="24"/>
        </w:rPr>
        <w:t>418</w:t>
      </w:r>
      <w:r w:rsidR="005E3D71">
        <w:rPr>
          <w:rFonts w:cs="Times New Roman"/>
          <w:szCs w:val="24"/>
        </w:rPr>
        <w:t xml:space="preserve"> </w:t>
      </w:r>
      <w:r w:rsidRPr="00D55BA2">
        <w:rPr>
          <w:rFonts w:cs="Times New Roman"/>
          <w:szCs w:val="24"/>
        </w:rPr>
        <w:t>950.69 and interest at the rate of 2</w:t>
      </w:r>
      <w:r w:rsidR="005E3D71">
        <w:rPr>
          <w:rFonts w:cs="Times New Roman"/>
          <w:szCs w:val="24"/>
        </w:rPr>
        <w:t xml:space="preserve"> per cent</w:t>
      </w:r>
      <w:r w:rsidR="005E3D71" w:rsidRPr="00D55BA2">
        <w:rPr>
          <w:rFonts w:cs="Times New Roman"/>
          <w:szCs w:val="24"/>
        </w:rPr>
        <w:t xml:space="preserve"> </w:t>
      </w:r>
      <w:r w:rsidRPr="00D55BA2">
        <w:rPr>
          <w:rFonts w:cs="Times New Roman"/>
          <w:szCs w:val="24"/>
        </w:rPr>
        <w:t>plus base rate applied by Barclays Bank Plc (</w:t>
      </w:r>
      <w:r w:rsidR="00A5420B">
        <w:rPr>
          <w:rFonts w:cs="Times New Roman"/>
          <w:szCs w:val="24"/>
        </w:rPr>
        <w:t>c</w:t>
      </w:r>
      <w:r w:rsidR="00A5420B" w:rsidRPr="00D55BA2">
        <w:rPr>
          <w:rFonts w:cs="Times New Roman"/>
          <w:szCs w:val="24"/>
        </w:rPr>
        <w:t>urrently US</w:t>
      </w:r>
      <w:r w:rsidR="00A5420B">
        <w:rPr>
          <w:rFonts w:cs="Times New Roman"/>
          <w:szCs w:val="24"/>
        </w:rPr>
        <w:t>$</w:t>
      </w:r>
      <w:r w:rsidRPr="00D55BA2">
        <w:rPr>
          <w:rFonts w:cs="Times New Roman"/>
          <w:szCs w:val="24"/>
        </w:rPr>
        <w:t>80.35 per day) with effect from 1 July 2024 up to date of payment in full, as well as costs of suit. The defendant opposed the claim.</w:t>
      </w:r>
    </w:p>
    <w:p w14:paraId="5450C7B0" w14:textId="61C6DF0F" w:rsidR="00350A6C" w:rsidRPr="00D55BA2" w:rsidRDefault="00350A6C" w:rsidP="00350A6C">
      <w:pPr>
        <w:pStyle w:val="ListParagraph"/>
        <w:numPr>
          <w:ilvl w:val="0"/>
          <w:numId w:val="5"/>
        </w:numPr>
        <w:ind w:left="567" w:hanging="567"/>
        <w:rPr>
          <w:rFonts w:cs="Times New Roman"/>
        </w:rPr>
      </w:pPr>
      <w:r w:rsidRPr="00D55BA2">
        <w:rPr>
          <w:rFonts w:cs="Times New Roman"/>
        </w:rPr>
        <w:t xml:space="preserve">At the case management stage, the parties made vain attempts to settle. They eventually agreed that the matter proceeds as a stated case, as the issues that remained in dispute were largely common cause and points of law that </w:t>
      </w:r>
      <w:r w:rsidR="00A17BD0" w:rsidRPr="00D55BA2">
        <w:rPr>
          <w:rFonts w:cs="Times New Roman"/>
        </w:rPr>
        <w:t xml:space="preserve">did not require the </w:t>
      </w:r>
      <w:r w:rsidRPr="00D55BA2">
        <w:rPr>
          <w:rFonts w:cs="Times New Roman"/>
        </w:rPr>
        <w:t>leading of evidence.</w:t>
      </w:r>
    </w:p>
    <w:p w14:paraId="2990AC2F" w14:textId="4600AFC3" w:rsidR="00392035" w:rsidRPr="00D55BA2" w:rsidRDefault="00350A6C" w:rsidP="00392035">
      <w:pPr>
        <w:pStyle w:val="ListParagraph"/>
        <w:numPr>
          <w:ilvl w:val="0"/>
          <w:numId w:val="5"/>
        </w:numPr>
        <w:ind w:left="567" w:hanging="567"/>
        <w:rPr>
          <w:rFonts w:cs="Times New Roman"/>
        </w:rPr>
      </w:pPr>
      <w:r w:rsidRPr="00D55BA2">
        <w:rPr>
          <w:rFonts w:cs="Times New Roman"/>
          <w:szCs w:val="24"/>
        </w:rPr>
        <w:lastRenderedPageBreak/>
        <w:t xml:space="preserve">The facts of the matter as presented by the parties in their </w:t>
      </w:r>
      <w:r w:rsidR="00911732">
        <w:rPr>
          <w:rFonts w:cs="Times New Roman"/>
          <w:szCs w:val="24"/>
        </w:rPr>
        <w:t>s</w:t>
      </w:r>
      <w:r w:rsidRPr="00D55BA2">
        <w:rPr>
          <w:rFonts w:cs="Times New Roman"/>
          <w:szCs w:val="24"/>
        </w:rPr>
        <w:t>tatement of agreed facts are that:</w:t>
      </w:r>
    </w:p>
    <w:p w14:paraId="3F71EC15" w14:textId="3EA2E0F0" w:rsidR="00E86895" w:rsidRPr="00D55BA2" w:rsidRDefault="003E655B" w:rsidP="00A17BD0">
      <w:pPr>
        <w:pStyle w:val="ListParagraph"/>
        <w:spacing w:line="240" w:lineRule="auto"/>
        <w:ind w:left="567"/>
        <w:rPr>
          <w:rFonts w:cs="Times New Roman"/>
        </w:rPr>
      </w:pPr>
      <w:r w:rsidRPr="00D55BA2">
        <w:rPr>
          <w:rFonts w:cs="Times New Roman"/>
        </w:rPr>
        <w:t>“B.</w:t>
      </w:r>
      <w:r w:rsidR="00E86895" w:rsidRPr="00D55BA2">
        <w:rPr>
          <w:rFonts w:cs="Times New Roman"/>
        </w:rPr>
        <w:t xml:space="preserve"> STATEMENT OF AGREED FACTS</w:t>
      </w:r>
    </w:p>
    <w:p w14:paraId="107AB7E0" w14:textId="77777777" w:rsidR="00E86895" w:rsidRPr="00D55BA2" w:rsidRDefault="00E86895" w:rsidP="00A17BD0">
      <w:pPr>
        <w:pStyle w:val="ListParagraph"/>
        <w:numPr>
          <w:ilvl w:val="0"/>
          <w:numId w:val="8"/>
        </w:numPr>
        <w:spacing w:after="100" w:afterAutospacing="1" w:line="240" w:lineRule="auto"/>
        <w:rPr>
          <w:rFonts w:cs="Times New Roman"/>
        </w:rPr>
      </w:pPr>
      <w:r w:rsidRPr="00D55BA2">
        <w:rPr>
          <w:rFonts w:cs="Times New Roman"/>
        </w:rPr>
        <w:t>The plaintiff is HRL Safari LLC, a limited liability company registered in the state of Delaware, United States of America with power to sue and to be sued whose address for service is c/o the undersigned legal practitioners.</w:t>
      </w:r>
    </w:p>
    <w:p w14:paraId="4EECC279" w14:textId="77777777" w:rsidR="00E86895" w:rsidRPr="00D55BA2" w:rsidRDefault="00E86895" w:rsidP="00A17BD0">
      <w:pPr>
        <w:pStyle w:val="ListParagraph"/>
        <w:numPr>
          <w:ilvl w:val="0"/>
          <w:numId w:val="8"/>
        </w:numPr>
        <w:spacing w:after="100" w:afterAutospacing="1" w:line="240" w:lineRule="auto"/>
        <w:rPr>
          <w:rFonts w:cs="Times New Roman"/>
        </w:rPr>
      </w:pPr>
      <w:r w:rsidRPr="00D55BA2">
        <w:rPr>
          <w:rFonts w:cs="Times New Roman"/>
        </w:rPr>
        <w:t>The defendant is Forever African (Private) Limited, a registered company in accordance with the laws of Zimbabwe whose address for service is c/o of its undersigned legal practitioners.</w:t>
      </w:r>
    </w:p>
    <w:p w14:paraId="6BED7B57" w14:textId="25683850" w:rsidR="00E86895" w:rsidRPr="00D55BA2" w:rsidRDefault="00E86895" w:rsidP="00A17BD0">
      <w:pPr>
        <w:pStyle w:val="ListParagraph"/>
        <w:numPr>
          <w:ilvl w:val="0"/>
          <w:numId w:val="8"/>
        </w:numPr>
        <w:spacing w:after="100" w:afterAutospacing="1" w:line="240" w:lineRule="auto"/>
        <w:rPr>
          <w:rFonts w:cs="Times New Roman"/>
        </w:rPr>
      </w:pPr>
      <w:r w:rsidRPr="00D55BA2">
        <w:rPr>
          <w:rFonts w:cs="Times New Roman"/>
        </w:rPr>
        <w:t>On the 5</w:t>
      </w:r>
      <w:r w:rsidRPr="00B77032">
        <w:rPr>
          <w:rFonts w:cs="Times New Roman"/>
          <w:vertAlign w:val="superscript"/>
        </w:rPr>
        <w:t>th</w:t>
      </w:r>
      <w:r w:rsidR="000A3418">
        <w:rPr>
          <w:rFonts w:cs="Times New Roman"/>
        </w:rPr>
        <w:t xml:space="preserve"> </w:t>
      </w:r>
      <w:r w:rsidRPr="00D55BA2">
        <w:rPr>
          <w:rFonts w:cs="Times New Roman"/>
        </w:rPr>
        <w:t>of April 2018 the defendant entered into a loan agreement with Vantage Travel Services Inc (hereinafter called “Vantage”), a company incorporated in Delaware, United States of America.</w:t>
      </w:r>
    </w:p>
    <w:p w14:paraId="10A19B37" w14:textId="2363A096" w:rsidR="00E86895" w:rsidRPr="00D55BA2" w:rsidRDefault="00E86895" w:rsidP="00A17BD0">
      <w:pPr>
        <w:pStyle w:val="ListParagraph"/>
        <w:numPr>
          <w:ilvl w:val="0"/>
          <w:numId w:val="8"/>
        </w:numPr>
        <w:spacing w:after="100" w:afterAutospacing="1" w:line="240" w:lineRule="auto"/>
        <w:rPr>
          <w:rFonts w:cs="Times New Roman"/>
        </w:rPr>
      </w:pPr>
      <w:r w:rsidRPr="00D55BA2">
        <w:rPr>
          <w:rFonts w:cs="Times New Roman"/>
        </w:rPr>
        <w:t>In terms of the loan agreement aforesaid, Vantage advanced the sum of US$515 000</w:t>
      </w:r>
      <w:r w:rsidR="009068BC">
        <w:rPr>
          <w:rFonts w:cs="Times New Roman"/>
        </w:rPr>
        <w:t>.</w:t>
      </w:r>
      <w:r w:rsidRPr="00D55BA2">
        <w:rPr>
          <w:rFonts w:cs="Times New Roman"/>
        </w:rPr>
        <w:t>00 to the defendant.</w:t>
      </w:r>
    </w:p>
    <w:p w14:paraId="22CC41F5" w14:textId="77777777" w:rsidR="00E86895" w:rsidRPr="00D55BA2" w:rsidRDefault="00E86895" w:rsidP="00A17BD0">
      <w:pPr>
        <w:pStyle w:val="ListParagraph"/>
        <w:numPr>
          <w:ilvl w:val="0"/>
          <w:numId w:val="8"/>
        </w:numPr>
        <w:spacing w:after="100" w:afterAutospacing="1" w:line="240" w:lineRule="auto"/>
        <w:rPr>
          <w:rFonts w:cs="Times New Roman"/>
        </w:rPr>
      </w:pPr>
      <w:r w:rsidRPr="00D55BA2">
        <w:rPr>
          <w:rFonts w:cs="Times New Roman"/>
        </w:rPr>
        <w:t>The funds were advanced and utilised for the purposes of enabling the defendant to construct and operate the Iganyana tented camp registered in the name of the defendant. Defendant used the funds to construct the infrastructure at the camp. The camp is operational.</w:t>
      </w:r>
    </w:p>
    <w:p w14:paraId="110B1798" w14:textId="2A452430" w:rsidR="00E86895" w:rsidRPr="00D55BA2" w:rsidRDefault="00E86895" w:rsidP="00A17BD0">
      <w:pPr>
        <w:pStyle w:val="ListParagraph"/>
        <w:numPr>
          <w:ilvl w:val="0"/>
          <w:numId w:val="8"/>
        </w:numPr>
        <w:spacing w:after="100" w:afterAutospacing="1" w:line="240" w:lineRule="auto"/>
        <w:rPr>
          <w:rFonts w:cs="Times New Roman"/>
        </w:rPr>
      </w:pPr>
      <w:r w:rsidRPr="00D55BA2">
        <w:rPr>
          <w:rFonts w:cs="Times New Roman"/>
        </w:rPr>
        <w:t>On the 17</w:t>
      </w:r>
      <w:r w:rsidRPr="00B77032">
        <w:rPr>
          <w:rFonts w:cs="Times New Roman"/>
          <w:vertAlign w:val="superscript"/>
        </w:rPr>
        <w:t>th</w:t>
      </w:r>
      <w:r w:rsidR="009A309A">
        <w:rPr>
          <w:rFonts w:cs="Times New Roman"/>
        </w:rPr>
        <w:t xml:space="preserve"> </w:t>
      </w:r>
      <w:r w:rsidRPr="00D55BA2">
        <w:rPr>
          <w:rFonts w:cs="Times New Roman"/>
        </w:rPr>
        <w:t>of April 2019, a deed of novation and assignment (“the Agreement”) was signed by the following parties;</w:t>
      </w:r>
    </w:p>
    <w:p w14:paraId="7194CF8C" w14:textId="77777777" w:rsidR="00E86895" w:rsidRPr="00D55BA2" w:rsidRDefault="00E86895" w:rsidP="00A17BD0">
      <w:pPr>
        <w:pStyle w:val="ListParagraph"/>
        <w:numPr>
          <w:ilvl w:val="1"/>
          <w:numId w:val="10"/>
        </w:numPr>
        <w:spacing w:after="100" w:afterAutospacing="1" w:line="240" w:lineRule="auto"/>
        <w:rPr>
          <w:rFonts w:cs="Times New Roman"/>
        </w:rPr>
      </w:pPr>
      <w:r w:rsidRPr="00D55BA2">
        <w:rPr>
          <w:rFonts w:cs="Times New Roman"/>
        </w:rPr>
        <w:t>Forever African (Private) Limited (hereinafter called “Forever African”)</w:t>
      </w:r>
    </w:p>
    <w:p w14:paraId="74EB29F0" w14:textId="77777777" w:rsidR="00E86895" w:rsidRPr="00D55BA2" w:rsidRDefault="00E86895" w:rsidP="00A17BD0">
      <w:pPr>
        <w:pStyle w:val="ListParagraph"/>
        <w:numPr>
          <w:ilvl w:val="1"/>
          <w:numId w:val="10"/>
        </w:numPr>
        <w:spacing w:after="100" w:afterAutospacing="1" w:line="240" w:lineRule="auto"/>
        <w:rPr>
          <w:rFonts w:cs="Times New Roman"/>
        </w:rPr>
      </w:pPr>
      <w:r w:rsidRPr="00D55BA2">
        <w:rPr>
          <w:rFonts w:cs="Times New Roman"/>
        </w:rPr>
        <w:t>Safari Connect Limited (hereinafter called “Safari Connect”)</w:t>
      </w:r>
    </w:p>
    <w:p w14:paraId="7CB4D498" w14:textId="77777777" w:rsidR="00E86895" w:rsidRPr="00D55BA2" w:rsidRDefault="00E86895" w:rsidP="00A17BD0">
      <w:pPr>
        <w:pStyle w:val="ListParagraph"/>
        <w:numPr>
          <w:ilvl w:val="1"/>
          <w:numId w:val="10"/>
        </w:numPr>
        <w:spacing w:after="100" w:afterAutospacing="1" w:line="240" w:lineRule="auto"/>
        <w:rPr>
          <w:rFonts w:cs="Times New Roman"/>
        </w:rPr>
      </w:pPr>
      <w:r w:rsidRPr="00D55BA2">
        <w:rPr>
          <w:rFonts w:cs="Times New Roman"/>
        </w:rPr>
        <w:t>Vantage Travel Services Inc (hereinafter called “Vantage”)</w:t>
      </w:r>
    </w:p>
    <w:p w14:paraId="404CC786" w14:textId="77777777" w:rsidR="00E86895" w:rsidRPr="00D55BA2" w:rsidRDefault="00E86895" w:rsidP="00A17BD0">
      <w:pPr>
        <w:pStyle w:val="ListParagraph"/>
        <w:numPr>
          <w:ilvl w:val="1"/>
          <w:numId w:val="10"/>
        </w:numPr>
        <w:spacing w:after="100" w:afterAutospacing="1" w:line="240" w:lineRule="auto"/>
        <w:rPr>
          <w:rFonts w:cs="Times New Roman"/>
        </w:rPr>
      </w:pPr>
      <w:r w:rsidRPr="00D55BA2">
        <w:rPr>
          <w:rFonts w:cs="Times New Roman"/>
        </w:rPr>
        <w:t>HRL Safari LLC (hereinafter called “HRL Safari”)</w:t>
      </w:r>
    </w:p>
    <w:p w14:paraId="5C8F46B4" w14:textId="77777777" w:rsidR="00E86895" w:rsidRPr="00D55BA2" w:rsidRDefault="00E86895" w:rsidP="00A17BD0">
      <w:pPr>
        <w:pStyle w:val="ListParagraph"/>
        <w:spacing w:after="100" w:afterAutospacing="1" w:line="240" w:lineRule="auto"/>
        <w:ind w:left="1446"/>
        <w:rPr>
          <w:rFonts w:cs="Times New Roman"/>
        </w:rPr>
      </w:pPr>
    </w:p>
    <w:p w14:paraId="7F985E39" w14:textId="77777777" w:rsidR="00E86895" w:rsidRPr="00D55BA2" w:rsidRDefault="00E86895" w:rsidP="00A17BD0">
      <w:pPr>
        <w:pStyle w:val="ListParagraph"/>
        <w:numPr>
          <w:ilvl w:val="0"/>
          <w:numId w:val="8"/>
        </w:numPr>
        <w:spacing w:after="100" w:afterAutospacing="1" w:line="240" w:lineRule="auto"/>
        <w:rPr>
          <w:rFonts w:cs="Times New Roman"/>
        </w:rPr>
      </w:pPr>
      <w:r w:rsidRPr="00D55BA2">
        <w:rPr>
          <w:rFonts w:cs="Times New Roman"/>
        </w:rPr>
        <w:t>The Agreement recorded and confirmed that;</w:t>
      </w:r>
    </w:p>
    <w:p w14:paraId="1363B40F" w14:textId="398A1816" w:rsidR="00E86895" w:rsidRPr="00D55BA2" w:rsidRDefault="00E86895" w:rsidP="00A17BD0">
      <w:pPr>
        <w:pStyle w:val="ListParagraph"/>
        <w:numPr>
          <w:ilvl w:val="1"/>
          <w:numId w:val="13"/>
        </w:numPr>
        <w:spacing w:after="100" w:afterAutospacing="1" w:line="240" w:lineRule="auto"/>
        <w:ind w:left="2835" w:hanging="585"/>
        <w:rPr>
          <w:rFonts w:cs="Times New Roman"/>
        </w:rPr>
      </w:pPr>
      <w:r w:rsidRPr="00D55BA2">
        <w:rPr>
          <w:rFonts w:cs="Times New Roman"/>
        </w:rPr>
        <w:t>Vantage had advanced the sum of US$515 000</w:t>
      </w:r>
      <w:r w:rsidR="009A309A">
        <w:rPr>
          <w:rFonts w:cs="Times New Roman"/>
        </w:rPr>
        <w:t>.</w:t>
      </w:r>
      <w:r w:rsidRPr="00D55BA2">
        <w:rPr>
          <w:rFonts w:cs="Times New Roman"/>
        </w:rPr>
        <w:t>00 (Five hundred and Fifteen Thousand United States dollars) to Forever African to enable the latter to construct the Iganyana Tented Camp at Hwange, Zimbabwe.</w:t>
      </w:r>
    </w:p>
    <w:p w14:paraId="72FF66F5" w14:textId="77777777" w:rsidR="00E86895" w:rsidRPr="00D55BA2" w:rsidRDefault="00E86895" w:rsidP="00A17BD0">
      <w:pPr>
        <w:pStyle w:val="ListParagraph"/>
        <w:numPr>
          <w:ilvl w:val="1"/>
          <w:numId w:val="13"/>
        </w:numPr>
        <w:spacing w:after="100" w:afterAutospacing="1" w:line="240" w:lineRule="auto"/>
        <w:rPr>
          <w:rFonts w:cs="Times New Roman"/>
        </w:rPr>
      </w:pPr>
      <w:r w:rsidRPr="00D55BA2">
        <w:rPr>
          <w:rFonts w:cs="Times New Roman"/>
        </w:rPr>
        <w:t>At the time of signing the Agreement, the loan sum was due and owing.</w:t>
      </w:r>
    </w:p>
    <w:p w14:paraId="4B1DB818" w14:textId="77777777" w:rsidR="00E86895" w:rsidRPr="00D55BA2" w:rsidRDefault="00E86895" w:rsidP="00A17BD0">
      <w:pPr>
        <w:pStyle w:val="ListParagraph"/>
        <w:numPr>
          <w:ilvl w:val="1"/>
          <w:numId w:val="13"/>
        </w:numPr>
        <w:spacing w:after="100" w:afterAutospacing="1" w:line="240" w:lineRule="auto"/>
        <w:ind w:left="2835" w:hanging="567"/>
        <w:rPr>
          <w:rFonts w:cs="Times New Roman"/>
        </w:rPr>
      </w:pPr>
      <w:r w:rsidRPr="00D55BA2">
        <w:rPr>
          <w:rFonts w:cs="Times New Roman"/>
        </w:rPr>
        <w:t>Forever African wished to and had novated all its rights and obligations in respect of the loan to Safari Connect and the latter wished to and had assumed the rights and obligations of the former.</w:t>
      </w:r>
    </w:p>
    <w:p w14:paraId="4E2C4A8F" w14:textId="77777777" w:rsidR="00E86895" w:rsidRPr="00D55BA2" w:rsidRDefault="00E86895" w:rsidP="00A17BD0">
      <w:pPr>
        <w:pStyle w:val="ListParagraph"/>
        <w:numPr>
          <w:ilvl w:val="1"/>
          <w:numId w:val="13"/>
        </w:numPr>
        <w:spacing w:after="100" w:afterAutospacing="1" w:line="240" w:lineRule="auto"/>
        <w:ind w:left="2835" w:hanging="567"/>
        <w:rPr>
          <w:rFonts w:cs="Times New Roman"/>
        </w:rPr>
      </w:pPr>
      <w:r w:rsidRPr="00D55BA2">
        <w:rPr>
          <w:rFonts w:cs="Times New Roman"/>
        </w:rPr>
        <w:t>Vantage wished to and had assigned all its rights, title and interest in respect of the loan to HRL Safari and the latter had assumed the rights and interest of Vantage in the loan agreement.</w:t>
      </w:r>
    </w:p>
    <w:p w14:paraId="143521A0" w14:textId="77777777" w:rsidR="00E86895" w:rsidRPr="00D55BA2" w:rsidRDefault="00E86895" w:rsidP="00A17BD0">
      <w:pPr>
        <w:pStyle w:val="ListParagraph"/>
        <w:numPr>
          <w:ilvl w:val="1"/>
          <w:numId w:val="13"/>
        </w:numPr>
        <w:spacing w:after="100" w:afterAutospacing="1" w:line="240" w:lineRule="auto"/>
        <w:ind w:left="2835" w:hanging="567"/>
        <w:rPr>
          <w:rFonts w:cs="Times New Roman"/>
        </w:rPr>
      </w:pPr>
      <w:r w:rsidRPr="00D55BA2">
        <w:rPr>
          <w:rFonts w:cs="Times New Roman"/>
        </w:rPr>
        <w:t>Vantage had irrevocably and unconditionally released Forever African from its obligations in respect of the loan.</w:t>
      </w:r>
    </w:p>
    <w:p w14:paraId="5557AA26" w14:textId="77777777" w:rsidR="00E86895" w:rsidRPr="00D55BA2" w:rsidRDefault="00E86895" w:rsidP="00A17BD0">
      <w:pPr>
        <w:pStyle w:val="ListParagraph"/>
        <w:numPr>
          <w:ilvl w:val="1"/>
          <w:numId w:val="13"/>
        </w:numPr>
        <w:spacing w:after="100" w:afterAutospacing="1" w:line="240" w:lineRule="auto"/>
        <w:ind w:left="2835" w:hanging="567"/>
        <w:rPr>
          <w:rFonts w:cs="Times New Roman"/>
        </w:rPr>
      </w:pPr>
      <w:r w:rsidRPr="00D55BA2">
        <w:rPr>
          <w:rFonts w:cs="Times New Roman"/>
        </w:rPr>
        <w:t xml:space="preserve">The deed and all disputes arising from it would be governed and construed in accordance with English law and in relation to any </w:t>
      </w:r>
      <w:r w:rsidRPr="00D55BA2">
        <w:rPr>
          <w:rFonts w:cs="Times New Roman"/>
        </w:rPr>
        <w:lastRenderedPageBreak/>
        <w:t>disputes arising out of this deed, each of the parties irrevocably submits to the exclusive jurisdiction of the English courts.</w:t>
      </w:r>
    </w:p>
    <w:p w14:paraId="1F276865" w14:textId="77777777" w:rsidR="00E86895" w:rsidRPr="00D55BA2" w:rsidRDefault="00E86895" w:rsidP="00A17BD0">
      <w:pPr>
        <w:pStyle w:val="ListParagraph"/>
        <w:numPr>
          <w:ilvl w:val="0"/>
          <w:numId w:val="8"/>
        </w:numPr>
        <w:spacing w:after="100" w:afterAutospacing="1" w:line="240" w:lineRule="auto"/>
        <w:rPr>
          <w:rFonts w:cs="Times New Roman"/>
        </w:rPr>
      </w:pPr>
      <w:r w:rsidRPr="00D55BA2">
        <w:rPr>
          <w:rFonts w:cs="Times New Roman"/>
        </w:rPr>
        <w:t>Safari Connect failed to repay the loan and the plaintiff sued and obtained an arbitral award by consent on 25 February 2025. The parties submitted to the jurisdiction of a Zimbabwean arbitrator and the application of the laws of Zimbabwe.</w:t>
      </w:r>
    </w:p>
    <w:p w14:paraId="45DCB672" w14:textId="40145EAD" w:rsidR="00E86895" w:rsidRPr="00D55BA2" w:rsidRDefault="00E86895" w:rsidP="00A17BD0">
      <w:pPr>
        <w:pStyle w:val="ListParagraph"/>
        <w:numPr>
          <w:ilvl w:val="0"/>
          <w:numId w:val="8"/>
        </w:numPr>
        <w:spacing w:after="100" w:afterAutospacing="1" w:line="240" w:lineRule="auto"/>
        <w:rPr>
          <w:rFonts w:cs="Times New Roman"/>
        </w:rPr>
      </w:pPr>
      <w:r w:rsidRPr="00D55BA2">
        <w:rPr>
          <w:rFonts w:cs="Times New Roman"/>
        </w:rPr>
        <w:t>The award against Safari Connect was for the sum of Four Hundred and Eighteen Thousand Nine Hundred and Fifty United States dollars and Sixty-Nine Cents (US$418 950</w:t>
      </w:r>
      <w:r w:rsidR="009068BC">
        <w:rPr>
          <w:rFonts w:cs="Times New Roman"/>
        </w:rPr>
        <w:t>.</w:t>
      </w:r>
      <w:r w:rsidRPr="00D55BA2">
        <w:rPr>
          <w:rFonts w:cs="Times New Roman"/>
        </w:rPr>
        <w:t>69) and interest at the rate of 2% plus base rate applied by Barclays Bank Plc (currently US$80,35 per day) with effect from 1 July 2024 up to date of payment in full.</w:t>
      </w:r>
    </w:p>
    <w:p w14:paraId="3F4FFF64" w14:textId="77777777" w:rsidR="00E86895" w:rsidRPr="00D55BA2" w:rsidRDefault="00E86895" w:rsidP="00A17BD0">
      <w:pPr>
        <w:pStyle w:val="ListParagraph"/>
        <w:numPr>
          <w:ilvl w:val="0"/>
          <w:numId w:val="8"/>
        </w:numPr>
        <w:spacing w:after="100" w:afterAutospacing="1" w:line="240" w:lineRule="auto"/>
        <w:rPr>
          <w:rFonts w:cs="Times New Roman"/>
        </w:rPr>
      </w:pPr>
      <w:r w:rsidRPr="00D55BA2">
        <w:rPr>
          <w:rFonts w:cs="Times New Roman"/>
        </w:rPr>
        <w:t>Safari Connect failed to pay the sum due and is insolvent.</w:t>
      </w:r>
    </w:p>
    <w:p w14:paraId="7B058035" w14:textId="01CAC4E2" w:rsidR="00E86895" w:rsidRPr="00D55BA2" w:rsidRDefault="00E86895" w:rsidP="00A17BD0">
      <w:pPr>
        <w:pStyle w:val="ListParagraph"/>
        <w:numPr>
          <w:ilvl w:val="0"/>
          <w:numId w:val="8"/>
        </w:numPr>
        <w:spacing w:after="100" w:afterAutospacing="1" w:line="240" w:lineRule="auto"/>
        <w:rPr>
          <w:rFonts w:cs="Times New Roman"/>
        </w:rPr>
      </w:pPr>
      <w:r w:rsidRPr="00D55BA2">
        <w:rPr>
          <w:rFonts w:cs="Times New Roman"/>
        </w:rPr>
        <w:t>Safari Connect is a Mauritian company established in 2018. Its registered office and business address is 1</w:t>
      </w:r>
      <w:r w:rsidRPr="00B77032">
        <w:rPr>
          <w:rFonts w:cs="Times New Roman"/>
          <w:vertAlign w:val="superscript"/>
        </w:rPr>
        <w:t>st</w:t>
      </w:r>
      <w:r w:rsidR="00240A7A">
        <w:rPr>
          <w:rFonts w:cs="Times New Roman"/>
        </w:rPr>
        <w:t xml:space="preserve"> </w:t>
      </w:r>
      <w:r w:rsidRPr="00D55BA2">
        <w:rPr>
          <w:rFonts w:cs="Times New Roman"/>
        </w:rPr>
        <w:t>Floor, Block, Nautica Commercial Centre Royal Road, Black River 90601 Mauritius.</w:t>
      </w:r>
    </w:p>
    <w:p w14:paraId="1D146C24" w14:textId="77777777" w:rsidR="00E86895" w:rsidRPr="00D55BA2" w:rsidRDefault="00E86895" w:rsidP="00A17BD0">
      <w:pPr>
        <w:pStyle w:val="ListParagraph"/>
        <w:numPr>
          <w:ilvl w:val="0"/>
          <w:numId w:val="8"/>
        </w:numPr>
        <w:spacing w:after="100" w:afterAutospacing="1" w:line="240" w:lineRule="auto"/>
        <w:rPr>
          <w:rFonts w:cs="Times New Roman"/>
        </w:rPr>
      </w:pPr>
      <w:r w:rsidRPr="00D55BA2">
        <w:rPr>
          <w:rFonts w:cs="Times New Roman"/>
        </w:rPr>
        <w:t>Safari Connect was set up solely to act as a sales agent. Its business was composed of, acting as an international booking agent for the Iganyana tented camp, as well as any other camps and safaris.</w:t>
      </w:r>
    </w:p>
    <w:p w14:paraId="3385505C" w14:textId="77777777" w:rsidR="00E86895" w:rsidRPr="00D55BA2" w:rsidRDefault="00E86895" w:rsidP="00A17BD0">
      <w:pPr>
        <w:pStyle w:val="ListParagraph"/>
        <w:numPr>
          <w:ilvl w:val="0"/>
          <w:numId w:val="8"/>
        </w:numPr>
        <w:spacing w:after="100" w:afterAutospacing="1" w:line="240" w:lineRule="auto"/>
        <w:rPr>
          <w:rFonts w:cs="Times New Roman"/>
        </w:rPr>
      </w:pPr>
      <w:r w:rsidRPr="00D55BA2">
        <w:rPr>
          <w:rFonts w:cs="Times New Roman"/>
        </w:rPr>
        <w:t>The directors of Safari Connect are Sheona Anders, Bavita Jankee Persand, Mohamed Dilshad, Noel Colin Kersley Vinay, Pieter Enright, and Moya Cosaleggio. One of the directors of Safari Connect since 2018 to date, Sheona Anders, is also an executive director and shareholder of the defendant.</w:t>
      </w:r>
    </w:p>
    <w:p w14:paraId="1C68A481" w14:textId="77777777" w:rsidR="00E86895" w:rsidRPr="00D55BA2" w:rsidRDefault="00E86895" w:rsidP="00A17BD0">
      <w:pPr>
        <w:pStyle w:val="ListParagraph"/>
        <w:numPr>
          <w:ilvl w:val="0"/>
          <w:numId w:val="8"/>
        </w:numPr>
        <w:spacing w:after="100" w:afterAutospacing="1" w:line="240" w:lineRule="auto"/>
        <w:rPr>
          <w:rFonts w:cs="Times New Roman"/>
        </w:rPr>
      </w:pPr>
      <w:r w:rsidRPr="00D55BA2">
        <w:rPr>
          <w:rFonts w:cs="Times New Roman"/>
        </w:rPr>
        <w:t>Safari Connect operates as an international booking agent for the Iganyana Tented Camp. The Defendant operates the Iganyana tented camp as a safari tour operator.</w:t>
      </w:r>
    </w:p>
    <w:p w14:paraId="757B9C7C" w14:textId="77777777" w:rsidR="00E86895" w:rsidRPr="00D55BA2" w:rsidRDefault="00E86895" w:rsidP="00E86895">
      <w:pPr>
        <w:spacing w:line="240" w:lineRule="auto"/>
        <w:ind w:left="654"/>
        <w:rPr>
          <w:rFonts w:cs="Times New Roman"/>
        </w:rPr>
      </w:pPr>
      <w:r w:rsidRPr="00D55BA2">
        <w:rPr>
          <w:rFonts w:cs="Times New Roman"/>
        </w:rPr>
        <w:t xml:space="preserve">C. PARTIES’ CONTENTIONS </w:t>
      </w:r>
    </w:p>
    <w:p w14:paraId="222F4705" w14:textId="77777777" w:rsidR="00E86895" w:rsidRPr="00D55BA2" w:rsidRDefault="00E86895" w:rsidP="00E86895">
      <w:pPr>
        <w:pStyle w:val="ListParagraph"/>
        <w:numPr>
          <w:ilvl w:val="0"/>
          <w:numId w:val="8"/>
        </w:numPr>
        <w:spacing w:line="240" w:lineRule="auto"/>
        <w:rPr>
          <w:rFonts w:cs="Times New Roman"/>
        </w:rPr>
      </w:pPr>
      <w:r w:rsidRPr="00D55BA2">
        <w:rPr>
          <w:rFonts w:cs="Times New Roman"/>
        </w:rPr>
        <w:t xml:space="preserve">The plaintiff contends that defendant and Safari Connect, are members of the same group of companies and operate as a single economic unit, are indivisible and constitute one entity and that it is just and equitable that the corporate veil be lifted and defendant and Safari Connect be treated as one company and accordingly, defendant is liable to pay the debt. </w:t>
      </w:r>
    </w:p>
    <w:p w14:paraId="0AC45BF8" w14:textId="77777777" w:rsidR="00E86895" w:rsidRPr="00D55BA2" w:rsidRDefault="00E86895" w:rsidP="00E86895">
      <w:pPr>
        <w:pStyle w:val="ListParagraph"/>
        <w:numPr>
          <w:ilvl w:val="0"/>
          <w:numId w:val="8"/>
        </w:numPr>
        <w:spacing w:line="240" w:lineRule="auto"/>
        <w:ind w:left="1364"/>
        <w:rPr>
          <w:rFonts w:cs="Times New Roman"/>
        </w:rPr>
      </w:pPr>
      <w:r w:rsidRPr="00D55BA2">
        <w:rPr>
          <w:rFonts w:cs="Times New Roman"/>
        </w:rPr>
        <w:t xml:space="preserve">The defendant contends that this honourable court has no jurisdiction to determine this matter, that it was irrevocably released from liability under the loan and that Safari Connect is not its subsidiary company. Defendant further contends that there is no basis for piercing the corporate veil and it is not liable to pay the debt. </w:t>
      </w:r>
    </w:p>
    <w:p w14:paraId="2A08E1B5" w14:textId="77777777" w:rsidR="00E86895" w:rsidRPr="00D55BA2" w:rsidRDefault="00E86895" w:rsidP="00E86895">
      <w:pPr>
        <w:spacing w:line="240" w:lineRule="auto"/>
        <w:ind w:left="654"/>
        <w:rPr>
          <w:rFonts w:cs="Times New Roman"/>
        </w:rPr>
      </w:pPr>
      <w:r w:rsidRPr="00D55BA2">
        <w:rPr>
          <w:rFonts w:cs="Times New Roman"/>
        </w:rPr>
        <w:t xml:space="preserve">D. DOCUMENTS </w:t>
      </w:r>
    </w:p>
    <w:p w14:paraId="31C7A177" w14:textId="77777777" w:rsidR="00E86895" w:rsidRPr="00D55BA2" w:rsidRDefault="00E86895" w:rsidP="00E86895">
      <w:pPr>
        <w:pStyle w:val="Default"/>
        <w:numPr>
          <w:ilvl w:val="0"/>
          <w:numId w:val="8"/>
        </w:numPr>
        <w:ind w:left="1364"/>
        <w:jc w:val="both"/>
        <w:rPr>
          <w:sz w:val="22"/>
          <w:szCs w:val="22"/>
          <w:lang w:val="en-GB"/>
        </w:rPr>
      </w:pPr>
      <w:r w:rsidRPr="00D55BA2">
        <w:rPr>
          <w:sz w:val="22"/>
          <w:szCs w:val="22"/>
          <w:lang w:val="en-GB"/>
        </w:rPr>
        <w:t>The parties agree that the documents attached to the pleadings filed in this matter shall form part of the special case hereby filed and the parties accept the contents of the documents as true and correct.”</w:t>
      </w:r>
    </w:p>
    <w:p w14:paraId="25A4BE6E" w14:textId="77777777" w:rsidR="00392035" w:rsidRPr="00D55BA2" w:rsidRDefault="00392035" w:rsidP="00392035">
      <w:pPr>
        <w:pStyle w:val="ListParagraph"/>
        <w:ind w:left="567"/>
        <w:rPr>
          <w:rFonts w:cs="Times New Roman"/>
        </w:rPr>
      </w:pPr>
    </w:p>
    <w:p w14:paraId="16F1DB96" w14:textId="015556E8" w:rsidR="00392035" w:rsidRPr="00B77032" w:rsidRDefault="00C65158" w:rsidP="00392035">
      <w:pPr>
        <w:pStyle w:val="ListParagraph"/>
        <w:numPr>
          <w:ilvl w:val="0"/>
          <w:numId w:val="5"/>
        </w:numPr>
        <w:ind w:left="567" w:hanging="567"/>
        <w:rPr>
          <w:rFonts w:cs="Times New Roman"/>
          <w:sz w:val="22"/>
        </w:rPr>
      </w:pPr>
      <w:r w:rsidRPr="00D55BA2">
        <w:rPr>
          <w:rFonts w:cs="Times New Roman"/>
          <w:szCs w:val="24"/>
        </w:rPr>
        <w:t>T</w:t>
      </w:r>
      <w:r w:rsidR="00392035" w:rsidRPr="00D55BA2">
        <w:rPr>
          <w:rFonts w:cs="Times New Roman"/>
          <w:szCs w:val="24"/>
        </w:rPr>
        <w:t xml:space="preserve">he principle </w:t>
      </w:r>
      <w:r w:rsidR="006E18EC">
        <w:rPr>
          <w:rFonts w:cs="Times New Roman"/>
          <w:szCs w:val="24"/>
        </w:rPr>
        <w:t>established</w:t>
      </w:r>
      <w:r w:rsidR="006E18EC" w:rsidRPr="00D55BA2">
        <w:rPr>
          <w:rFonts w:cs="Times New Roman"/>
          <w:szCs w:val="24"/>
        </w:rPr>
        <w:t xml:space="preserve"> </w:t>
      </w:r>
      <w:r w:rsidR="00392035" w:rsidRPr="00D55BA2">
        <w:rPr>
          <w:rFonts w:cs="Times New Roman"/>
          <w:szCs w:val="24"/>
        </w:rPr>
        <w:t xml:space="preserve">in </w:t>
      </w:r>
      <w:r w:rsidR="00392035" w:rsidRPr="00D55BA2">
        <w:rPr>
          <w:rFonts w:eastAsia="Times New Roman" w:cs="Times New Roman"/>
          <w:i/>
          <w:szCs w:val="24"/>
        </w:rPr>
        <w:t>Lutzkie</w:t>
      </w:r>
      <w:r w:rsidR="00392035" w:rsidRPr="00D55BA2">
        <w:rPr>
          <w:rFonts w:eastAsia="Times New Roman" w:cs="Times New Roman"/>
          <w:szCs w:val="24"/>
        </w:rPr>
        <w:t xml:space="preserve"> v </w:t>
      </w:r>
      <w:r w:rsidR="00392035" w:rsidRPr="00D55BA2">
        <w:rPr>
          <w:rFonts w:eastAsia="Times New Roman" w:cs="Times New Roman"/>
          <w:i/>
          <w:szCs w:val="24"/>
        </w:rPr>
        <w:t>Chief Immigration Officer</w:t>
      </w:r>
      <w:r w:rsidR="00392035" w:rsidRPr="00D55BA2">
        <w:rPr>
          <w:rFonts w:eastAsia="Times New Roman" w:cs="Times New Roman"/>
          <w:szCs w:val="24"/>
        </w:rPr>
        <w:t xml:space="preserve"> S-48-17 at p</w:t>
      </w:r>
      <w:r w:rsidR="006E18EC">
        <w:rPr>
          <w:rFonts w:eastAsia="Times New Roman" w:cs="Times New Roman"/>
          <w:szCs w:val="24"/>
        </w:rPr>
        <w:t xml:space="preserve"> </w:t>
      </w:r>
      <w:r w:rsidR="00392035" w:rsidRPr="00D55BA2">
        <w:rPr>
          <w:rFonts w:eastAsia="Times New Roman" w:cs="Times New Roman"/>
          <w:szCs w:val="24"/>
        </w:rPr>
        <w:t>5</w:t>
      </w:r>
      <w:r w:rsidRPr="00D55BA2">
        <w:rPr>
          <w:rFonts w:eastAsia="Times New Roman" w:cs="Times New Roman"/>
          <w:szCs w:val="24"/>
        </w:rPr>
        <w:t xml:space="preserve"> is </w:t>
      </w:r>
      <w:r w:rsidR="00392035" w:rsidRPr="00D55BA2">
        <w:rPr>
          <w:rFonts w:eastAsia="Times New Roman" w:cs="Times New Roman"/>
          <w:szCs w:val="24"/>
        </w:rPr>
        <w:t xml:space="preserve">that when parties agree that a matter proceeds by way of a special case, the parties agree as to </w:t>
      </w:r>
      <w:r w:rsidR="00392035" w:rsidRPr="00D55BA2">
        <w:rPr>
          <w:rFonts w:eastAsia="Times New Roman" w:cs="Times New Roman"/>
          <w:szCs w:val="24"/>
        </w:rPr>
        <w:lastRenderedPageBreak/>
        <w:t xml:space="preserve">the question of law that arises from the agreed set of facts, and the court is simply invited to determine the question/s of law as presented by the parties. The court cannot delve into whether the facts that have been agreed to are correct </w:t>
      </w:r>
      <w:r w:rsidR="007A4132">
        <w:rPr>
          <w:rFonts w:eastAsia="Times New Roman" w:cs="Times New Roman"/>
          <w:szCs w:val="24"/>
        </w:rPr>
        <w:t>or</w:t>
      </w:r>
      <w:r w:rsidR="00392035" w:rsidRPr="00D55BA2">
        <w:rPr>
          <w:rFonts w:eastAsia="Times New Roman" w:cs="Times New Roman"/>
          <w:szCs w:val="24"/>
        </w:rPr>
        <w:t xml:space="preserve"> not. </w:t>
      </w:r>
      <w:r w:rsidR="007A4132">
        <w:rPr>
          <w:rFonts w:eastAsia="Times New Roman" w:cs="Times New Roman"/>
          <w:szCs w:val="24"/>
        </w:rPr>
        <w:t xml:space="preserve">The court is </w:t>
      </w:r>
      <w:r w:rsidR="00392035" w:rsidRPr="00D55BA2">
        <w:rPr>
          <w:rFonts w:eastAsia="Times New Roman" w:cs="Times New Roman"/>
          <w:szCs w:val="24"/>
        </w:rPr>
        <w:t>bound to accept those facts as being correct and</w:t>
      </w:r>
      <w:r w:rsidR="007A4132">
        <w:rPr>
          <w:rFonts w:eastAsia="Times New Roman" w:cs="Times New Roman"/>
          <w:szCs w:val="24"/>
        </w:rPr>
        <w:t xml:space="preserve"> </w:t>
      </w:r>
      <w:r w:rsidR="00392035" w:rsidRPr="00D55BA2">
        <w:rPr>
          <w:rFonts w:eastAsia="Times New Roman" w:cs="Times New Roman"/>
          <w:szCs w:val="24"/>
        </w:rPr>
        <w:t>to make a determination from the agreed set of facts as presented before</w:t>
      </w:r>
      <w:r w:rsidR="007A4132">
        <w:rPr>
          <w:rFonts w:eastAsia="Times New Roman" w:cs="Times New Roman"/>
          <w:szCs w:val="24"/>
        </w:rPr>
        <w:t xml:space="preserve"> it</w:t>
      </w:r>
      <w:r w:rsidR="009C777F">
        <w:rPr>
          <w:rFonts w:eastAsia="Times New Roman" w:cs="Times New Roman"/>
          <w:szCs w:val="24"/>
        </w:rPr>
        <w:t>. See</w:t>
      </w:r>
      <w:r w:rsidRPr="00D55BA2">
        <w:rPr>
          <w:rFonts w:eastAsia="Times New Roman" w:cs="Times New Roman"/>
          <w:szCs w:val="24"/>
        </w:rPr>
        <w:t xml:space="preserve"> </w:t>
      </w:r>
      <w:r w:rsidR="00392035" w:rsidRPr="00D55BA2">
        <w:rPr>
          <w:rFonts w:eastAsia="Times New Roman" w:cs="Times New Roman"/>
          <w:i/>
          <w:szCs w:val="24"/>
        </w:rPr>
        <w:t>Kunonga</w:t>
      </w:r>
      <w:r w:rsidR="00392035" w:rsidRPr="00D55BA2">
        <w:rPr>
          <w:rFonts w:eastAsia="Times New Roman" w:cs="Times New Roman"/>
          <w:szCs w:val="24"/>
        </w:rPr>
        <w:t xml:space="preserve"> v </w:t>
      </w:r>
      <w:r w:rsidR="00392035" w:rsidRPr="00D55BA2">
        <w:rPr>
          <w:rFonts w:eastAsia="Times New Roman" w:cs="Times New Roman"/>
          <w:i/>
          <w:szCs w:val="24"/>
        </w:rPr>
        <w:t>The Church of the Province of Central Africa</w:t>
      </w:r>
      <w:r w:rsidR="00392035" w:rsidRPr="00D55BA2">
        <w:rPr>
          <w:rFonts w:eastAsia="Times New Roman" w:cs="Times New Roman"/>
          <w:szCs w:val="24"/>
        </w:rPr>
        <w:t xml:space="preserve"> S-25-17 at p 10.</w:t>
      </w:r>
      <w:r w:rsidR="006A41C3">
        <w:rPr>
          <w:rFonts w:eastAsia="Times New Roman" w:cs="Times New Roman"/>
          <w:szCs w:val="24"/>
        </w:rPr>
        <w:t xml:space="preserve"> </w:t>
      </w:r>
    </w:p>
    <w:p w14:paraId="7F9E9DFC" w14:textId="77777777" w:rsidR="00C5547C" w:rsidRPr="00B77032" w:rsidRDefault="00C5547C" w:rsidP="00B77032">
      <w:pPr>
        <w:pStyle w:val="ListParagraph"/>
        <w:ind w:left="0"/>
        <w:rPr>
          <w:rFonts w:cs="Times New Roman"/>
          <w:sz w:val="22"/>
        </w:rPr>
      </w:pPr>
    </w:p>
    <w:p w14:paraId="188BC566" w14:textId="77777777" w:rsidR="00C5547C" w:rsidRPr="00781D2E" w:rsidRDefault="00C5547C" w:rsidP="00C5547C">
      <w:pPr>
        <w:rPr>
          <w:rFonts w:cs="Times New Roman"/>
          <w:b/>
          <w:bCs/>
          <w:u w:val="single"/>
        </w:rPr>
      </w:pPr>
      <w:r w:rsidRPr="00781D2E">
        <w:rPr>
          <w:rFonts w:eastAsia="Times New Roman" w:cs="Times New Roman"/>
          <w:b/>
          <w:bCs/>
          <w:szCs w:val="24"/>
          <w:u w:val="single"/>
        </w:rPr>
        <w:t>ISSUES FOR DETERMINATION</w:t>
      </w:r>
    </w:p>
    <w:p w14:paraId="4520A6EE" w14:textId="6A717FE8" w:rsidR="00C5547C" w:rsidRPr="00D55BA2" w:rsidRDefault="0079741F" w:rsidP="00C5547C">
      <w:pPr>
        <w:pStyle w:val="ListParagraph"/>
        <w:numPr>
          <w:ilvl w:val="0"/>
          <w:numId w:val="5"/>
        </w:numPr>
        <w:ind w:left="567" w:hanging="567"/>
        <w:rPr>
          <w:rFonts w:cs="Times New Roman"/>
        </w:rPr>
      </w:pPr>
      <w:r w:rsidRPr="0079741F">
        <w:rPr>
          <w:rFonts w:cs="Times New Roman"/>
        </w:rPr>
        <w:t>It is necessary, in a matter proceeding by way of a</w:t>
      </w:r>
      <w:r>
        <w:rPr>
          <w:rFonts w:cs="Times New Roman"/>
        </w:rPr>
        <w:t xml:space="preserve"> special or</w:t>
      </w:r>
      <w:r w:rsidRPr="0079741F">
        <w:rPr>
          <w:rFonts w:cs="Times New Roman"/>
        </w:rPr>
        <w:t xml:space="preserve"> stated case, to identify with clarity the issues that the parties have placed before the court for determination.</w:t>
      </w:r>
      <w:r w:rsidR="00C5547C" w:rsidRPr="00D55BA2">
        <w:rPr>
          <w:rFonts w:cs="Times New Roman"/>
        </w:rPr>
        <w:t xml:space="preserve"> </w:t>
      </w:r>
      <w:r w:rsidR="00A90358">
        <w:rPr>
          <w:rFonts w:cs="Times New Roman"/>
        </w:rPr>
        <w:t>P</w:t>
      </w:r>
      <w:r w:rsidR="00C5547C" w:rsidRPr="00D55BA2">
        <w:rPr>
          <w:rFonts w:cs="Times New Roman"/>
        </w:rPr>
        <w:t>er the parties’ statement of agreed facts, four issues have been placed before me for determination</w:t>
      </w:r>
      <w:r w:rsidR="004C36B5">
        <w:rPr>
          <w:rFonts w:cs="Times New Roman"/>
        </w:rPr>
        <w:t>. These are</w:t>
      </w:r>
      <w:r w:rsidR="00C5547C" w:rsidRPr="00D55BA2">
        <w:rPr>
          <w:rFonts w:cs="Times New Roman"/>
        </w:rPr>
        <w:t>:</w:t>
      </w:r>
    </w:p>
    <w:p w14:paraId="10B0E03D" w14:textId="77777777" w:rsidR="00C5547C" w:rsidRPr="00D55BA2" w:rsidRDefault="00C5547C" w:rsidP="00C5547C">
      <w:pPr>
        <w:pStyle w:val="ListParagraph"/>
        <w:numPr>
          <w:ilvl w:val="0"/>
          <w:numId w:val="17"/>
        </w:numPr>
        <w:rPr>
          <w:rFonts w:cs="Times New Roman"/>
          <w:szCs w:val="24"/>
        </w:rPr>
      </w:pPr>
      <w:r w:rsidRPr="00D55BA2">
        <w:rPr>
          <w:rFonts w:cs="Times New Roman"/>
          <w:szCs w:val="24"/>
        </w:rPr>
        <w:t>Whether this court has jurisdiction to determine the matter?</w:t>
      </w:r>
    </w:p>
    <w:p w14:paraId="6C974D96" w14:textId="77777777" w:rsidR="00C5547C" w:rsidRPr="00D55BA2" w:rsidRDefault="00C5547C" w:rsidP="00C5547C">
      <w:pPr>
        <w:pStyle w:val="ListParagraph"/>
        <w:numPr>
          <w:ilvl w:val="0"/>
          <w:numId w:val="17"/>
        </w:numPr>
        <w:rPr>
          <w:rFonts w:cs="Times New Roman"/>
          <w:szCs w:val="24"/>
        </w:rPr>
      </w:pPr>
      <w:r w:rsidRPr="00D55BA2">
        <w:rPr>
          <w:rFonts w:cs="Times New Roman"/>
          <w:szCs w:val="24"/>
        </w:rPr>
        <w:t>Whether the summons discloses a cause of action against the defendant?</w:t>
      </w:r>
    </w:p>
    <w:p w14:paraId="4EDC5654" w14:textId="1F44E756" w:rsidR="005B532B" w:rsidRPr="00D55BA2" w:rsidRDefault="00C5547C" w:rsidP="00C5547C">
      <w:pPr>
        <w:pStyle w:val="ListParagraph"/>
        <w:numPr>
          <w:ilvl w:val="0"/>
          <w:numId w:val="17"/>
        </w:numPr>
        <w:rPr>
          <w:rFonts w:cs="Times New Roman"/>
          <w:szCs w:val="24"/>
        </w:rPr>
      </w:pPr>
      <w:bookmarkStart w:id="1" w:name="_Hlk218605283"/>
      <w:r w:rsidRPr="00D55BA2">
        <w:rPr>
          <w:rFonts w:cs="Times New Roman"/>
          <w:szCs w:val="24"/>
        </w:rPr>
        <w:t>Whether there has been a material non-joinder of a party?</w:t>
      </w:r>
      <w:bookmarkEnd w:id="1"/>
    </w:p>
    <w:p w14:paraId="75A5C98E" w14:textId="06CC0575" w:rsidR="00DC681D" w:rsidRDefault="00C5547C" w:rsidP="00B77032">
      <w:pPr>
        <w:pStyle w:val="ListParagraph"/>
        <w:numPr>
          <w:ilvl w:val="0"/>
          <w:numId w:val="17"/>
        </w:numPr>
        <w:rPr>
          <w:rFonts w:cs="Times New Roman"/>
        </w:rPr>
      </w:pPr>
      <w:r w:rsidRPr="005B532B">
        <w:rPr>
          <w:rFonts w:cs="Times New Roman"/>
          <w:szCs w:val="24"/>
        </w:rPr>
        <w:t>Whether the defendant is liable to pay the debt?</w:t>
      </w:r>
    </w:p>
    <w:p w14:paraId="1207B55E" w14:textId="24F87C22" w:rsidR="0089383D" w:rsidRPr="0089383D" w:rsidRDefault="0089383D" w:rsidP="0089383D">
      <w:pPr>
        <w:pStyle w:val="ListParagraph"/>
        <w:numPr>
          <w:ilvl w:val="0"/>
          <w:numId w:val="5"/>
        </w:numPr>
        <w:rPr>
          <w:rFonts w:cs="Times New Roman"/>
        </w:rPr>
      </w:pPr>
      <w:r>
        <w:rPr>
          <w:rFonts w:cs="Times New Roman"/>
        </w:rPr>
        <w:t>What follows are the parties’ submissions. I have deliberately set out the submissions at some length because the submissions assist in placing the disputes in their proper context for determination of the special case.</w:t>
      </w:r>
    </w:p>
    <w:p w14:paraId="5BE25127" w14:textId="7A93C55F" w:rsidR="00860916" w:rsidRPr="00D55BA2" w:rsidRDefault="00860916" w:rsidP="00B77032">
      <w:pPr>
        <w:pStyle w:val="ListParagraph"/>
        <w:ind w:left="0"/>
        <w:rPr>
          <w:rFonts w:cs="Times New Roman"/>
          <w:b/>
          <w:bCs/>
          <w:u w:val="single"/>
        </w:rPr>
      </w:pPr>
      <w:r w:rsidRPr="00D55BA2">
        <w:rPr>
          <w:rFonts w:eastAsia="Times New Roman" w:cs="Times New Roman"/>
          <w:b/>
          <w:bCs/>
          <w:szCs w:val="24"/>
          <w:u w:val="single"/>
        </w:rPr>
        <w:t>THE PLAINTIFF’S SUBMISSIONS</w:t>
      </w:r>
    </w:p>
    <w:p w14:paraId="2DF4CF12" w14:textId="0AE7B7D6" w:rsidR="00446ED3" w:rsidRPr="00D55BA2" w:rsidRDefault="00C078AA" w:rsidP="00446ED3">
      <w:pPr>
        <w:pStyle w:val="ListParagraph"/>
        <w:numPr>
          <w:ilvl w:val="0"/>
          <w:numId w:val="5"/>
        </w:numPr>
        <w:ind w:left="567" w:hanging="567"/>
        <w:rPr>
          <w:rFonts w:cs="Times New Roman"/>
        </w:rPr>
      </w:pPr>
      <w:r>
        <w:rPr>
          <w:rFonts w:cs="Times New Roman"/>
          <w:iCs/>
          <w:szCs w:val="24"/>
        </w:rPr>
        <w:t>On jurisdiction, t</w:t>
      </w:r>
      <w:r w:rsidRPr="00D55BA2">
        <w:rPr>
          <w:rFonts w:cs="Times New Roman"/>
          <w:szCs w:val="24"/>
        </w:rPr>
        <w:t xml:space="preserve">he </w:t>
      </w:r>
      <w:r w:rsidR="007000B8" w:rsidRPr="00D55BA2">
        <w:rPr>
          <w:rFonts w:cs="Times New Roman"/>
          <w:szCs w:val="24"/>
        </w:rPr>
        <w:t xml:space="preserve">plaintiff </w:t>
      </w:r>
      <w:r w:rsidRPr="00D55BA2">
        <w:rPr>
          <w:rFonts w:cs="Times New Roman"/>
          <w:szCs w:val="24"/>
        </w:rPr>
        <w:t>argue</w:t>
      </w:r>
      <w:r>
        <w:rPr>
          <w:rFonts w:cs="Times New Roman"/>
          <w:szCs w:val="24"/>
        </w:rPr>
        <w:t>d</w:t>
      </w:r>
      <w:r w:rsidRPr="00D55BA2">
        <w:rPr>
          <w:rFonts w:cs="Times New Roman"/>
          <w:szCs w:val="24"/>
        </w:rPr>
        <w:t xml:space="preserve"> </w:t>
      </w:r>
      <w:r w:rsidR="007000B8" w:rsidRPr="00D55BA2">
        <w:rPr>
          <w:rFonts w:cs="Times New Roman"/>
          <w:szCs w:val="24"/>
        </w:rPr>
        <w:t xml:space="preserve">that by </w:t>
      </w:r>
      <w:r w:rsidR="00A54C2F" w:rsidRPr="00D55BA2">
        <w:rPr>
          <w:rFonts w:cs="Times New Roman"/>
          <w:szCs w:val="24"/>
        </w:rPr>
        <w:t xml:space="preserve">reason </w:t>
      </w:r>
      <w:r w:rsidR="007000B8" w:rsidRPr="00D55BA2">
        <w:rPr>
          <w:rFonts w:cs="Times New Roman"/>
          <w:szCs w:val="24"/>
        </w:rPr>
        <w:t>of s</w:t>
      </w:r>
      <w:r w:rsidR="005F75B1">
        <w:rPr>
          <w:rFonts w:cs="Times New Roman"/>
          <w:szCs w:val="24"/>
        </w:rPr>
        <w:t xml:space="preserve"> </w:t>
      </w:r>
      <w:r w:rsidR="007000B8" w:rsidRPr="00D55BA2">
        <w:rPr>
          <w:rFonts w:cs="Times New Roman"/>
          <w:szCs w:val="24"/>
        </w:rPr>
        <w:t>13 of the High Court Act [</w:t>
      </w:r>
      <w:r w:rsidR="007000B8" w:rsidRPr="00D55BA2">
        <w:rPr>
          <w:rFonts w:cs="Times New Roman"/>
          <w:i/>
          <w:szCs w:val="24"/>
        </w:rPr>
        <w:t>Chapter 7:06</w:t>
      </w:r>
      <w:r w:rsidR="007000B8" w:rsidRPr="00D55BA2">
        <w:rPr>
          <w:rFonts w:cs="Times New Roman"/>
          <w:szCs w:val="24"/>
        </w:rPr>
        <w:t xml:space="preserve">], the High Court has full original jurisdiction over all persons and causes in Zimbabwe, and </w:t>
      </w:r>
      <w:r w:rsidR="00A54C2F" w:rsidRPr="00D55BA2">
        <w:rPr>
          <w:rFonts w:cs="Times New Roman"/>
          <w:szCs w:val="24"/>
        </w:rPr>
        <w:t xml:space="preserve">this </w:t>
      </w:r>
      <w:r w:rsidR="007000B8" w:rsidRPr="00D55BA2">
        <w:rPr>
          <w:rFonts w:cs="Times New Roman"/>
          <w:szCs w:val="24"/>
        </w:rPr>
        <w:t xml:space="preserve">is constitutionally non-negotiable. It </w:t>
      </w:r>
      <w:r w:rsidRPr="00D55BA2">
        <w:rPr>
          <w:rFonts w:cs="Times New Roman"/>
          <w:szCs w:val="24"/>
        </w:rPr>
        <w:t>argue</w:t>
      </w:r>
      <w:r>
        <w:rPr>
          <w:rFonts w:cs="Times New Roman"/>
          <w:szCs w:val="24"/>
        </w:rPr>
        <w:t>d</w:t>
      </w:r>
      <w:r w:rsidR="00B6655B" w:rsidRPr="00D55BA2">
        <w:rPr>
          <w:rFonts w:cs="Times New Roman"/>
          <w:szCs w:val="24"/>
        </w:rPr>
        <w:t>, further,</w:t>
      </w:r>
      <w:r w:rsidR="007000B8" w:rsidRPr="00D55BA2">
        <w:rPr>
          <w:rFonts w:cs="Times New Roman"/>
          <w:szCs w:val="24"/>
        </w:rPr>
        <w:t xml:space="preserve"> that </w:t>
      </w:r>
      <w:r w:rsidR="000B1500" w:rsidRPr="00D55BA2">
        <w:rPr>
          <w:rFonts w:cs="Times New Roman"/>
          <w:szCs w:val="24"/>
        </w:rPr>
        <w:t xml:space="preserve">in this case, </w:t>
      </w:r>
      <w:r w:rsidR="007000B8" w:rsidRPr="00D55BA2">
        <w:rPr>
          <w:rFonts w:cs="Times New Roman"/>
          <w:szCs w:val="24"/>
        </w:rPr>
        <w:t xml:space="preserve">the defendant is an </w:t>
      </w:r>
      <w:r w:rsidR="007000B8" w:rsidRPr="00D55BA2">
        <w:rPr>
          <w:rFonts w:cs="Times New Roman"/>
          <w:i/>
          <w:szCs w:val="24"/>
        </w:rPr>
        <w:t>incola</w:t>
      </w:r>
      <w:r w:rsidR="007000B8" w:rsidRPr="00D55BA2">
        <w:rPr>
          <w:rFonts w:cs="Times New Roman"/>
          <w:szCs w:val="24"/>
        </w:rPr>
        <w:t xml:space="preserve"> of Zimbabwe; </w:t>
      </w:r>
      <w:r w:rsidR="00385806" w:rsidRPr="00D55BA2">
        <w:rPr>
          <w:rFonts w:cs="Times New Roman"/>
          <w:szCs w:val="24"/>
        </w:rPr>
        <w:t>so</w:t>
      </w:r>
      <w:r w:rsidR="00385806">
        <w:rPr>
          <w:rFonts w:cs="Times New Roman"/>
          <w:szCs w:val="24"/>
        </w:rPr>
        <w:t xml:space="preserve">, </w:t>
      </w:r>
      <w:r w:rsidR="00385806" w:rsidRPr="00D55BA2">
        <w:rPr>
          <w:rFonts w:cs="Times New Roman"/>
          <w:szCs w:val="24"/>
        </w:rPr>
        <w:t xml:space="preserve">per the </w:t>
      </w:r>
      <w:r w:rsidR="00385806" w:rsidRPr="00D55BA2">
        <w:rPr>
          <w:rFonts w:cs="Times New Roman"/>
          <w:i/>
          <w:szCs w:val="24"/>
        </w:rPr>
        <w:t>actor sequitur forum rei</w:t>
      </w:r>
      <w:r w:rsidR="00385806" w:rsidRPr="00D55BA2">
        <w:rPr>
          <w:rFonts w:cs="Times New Roman"/>
          <w:szCs w:val="24"/>
        </w:rPr>
        <w:t xml:space="preserve"> principle</w:t>
      </w:r>
      <w:r w:rsidR="00385806">
        <w:rPr>
          <w:rFonts w:cs="Times New Roman"/>
          <w:szCs w:val="24"/>
        </w:rPr>
        <w:t>,</w:t>
      </w:r>
      <w:r w:rsidR="00385806" w:rsidRPr="00D55BA2">
        <w:rPr>
          <w:rFonts w:cs="Times New Roman"/>
          <w:szCs w:val="24"/>
        </w:rPr>
        <w:t xml:space="preserve"> the</w:t>
      </w:r>
      <w:r w:rsidR="007000B8" w:rsidRPr="00D55BA2">
        <w:rPr>
          <w:rFonts w:cs="Times New Roman"/>
          <w:szCs w:val="24"/>
        </w:rPr>
        <w:t xml:space="preserve"> question </w:t>
      </w:r>
      <w:r w:rsidR="00A54C2F" w:rsidRPr="00D55BA2">
        <w:rPr>
          <w:rFonts w:cs="Times New Roman"/>
          <w:szCs w:val="24"/>
        </w:rPr>
        <w:t xml:space="preserve">of </w:t>
      </w:r>
      <w:r w:rsidR="007000B8" w:rsidRPr="00D55BA2">
        <w:rPr>
          <w:rFonts w:cs="Times New Roman"/>
          <w:szCs w:val="24"/>
        </w:rPr>
        <w:t>whether the court has</w:t>
      </w:r>
      <w:r w:rsidR="00A54C2F" w:rsidRPr="00D55BA2">
        <w:rPr>
          <w:rFonts w:cs="Times New Roman"/>
          <w:szCs w:val="24"/>
        </w:rPr>
        <w:t xml:space="preserve"> </w:t>
      </w:r>
      <w:r w:rsidR="003E655B" w:rsidRPr="00D55BA2">
        <w:rPr>
          <w:rFonts w:cs="Times New Roman"/>
          <w:szCs w:val="24"/>
        </w:rPr>
        <w:t>jurisdiction or</w:t>
      </w:r>
      <w:r w:rsidR="00A54C2F" w:rsidRPr="00D55BA2">
        <w:rPr>
          <w:rFonts w:cs="Times New Roman"/>
          <w:szCs w:val="24"/>
        </w:rPr>
        <w:t xml:space="preserve"> not </w:t>
      </w:r>
      <w:r w:rsidR="007000B8" w:rsidRPr="00D55BA2">
        <w:rPr>
          <w:rFonts w:cs="Times New Roman"/>
          <w:szCs w:val="24"/>
        </w:rPr>
        <w:t>over it does not arise</w:t>
      </w:r>
      <w:r w:rsidR="00385806">
        <w:rPr>
          <w:rFonts w:cs="Times New Roman"/>
          <w:szCs w:val="24"/>
        </w:rPr>
        <w:t xml:space="preserve">. </w:t>
      </w:r>
    </w:p>
    <w:p w14:paraId="359D9F39" w14:textId="0327C658" w:rsidR="00FA1D61" w:rsidRPr="00D55BA2" w:rsidRDefault="001A26FF" w:rsidP="00446ED3">
      <w:pPr>
        <w:pStyle w:val="ListParagraph"/>
        <w:numPr>
          <w:ilvl w:val="0"/>
          <w:numId w:val="5"/>
        </w:numPr>
        <w:ind w:left="567" w:hanging="567"/>
        <w:rPr>
          <w:rFonts w:cs="Times New Roman"/>
        </w:rPr>
      </w:pPr>
      <w:r>
        <w:rPr>
          <w:rFonts w:cs="Times New Roman"/>
          <w:szCs w:val="24"/>
        </w:rPr>
        <w:t>T</w:t>
      </w:r>
      <w:r w:rsidR="007000B8" w:rsidRPr="00D55BA2">
        <w:rPr>
          <w:rFonts w:cs="Times New Roman"/>
          <w:szCs w:val="24"/>
        </w:rPr>
        <w:t xml:space="preserve">he plaintiff </w:t>
      </w:r>
      <w:r>
        <w:rPr>
          <w:rFonts w:cs="Times New Roman"/>
          <w:szCs w:val="24"/>
        </w:rPr>
        <w:t>further submitted</w:t>
      </w:r>
      <w:r w:rsidR="007000B8" w:rsidRPr="00D55BA2">
        <w:rPr>
          <w:rFonts w:cs="Times New Roman"/>
          <w:szCs w:val="24"/>
        </w:rPr>
        <w:t xml:space="preserve"> </w:t>
      </w:r>
      <w:r w:rsidR="0089383D">
        <w:rPr>
          <w:rFonts w:cs="Times New Roman"/>
          <w:szCs w:val="24"/>
        </w:rPr>
        <w:t xml:space="preserve">that </w:t>
      </w:r>
      <w:r w:rsidR="007000B8" w:rsidRPr="00D55BA2">
        <w:rPr>
          <w:rFonts w:cs="Times New Roman"/>
          <w:szCs w:val="24"/>
        </w:rPr>
        <w:t>the deed of novation does not have the effect of taking away the court’s jurisdiction on four fronts. Firstly, the deed of novation governs disputes between the plaintiff and Safari Connect. The purpose of the deed was to introduce a new party and bind it through contract, and only Safari Connect</w:t>
      </w:r>
      <w:r w:rsidR="00860916" w:rsidRPr="00D55BA2">
        <w:rPr>
          <w:rFonts w:cs="Times New Roman"/>
          <w:szCs w:val="24"/>
        </w:rPr>
        <w:t>,</w:t>
      </w:r>
      <w:r w:rsidR="007000B8" w:rsidRPr="00D55BA2">
        <w:rPr>
          <w:rFonts w:cs="Times New Roman"/>
          <w:szCs w:val="24"/>
        </w:rPr>
        <w:t xml:space="preserve"> and not the defendant</w:t>
      </w:r>
      <w:r w:rsidR="00860916" w:rsidRPr="00D55BA2">
        <w:rPr>
          <w:rFonts w:cs="Times New Roman"/>
          <w:szCs w:val="24"/>
        </w:rPr>
        <w:t>,</w:t>
      </w:r>
      <w:r w:rsidR="007000B8" w:rsidRPr="00D55BA2">
        <w:rPr>
          <w:rFonts w:cs="Times New Roman"/>
          <w:szCs w:val="24"/>
        </w:rPr>
        <w:t xml:space="preserve"> can enforce the choice of court clause.</w:t>
      </w:r>
    </w:p>
    <w:p w14:paraId="05946520" w14:textId="30B2DC33" w:rsidR="000B1500" w:rsidRPr="00D55BA2" w:rsidRDefault="007000B8" w:rsidP="00446ED3">
      <w:pPr>
        <w:pStyle w:val="ListParagraph"/>
        <w:numPr>
          <w:ilvl w:val="0"/>
          <w:numId w:val="5"/>
        </w:numPr>
        <w:ind w:left="567" w:hanging="567"/>
        <w:rPr>
          <w:rFonts w:cs="Times New Roman"/>
        </w:rPr>
      </w:pPr>
      <w:r w:rsidRPr="00D55BA2">
        <w:rPr>
          <w:rFonts w:cs="Times New Roman"/>
          <w:szCs w:val="24"/>
        </w:rPr>
        <w:lastRenderedPageBreak/>
        <w:t xml:space="preserve">Secondly, </w:t>
      </w:r>
      <w:r w:rsidR="001A26FF">
        <w:rPr>
          <w:rFonts w:cs="Times New Roman"/>
          <w:szCs w:val="24"/>
        </w:rPr>
        <w:t xml:space="preserve">the plaintiff argued </w:t>
      </w:r>
      <w:r w:rsidRPr="00D55BA2">
        <w:rPr>
          <w:rFonts w:cs="Times New Roman"/>
          <w:szCs w:val="24"/>
        </w:rPr>
        <w:t xml:space="preserve">that </w:t>
      </w:r>
      <w:r w:rsidR="007226BD">
        <w:rPr>
          <w:rFonts w:cs="Times New Roman"/>
          <w:szCs w:val="24"/>
        </w:rPr>
        <w:t xml:space="preserve">the </w:t>
      </w:r>
      <w:r w:rsidRPr="00D55BA2">
        <w:rPr>
          <w:rFonts w:cs="Times New Roman"/>
          <w:szCs w:val="24"/>
        </w:rPr>
        <w:t xml:space="preserve">defendant is blowing hot and cold as </w:t>
      </w:r>
      <w:r w:rsidR="00FA1D61" w:rsidRPr="00D55BA2">
        <w:rPr>
          <w:rFonts w:cs="Times New Roman"/>
          <w:szCs w:val="24"/>
        </w:rPr>
        <w:t>Safari Connect</w:t>
      </w:r>
      <w:r w:rsidRPr="00D55BA2">
        <w:rPr>
          <w:rFonts w:cs="Times New Roman"/>
          <w:szCs w:val="24"/>
        </w:rPr>
        <w:t xml:space="preserve"> submitted to the jurisdiction of a local judicial authority, an arbitrator in Zimbabwe</w:t>
      </w:r>
      <w:r w:rsidR="00252E4B">
        <w:rPr>
          <w:rFonts w:cs="Times New Roman"/>
          <w:szCs w:val="24"/>
        </w:rPr>
        <w:t>,</w:t>
      </w:r>
      <w:r w:rsidRPr="00D55BA2">
        <w:rPr>
          <w:rFonts w:cs="Times New Roman"/>
          <w:szCs w:val="24"/>
        </w:rPr>
        <w:t xml:space="preserve"> and </w:t>
      </w:r>
      <w:r w:rsidR="00FA1D61" w:rsidRPr="00D55BA2">
        <w:rPr>
          <w:rFonts w:cs="Times New Roman"/>
          <w:szCs w:val="24"/>
        </w:rPr>
        <w:t xml:space="preserve">the defendant </w:t>
      </w:r>
      <w:r w:rsidRPr="00D55BA2">
        <w:rPr>
          <w:rFonts w:cs="Times New Roman"/>
          <w:szCs w:val="24"/>
        </w:rPr>
        <w:t>cannot</w:t>
      </w:r>
      <w:r w:rsidR="00860916" w:rsidRPr="00D55BA2">
        <w:rPr>
          <w:rFonts w:cs="Times New Roman"/>
          <w:szCs w:val="24"/>
        </w:rPr>
        <w:t xml:space="preserve"> now</w:t>
      </w:r>
      <w:r w:rsidR="00FA1D61" w:rsidRPr="00D55BA2">
        <w:rPr>
          <w:rFonts w:cs="Times New Roman"/>
          <w:szCs w:val="24"/>
        </w:rPr>
        <w:t>, whilst riding on Safari Connect’s back,</w:t>
      </w:r>
      <w:r w:rsidR="00860916" w:rsidRPr="00D55BA2">
        <w:rPr>
          <w:rFonts w:cs="Times New Roman"/>
          <w:szCs w:val="24"/>
        </w:rPr>
        <w:t xml:space="preserve"> </w:t>
      </w:r>
      <w:r w:rsidRPr="00D55BA2">
        <w:rPr>
          <w:rFonts w:cs="Times New Roman"/>
          <w:szCs w:val="24"/>
        </w:rPr>
        <w:t xml:space="preserve">raise an objection to the court’s jurisdiction. </w:t>
      </w:r>
    </w:p>
    <w:p w14:paraId="33D8FA94" w14:textId="3B55E7A2" w:rsidR="00FA1D61" w:rsidRPr="00D55BA2" w:rsidRDefault="007000B8" w:rsidP="00446ED3">
      <w:pPr>
        <w:pStyle w:val="ListParagraph"/>
        <w:numPr>
          <w:ilvl w:val="0"/>
          <w:numId w:val="5"/>
        </w:numPr>
        <w:ind w:left="567" w:hanging="567"/>
        <w:rPr>
          <w:rFonts w:cs="Times New Roman"/>
        </w:rPr>
      </w:pPr>
      <w:r w:rsidRPr="00D55BA2">
        <w:rPr>
          <w:rFonts w:cs="Times New Roman"/>
          <w:szCs w:val="24"/>
        </w:rPr>
        <w:t xml:space="preserve">Thirdly, </w:t>
      </w:r>
      <w:r w:rsidR="00A50138" w:rsidRPr="00A50138">
        <w:rPr>
          <w:rFonts w:cs="Times New Roman"/>
          <w:szCs w:val="24"/>
        </w:rPr>
        <w:t>the plaintiff submitted that</w:t>
      </w:r>
      <w:r w:rsidR="00A50138">
        <w:rPr>
          <w:rFonts w:cs="Times New Roman"/>
          <w:szCs w:val="24"/>
        </w:rPr>
        <w:t xml:space="preserve"> </w:t>
      </w:r>
      <w:r w:rsidRPr="00D55BA2">
        <w:rPr>
          <w:rFonts w:cs="Times New Roman"/>
          <w:szCs w:val="24"/>
        </w:rPr>
        <w:t>this is not a claim brought in terms of the deed of novation. The claim in terms of the deed of novation was brought by the plaintiff against Safari Connect and resulted in an arbitral award. As such, it assert</w:t>
      </w:r>
      <w:r w:rsidR="00385806">
        <w:rPr>
          <w:rFonts w:cs="Times New Roman"/>
          <w:szCs w:val="24"/>
        </w:rPr>
        <w:t>ed</w:t>
      </w:r>
      <w:r w:rsidR="00B6655B" w:rsidRPr="00D55BA2">
        <w:rPr>
          <w:rFonts w:cs="Times New Roman"/>
          <w:szCs w:val="24"/>
        </w:rPr>
        <w:t>,</w:t>
      </w:r>
      <w:r w:rsidRPr="00D55BA2">
        <w:rPr>
          <w:rFonts w:cs="Times New Roman"/>
          <w:szCs w:val="24"/>
        </w:rPr>
        <w:t xml:space="preserve"> the claim</w:t>
      </w:r>
      <w:r w:rsidR="00B6655B" w:rsidRPr="00D55BA2">
        <w:rPr>
          <w:rFonts w:cs="Times New Roman"/>
          <w:szCs w:val="24"/>
        </w:rPr>
        <w:t>,</w:t>
      </w:r>
      <w:r w:rsidRPr="00D55BA2">
        <w:rPr>
          <w:rFonts w:cs="Times New Roman"/>
          <w:szCs w:val="24"/>
        </w:rPr>
        <w:t xml:space="preserve"> being outside the terms of the deed of novation, is not affected by the exclusionary terms of the </w:t>
      </w:r>
      <w:r w:rsidR="000B1500" w:rsidRPr="00D55BA2">
        <w:rPr>
          <w:rFonts w:cs="Times New Roman"/>
          <w:szCs w:val="24"/>
        </w:rPr>
        <w:t>deed</w:t>
      </w:r>
      <w:r w:rsidRPr="00D55BA2">
        <w:rPr>
          <w:rFonts w:cs="Times New Roman"/>
          <w:szCs w:val="24"/>
        </w:rPr>
        <w:t xml:space="preserve">. Further, </w:t>
      </w:r>
      <w:r w:rsidR="00B6655B" w:rsidRPr="00D55BA2">
        <w:rPr>
          <w:rFonts w:cs="Times New Roman"/>
          <w:szCs w:val="24"/>
        </w:rPr>
        <w:t xml:space="preserve">the plaintiff </w:t>
      </w:r>
      <w:r w:rsidR="00A50138">
        <w:rPr>
          <w:rFonts w:cs="Times New Roman"/>
          <w:szCs w:val="24"/>
        </w:rPr>
        <w:t>maintained</w:t>
      </w:r>
      <w:r w:rsidR="00A50138" w:rsidRPr="00D55BA2">
        <w:rPr>
          <w:rFonts w:cs="Times New Roman"/>
          <w:szCs w:val="24"/>
        </w:rPr>
        <w:t xml:space="preserve"> </w:t>
      </w:r>
      <w:r w:rsidRPr="00D55BA2">
        <w:rPr>
          <w:rFonts w:cs="Times New Roman"/>
          <w:szCs w:val="24"/>
        </w:rPr>
        <w:t>that the deed of novation no longer exists</w:t>
      </w:r>
      <w:r w:rsidR="00B6655B" w:rsidRPr="00D55BA2">
        <w:rPr>
          <w:rFonts w:cs="Times New Roman"/>
          <w:szCs w:val="24"/>
        </w:rPr>
        <w:t>,</w:t>
      </w:r>
      <w:r w:rsidRPr="00D55BA2">
        <w:rPr>
          <w:rFonts w:cs="Times New Roman"/>
          <w:szCs w:val="24"/>
        </w:rPr>
        <w:t xml:space="preserve"> a</w:t>
      </w:r>
      <w:r w:rsidR="00B6655B" w:rsidRPr="00D55BA2">
        <w:rPr>
          <w:rFonts w:cs="Times New Roman"/>
          <w:szCs w:val="24"/>
        </w:rPr>
        <w:t>nd</w:t>
      </w:r>
      <w:r w:rsidRPr="00D55BA2">
        <w:rPr>
          <w:rFonts w:cs="Times New Roman"/>
          <w:szCs w:val="24"/>
        </w:rPr>
        <w:t xml:space="preserve"> it cannot govern a claim brought outside the terms of th</w:t>
      </w:r>
      <w:r w:rsidR="00B6655B" w:rsidRPr="00D55BA2">
        <w:rPr>
          <w:rFonts w:cs="Times New Roman"/>
          <w:szCs w:val="24"/>
        </w:rPr>
        <w:t xml:space="preserve">at </w:t>
      </w:r>
      <w:r w:rsidRPr="00D55BA2">
        <w:rPr>
          <w:rFonts w:cs="Times New Roman"/>
          <w:szCs w:val="24"/>
        </w:rPr>
        <w:t xml:space="preserve">agreement. </w:t>
      </w:r>
    </w:p>
    <w:p w14:paraId="66339927" w14:textId="6EA2454C" w:rsidR="00446ED3" w:rsidRPr="00D55BA2" w:rsidRDefault="007000B8" w:rsidP="00446ED3">
      <w:pPr>
        <w:pStyle w:val="ListParagraph"/>
        <w:numPr>
          <w:ilvl w:val="0"/>
          <w:numId w:val="5"/>
        </w:numPr>
        <w:ind w:left="567" w:hanging="567"/>
        <w:rPr>
          <w:rFonts w:cs="Times New Roman"/>
        </w:rPr>
      </w:pPr>
      <w:r w:rsidRPr="00D55BA2">
        <w:rPr>
          <w:rFonts w:cs="Times New Roman"/>
          <w:szCs w:val="24"/>
        </w:rPr>
        <w:t xml:space="preserve">Fourthly, </w:t>
      </w:r>
      <w:r w:rsidR="00CE2BF6" w:rsidRPr="00CE2BF6">
        <w:rPr>
          <w:rFonts w:cs="Times New Roman"/>
          <w:szCs w:val="24"/>
        </w:rPr>
        <w:t>the plaintiff submitted that</w:t>
      </w:r>
      <w:r w:rsidR="00CE2BF6">
        <w:rPr>
          <w:rFonts w:cs="Times New Roman"/>
          <w:szCs w:val="24"/>
        </w:rPr>
        <w:t xml:space="preserve"> </w:t>
      </w:r>
      <w:r w:rsidRPr="00D55BA2">
        <w:rPr>
          <w:rFonts w:cs="Times New Roman"/>
          <w:szCs w:val="24"/>
        </w:rPr>
        <w:t xml:space="preserve">the claim is a claim in execution in that relief is being brought in execution against a party constituting the same economic entity as a debtor, the debtor being Safari Connect, </w:t>
      </w:r>
      <w:r w:rsidR="002B63E5">
        <w:rPr>
          <w:rFonts w:cs="Times New Roman"/>
          <w:szCs w:val="24"/>
        </w:rPr>
        <w:t xml:space="preserve">and that </w:t>
      </w:r>
      <w:r w:rsidRPr="00D55BA2">
        <w:rPr>
          <w:rFonts w:cs="Times New Roman"/>
          <w:szCs w:val="24"/>
        </w:rPr>
        <w:t xml:space="preserve">the claim is founded in common law and not in contract. </w:t>
      </w:r>
      <w:r w:rsidR="00385806">
        <w:rPr>
          <w:rFonts w:cs="Times New Roman"/>
          <w:szCs w:val="24"/>
        </w:rPr>
        <w:t>The jurisdiction o</w:t>
      </w:r>
      <w:r w:rsidR="00385806" w:rsidRPr="00D55BA2">
        <w:rPr>
          <w:rFonts w:cs="Times New Roman"/>
          <w:szCs w:val="24"/>
        </w:rPr>
        <w:t>f this court is a matter of sovereignty and is governed by public law and not by contract law</w:t>
      </w:r>
      <w:r w:rsidR="00385806">
        <w:rPr>
          <w:rFonts w:cs="Times New Roman"/>
          <w:szCs w:val="24"/>
        </w:rPr>
        <w:t xml:space="preserve">. </w:t>
      </w:r>
    </w:p>
    <w:p w14:paraId="42782CFF" w14:textId="48C6BA59" w:rsidR="007000B8" w:rsidRPr="00D55BA2" w:rsidRDefault="007000B8" w:rsidP="00446ED3">
      <w:pPr>
        <w:pStyle w:val="ListParagraph"/>
        <w:numPr>
          <w:ilvl w:val="0"/>
          <w:numId w:val="5"/>
        </w:numPr>
        <w:ind w:left="567" w:hanging="567"/>
        <w:rPr>
          <w:rFonts w:cs="Times New Roman"/>
        </w:rPr>
      </w:pPr>
      <w:r w:rsidRPr="00D55BA2">
        <w:rPr>
          <w:rFonts w:cs="Times New Roman"/>
          <w:szCs w:val="24"/>
        </w:rPr>
        <w:t xml:space="preserve">In any event, the </w:t>
      </w:r>
      <w:r w:rsidR="00446ED3" w:rsidRPr="00D55BA2">
        <w:rPr>
          <w:rFonts w:cs="Times New Roman"/>
          <w:szCs w:val="24"/>
        </w:rPr>
        <w:t>plaintiff</w:t>
      </w:r>
      <w:r w:rsidRPr="00D55BA2">
        <w:rPr>
          <w:rFonts w:cs="Times New Roman"/>
          <w:szCs w:val="24"/>
        </w:rPr>
        <w:t xml:space="preserve"> </w:t>
      </w:r>
      <w:r w:rsidR="002B63E5" w:rsidRPr="00D55BA2">
        <w:rPr>
          <w:rFonts w:cs="Times New Roman"/>
          <w:szCs w:val="24"/>
        </w:rPr>
        <w:t>argue</w:t>
      </w:r>
      <w:r w:rsidR="002B63E5">
        <w:rPr>
          <w:rFonts w:cs="Times New Roman"/>
          <w:szCs w:val="24"/>
        </w:rPr>
        <w:t>d</w:t>
      </w:r>
      <w:r w:rsidR="00446ED3" w:rsidRPr="00D55BA2">
        <w:rPr>
          <w:rFonts w:cs="Times New Roman"/>
          <w:szCs w:val="24"/>
        </w:rPr>
        <w:t>,</w:t>
      </w:r>
      <w:r w:rsidRPr="00D55BA2">
        <w:rPr>
          <w:rFonts w:cs="Times New Roman"/>
          <w:szCs w:val="24"/>
        </w:rPr>
        <w:t xml:space="preserve"> the correct position of the law is that a choice of court provision </w:t>
      </w:r>
      <w:r w:rsidR="00C1526C">
        <w:rPr>
          <w:rFonts w:cs="Times New Roman"/>
          <w:szCs w:val="24"/>
        </w:rPr>
        <w:t xml:space="preserve">in an agreement </w:t>
      </w:r>
      <w:r w:rsidRPr="00D55BA2">
        <w:rPr>
          <w:rFonts w:cs="Times New Roman"/>
          <w:szCs w:val="24"/>
        </w:rPr>
        <w:t xml:space="preserve">does not oust the </w:t>
      </w:r>
      <w:r w:rsidR="00C1526C">
        <w:rPr>
          <w:rFonts w:cs="Times New Roman"/>
          <w:szCs w:val="24"/>
        </w:rPr>
        <w:t xml:space="preserve">inherent </w:t>
      </w:r>
      <w:r w:rsidRPr="00D55BA2">
        <w:rPr>
          <w:rFonts w:cs="Times New Roman"/>
          <w:szCs w:val="24"/>
        </w:rPr>
        <w:t>jurisdiction of the court; rather, it invests in it a discretion.</w:t>
      </w:r>
      <w:r w:rsidR="00385806">
        <w:rPr>
          <w:rFonts w:cs="Times New Roman"/>
          <w:szCs w:val="24"/>
        </w:rPr>
        <w:t xml:space="preserve"> </w:t>
      </w:r>
      <w:r w:rsidR="00C1526C">
        <w:rPr>
          <w:rFonts w:cs="Times New Roman"/>
          <w:szCs w:val="24"/>
        </w:rPr>
        <w:t xml:space="preserve">Additionally, reliance on a choice of forum agreement must be taken by </w:t>
      </w:r>
      <w:r w:rsidRPr="00D55BA2">
        <w:rPr>
          <w:rFonts w:cs="Times New Roman"/>
          <w:szCs w:val="24"/>
        </w:rPr>
        <w:t>way of a dilatory special plea</w:t>
      </w:r>
      <w:r w:rsidR="00C1526C">
        <w:rPr>
          <w:rFonts w:cs="Times New Roman"/>
          <w:szCs w:val="24"/>
        </w:rPr>
        <w:t xml:space="preserve"> following which </w:t>
      </w:r>
      <w:r w:rsidRPr="00D55BA2">
        <w:rPr>
          <w:rFonts w:cs="Times New Roman"/>
          <w:szCs w:val="24"/>
        </w:rPr>
        <w:t xml:space="preserve">the court will then exercise its discretion. </w:t>
      </w:r>
      <w:r w:rsidR="008036AC">
        <w:rPr>
          <w:rFonts w:cs="Times New Roman"/>
          <w:szCs w:val="24"/>
        </w:rPr>
        <w:t xml:space="preserve">In this case, none of the parties was connected to England and it served no practical purpose for the parties to litigate in the English Courts. </w:t>
      </w:r>
      <w:r w:rsidRPr="00D55BA2">
        <w:rPr>
          <w:rFonts w:cs="Times New Roman"/>
          <w:szCs w:val="24"/>
        </w:rPr>
        <w:t xml:space="preserve"> </w:t>
      </w:r>
    </w:p>
    <w:p w14:paraId="17631DA3" w14:textId="4D1F10E5" w:rsidR="007000B8" w:rsidRPr="00F029D2" w:rsidRDefault="006C4411" w:rsidP="0052561E">
      <w:pPr>
        <w:pStyle w:val="ListParagraph"/>
        <w:numPr>
          <w:ilvl w:val="0"/>
          <w:numId w:val="5"/>
        </w:numPr>
        <w:ind w:left="567" w:hanging="567"/>
        <w:rPr>
          <w:rFonts w:cs="Times New Roman"/>
        </w:rPr>
      </w:pPr>
      <w:r w:rsidRPr="00D55BA2">
        <w:rPr>
          <w:rFonts w:cs="Times New Roman"/>
          <w:szCs w:val="24"/>
        </w:rPr>
        <w:t xml:space="preserve">On the question of joinder, the plaintiff </w:t>
      </w:r>
      <w:r w:rsidR="00B829C5" w:rsidRPr="00D55BA2">
        <w:rPr>
          <w:rFonts w:cs="Times New Roman"/>
          <w:szCs w:val="24"/>
        </w:rPr>
        <w:t>contend</w:t>
      </w:r>
      <w:r w:rsidR="00B829C5">
        <w:rPr>
          <w:rFonts w:cs="Times New Roman"/>
          <w:szCs w:val="24"/>
        </w:rPr>
        <w:t>ed</w:t>
      </w:r>
      <w:r w:rsidR="00B829C5" w:rsidRPr="00D55BA2">
        <w:rPr>
          <w:rFonts w:cs="Times New Roman"/>
          <w:szCs w:val="24"/>
        </w:rPr>
        <w:t xml:space="preserve"> </w:t>
      </w:r>
      <w:r w:rsidRPr="00D55BA2">
        <w:rPr>
          <w:rFonts w:cs="Times New Roman"/>
          <w:szCs w:val="24"/>
        </w:rPr>
        <w:t>that it ha</w:t>
      </w:r>
      <w:r w:rsidR="008036AC">
        <w:rPr>
          <w:rFonts w:cs="Times New Roman"/>
          <w:szCs w:val="24"/>
        </w:rPr>
        <w:t>d</w:t>
      </w:r>
      <w:r w:rsidRPr="00D55BA2">
        <w:rPr>
          <w:rFonts w:cs="Times New Roman"/>
          <w:szCs w:val="24"/>
        </w:rPr>
        <w:t xml:space="preserve"> already sued Safari Connect and c</w:t>
      </w:r>
      <w:r w:rsidR="008036AC">
        <w:rPr>
          <w:rFonts w:cs="Times New Roman"/>
          <w:szCs w:val="24"/>
        </w:rPr>
        <w:t>ould not</w:t>
      </w:r>
      <w:r w:rsidRPr="00D55BA2">
        <w:rPr>
          <w:rFonts w:cs="Times New Roman"/>
          <w:szCs w:val="24"/>
        </w:rPr>
        <w:t xml:space="preserve"> sue it again. It </w:t>
      </w:r>
      <w:r w:rsidR="00B829C5">
        <w:rPr>
          <w:rFonts w:cs="Times New Roman"/>
          <w:szCs w:val="24"/>
        </w:rPr>
        <w:t>submitt</w:t>
      </w:r>
      <w:r w:rsidR="008750A8">
        <w:rPr>
          <w:rFonts w:cs="Times New Roman"/>
          <w:szCs w:val="24"/>
        </w:rPr>
        <w:t>ed</w:t>
      </w:r>
      <w:r w:rsidR="008750A8" w:rsidRPr="00D55BA2">
        <w:rPr>
          <w:rFonts w:cs="Times New Roman"/>
          <w:szCs w:val="24"/>
        </w:rPr>
        <w:t xml:space="preserve"> </w:t>
      </w:r>
      <w:r w:rsidRPr="00D55BA2">
        <w:rPr>
          <w:rFonts w:cs="Times New Roman"/>
          <w:szCs w:val="24"/>
        </w:rPr>
        <w:t>that there are difficulties that arise in suing Safari Connect, a Mauritian insolvent,</w:t>
      </w:r>
      <w:r w:rsidR="008304A4">
        <w:rPr>
          <w:rFonts w:cs="Times New Roman"/>
          <w:szCs w:val="24"/>
        </w:rPr>
        <w:t xml:space="preserve"> hence, given its status, that </w:t>
      </w:r>
      <w:r w:rsidRPr="00D55BA2">
        <w:rPr>
          <w:rFonts w:cs="Times New Roman"/>
          <w:szCs w:val="24"/>
        </w:rPr>
        <w:t xml:space="preserve">would require leave of the court. It further </w:t>
      </w:r>
      <w:r w:rsidR="005A077F" w:rsidRPr="00D55BA2">
        <w:rPr>
          <w:rFonts w:cs="Times New Roman"/>
          <w:szCs w:val="24"/>
        </w:rPr>
        <w:t>argue</w:t>
      </w:r>
      <w:r w:rsidR="005A077F">
        <w:rPr>
          <w:rFonts w:cs="Times New Roman"/>
          <w:szCs w:val="24"/>
        </w:rPr>
        <w:t>d</w:t>
      </w:r>
      <w:r w:rsidR="005A077F" w:rsidRPr="00D55BA2">
        <w:rPr>
          <w:rFonts w:cs="Times New Roman"/>
          <w:szCs w:val="24"/>
        </w:rPr>
        <w:t xml:space="preserve"> </w:t>
      </w:r>
      <w:r w:rsidRPr="00D55BA2">
        <w:rPr>
          <w:rFonts w:cs="Times New Roman"/>
          <w:szCs w:val="24"/>
        </w:rPr>
        <w:t xml:space="preserve">that, in any event, </w:t>
      </w:r>
      <w:r w:rsidR="005A077F">
        <w:rPr>
          <w:rFonts w:cs="Times New Roman"/>
          <w:szCs w:val="24"/>
        </w:rPr>
        <w:t>it sought</w:t>
      </w:r>
      <w:r w:rsidRPr="00D55BA2">
        <w:rPr>
          <w:rFonts w:cs="Times New Roman"/>
          <w:szCs w:val="24"/>
        </w:rPr>
        <w:t xml:space="preserve"> to show that Safari Connect is one economic entity with the defendant</w:t>
      </w:r>
      <w:r w:rsidR="00510609">
        <w:rPr>
          <w:rFonts w:cs="Times New Roman"/>
          <w:szCs w:val="24"/>
        </w:rPr>
        <w:t>, and,</w:t>
      </w:r>
      <w:r w:rsidRPr="00D55BA2">
        <w:rPr>
          <w:rFonts w:cs="Times New Roman"/>
          <w:szCs w:val="24"/>
        </w:rPr>
        <w:t xml:space="preserve"> as such, there is no need to join it to the present proceedings.  </w:t>
      </w:r>
    </w:p>
    <w:p w14:paraId="663E0889" w14:textId="6B3536C8" w:rsidR="00F029D2" w:rsidRDefault="00C1526C" w:rsidP="00F029D2">
      <w:pPr>
        <w:pStyle w:val="ListParagraph"/>
        <w:numPr>
          <w:ilvl w:val="0"/>
          <w:numId w:val="5"/>
        </w:numPr>
        <w:rPr>
          <w:rFonts w:cs="Times New Roman"/>
          <w:szCs w:val="24"/>
        </w:rPr>
      </w:pPr>
      <w:r>
        <w:rPr>
          <w:rFonts w:cs="Times New Roman"/>
          <w:szCs w:val="24"/>
        </w:rPr>
        <w:t>On</w:t>
      </w:r>
      <w:r w:rsidR="0067507F">
        <w:rPr>
          <w:rFonts w:cs="Times New Roman"/>
          <w:szCs w:val="24"/>
        </w:rPr>
        <w:t xml:space="preserve"> the </w:t>
      </w:r>
      <w:r w:rsidR="00F029D2">
        <w:rPr>
          <w:rFonts w:cs="Times New Roman"/>
          <w:szCs w:val="24"/>
        </w:rPr>
        <w:t xml:space="preserve">issue of the cause of action, </w:t>
      </w:r>
      <w:r>
        <w:rPr>
          <w:rFonts w:cs="Times New Roman"/>
          <w:szCs w:val="24"/>
        </w:rPr>
        <w:t>the plaintiff</w:t>
      </w:r>
      <w:r w:rsidR="0067507F">
        <w:rPr>
          <w:rFonts w:cs="Times New Roman"/>
          <w:i/>
          <w:iCs/>
          <w:szCs w:val="24"/>
        </w:rPr>
        <w:t xml:space="preserve"> </w:t>
      </w:r>
      <w:r w:rsidR="00F029D2">
        <w:rPr>
          <w:rFonts w:cs="Times New Roman"/>
          <w:szCs w:val="24"/>
        </w:rPr>
        <w:t xml:space="preserve">argued that a cause of action </w:t>
      </w:r>
      <w:r w:rsidR="008036AC">
        <w:rPr>
          <w:rFonts w:cs="Times New Roman"/>
          <w:szCs w:val="24"/>
        </w:rPr>
        <w:t xml:space="preserve">does </w:t>
      </w:r>
      <w:r w:rsidR="00F029D2">
        <w:rPr>
          <w:rFonts w:cs="Times New Roman"/>
          <w:szCs w:val="24"/>
        </w:rPr>
        <w:t>not have anything to do with whether the plaintiff would succeed or not, but it was the existence of facts that responded to a legal framework</w:t>
      </w:r>
      <w:r>
        <w:rPr>
          <w:rFonts w:cs="Times New Roman"/>
          <w:szCs w:val="24"/>
        </w:rPr>
        <w:t>.</w:t>
      </w:r>
      <w:r w:rsidR="00F029D2">
        <w:rPr>
          <w:rFonts w:cs="Times New Roman"/>
          <w:szCs w:val="24"/>
        </w:rPr>
        <w:t xml:space="preserve"> The plaintiff’s argument was that the </w:t>
      </w:r>
      <w:r w:rsidR="00F029D2">
        <w:rPr>
          <w:rFonts w:cs="Times New Roman"/>
          <w:szCs w:val="24"/>
        </w:rPr>
        <w:lastRenderedPageBreak/>
        <w:t xml:space="preserve">defendant was the same entity as Safari Connect, and </w:t>
      </w:r>
      <w:r w:rsidR="007D28BB">
        <w:rPr>
          <w:rFonts w:cs="Times New Roman"/>
          <w:szCs w:val="24"/>
        </w:rPr>
        <w:t xml:space="preserve">therefore, </w:t>
      </w:r>
      <w:r w:rsidR="00F029D2">
        <w:rPr>
          <w:rFonts w:cs="Times New Roman"/>
          <w:szCs w:val="24"/>
        </w:rPr>
        <w:t xml:space="preserve">it was entitled to execute against </w:t>
      </w:r>
      <w:r w:rsidR="00E60C32">
        <w:rPr>
          <w:rFonts w:cs="Times New Roman"/>
          <w:szCs w:val="24"/>
        </w:rPr>
        <w:t>it</w:t>
      </w:r>
      <w:r>
        <w:rPr>
          <w:rFonts w:cs="Times New Roman"/>
          <w:szCs w:val="24"/>
        </w:rPr>
        <w:t xml:space="preserve">. </w:t>
      </w:r>
    </w:p>
    <w:p w14:paraId="555C74A5" w14:textId="77777777" w:rsidR="008304A4" w:rsidRDefault="00F029D2" w:rsidP="00F029D2">
      <w:pPr>
        <w:pStyle w:val="ListParagraph"/>
        <w:numPr>
          <w:ilvl w:val="0"/>
          <w:numId w:val="5"/>
        </w:numPr>
        <w:rPr>
          <w:rFonts w:cs="Times New Roman"/>
          <w:szCs w:val="24"/>
        </w:rPr>
      </w:pPr>
      <w:r>
        <w:rPr>
          <w:rFonts w:cs="Times New Roman"/>
          <w:szCs w:val="24"/>
        </w:rPr>
        <w:t xml:space="preserve">On the merits, </w:t>
      </w:r>
      <w:r w:rsidR="00C1526C">
        <w:rPr>
          <w:rFonts w:cs="Times New Roman"/>
          <w:szCs w:val="24"/>
        </w:rPr>
        <w:t xml:space="preserve">it was submitted </w:t>
      </w:r>
      <w:r w:rsidR="00E60C32">
        <w:rPr>
          <w:rFonts w:cs="Times New Roman"/>
          <w:szCs w:val="24"/>
        </w:rPr>
        <w:t xml:space="preserve">that the single economic test principle ought to be applied in this case on the basis that it is the </w:t>
      </w:r>
      <w:r>
        <w:rPr>
          <w:rFonts w:cs="Times New Roman"/>
          <w:szCs w:val="24"/>
        </w:rPr>
        <w:t xml:space="preserve">defendant who </w:t>
      </w:r>
      <w:r w:rsidR="008036AC">
        <w:rPr>
          <w:rFonts w:cs="Times New Roman"/>
          <w:szCs w:val="24"/>
        </w:rPr>
        <w:t xml:space="preserve">directly received the loan, </w:t>
      </w:r>
      <w:r>
        <w:rPr>
          <w:rFonts w:cs="Times New Roman"/>
          <w:szCs w:val="24"/>
        </w:rPr>
        <w:t xml:space="preserve">utilised </w:t>
      </w:r>
      <w:r w:rsidR="008036AC">
        <w:rPr>
          <w:rFonts w:cs="Times New Roman"/>
          <w:szCs w:val="24"/>
        </w:rPr>
        <w:t>it, went</w:t>
      </w:r>
      <w:r>
        <w:rPr>
          <w:rFonts w:cs="Times New Roman"/>
          <w:szCs w:val="24"/>
        </w:rPr>
        <w:t xml:space="preserve"> on to build a tented campsite, </w:t>
      </w:r>
      <w:r w:rsidR="008036AC">
        <w:rPr>
          <w:rFonts w:cs="Times New Roman"/>
          <w:szCs w:val="24"/>
        </w:rPr>
        <w:t xml:space="preserve">and was also presented as Safari Connect’s holding company in its financial statements. Yet, </w:t>
      </w:r>
      <w:r>
        <w:rPr>
          <w:rFonts w:cs="Times New Roman"/>
          <w:szCs w:val="24"/>
        </w:rPr>
        <w:t>the obligation to repay the loan</w:t>
      </w:r>
      <w:r w:rsidR="008304A4">
        <w:rPr>
          <w:rFonts w:cs="Times New Roman"/>
          <w:szCs w:val="24"/>
        </w:rPr>
        <w:t>, for no consideration,</w:t>
      </w:r>
      <w:r>
        <w:rPr>
          <w:rFonts w:cs="Times New Roman"/>
          <w:szCs w:val="24"/>
        </w:rPr>
        <w:t xml:space="preserve"> fell upon a party that it kn</w:t>
      </w:r>
      <w:r w:rsidR="00E60C32">
        <w:rPr>
          <w:rFonts w:cs="Times New Roman"/>
          <w:szCs w:val="24"/>
        </w:rPr>
        <w:t>ew</w:t>
      </w:r>
      <w:r>
        <w:rPr>
          <w:rFonts w:cs="Times New Roman"/>
          <w:szCs w:val="24"/>
        </w:rPr>
        <w:t xml:space="preserve"> to be insolvent</w:t>
      </w:r>
      <w:r w:rsidR="005A190F">
        <w:rPr>
          <w:rFonts w:cs="Times New Roman"/>
          <w:szCs w:val="24"/>
        </w:rPr>
        <w:t xml:space="preserve">, </w:t>
      </w:r>
      <w:r w:rsidR="00E60C32">
        <w:rPr>
          <w:rFonts w:cs="Times New Roman"/>
          <w:szCs w:val="24"/>
        </w:rPr>
        <w:t xml:space="preserve">a company </w:t>
      </w:r>
      <w:r>
        <w:rPr>
          <w:rFonts w:cs="Times New Roman"/>
          <w:szCs w:val="24"/>
        </w:rPr>
        <w:t>that cannot exist outside it</w:t>
      </w:r>
      <w:r w:rsidR="005A190F">
        <w:rPr>
          <w:rFonts w:cs="Times New Roman"/>
          <w:szCs w:val="24"/>
        </w:rPr>
        <w:t>,</w:t>
      </w:r>
      <w:r w:rsidR="008304A4">
        <w:rPr>
          <w:rFonts w:cs="Times New Roman"/>
          <w:szCs w:val="24"/>
        </w:rPr>
        <w:t xml:space="preserve"> and</w:t>
      </w:r>
      <w:r w:rsidR="005A190F">
        <w:rPr>
          <w:rFonts w:cs="Times New Roman"/>
          <w:szCs w:val="24"/>
        </w:rPr>
        <w:t xml:space="preserve"> </w:t>
      </w:r>
      <w:r>
        <w:rPr>
          <w:rFonts w:cs="Times New Roman"/>
          <w:szCs w:val="24"/>
        </w:rPr>
        <w:t xml:space="preserve">that is a party the defendant in </w:t>
      </w:r>
      <w:r>
        <w:rPr>
          <w:rFonts w:cs="Times New Roman"/>
          <w:i/>
          <w:iCs/>
          <w:szCs w:val="24"/>
        </w:rPr>
        <w:t>casu</w:t>
      </w:r>
      <w:r>
        <w:rPr>
          <w:rFonts w:cs="Times New Roman"/>
          <w:szCs w:val="24"/>
        </w:rPr>
        <w:t xml:space="preserve"> controls</w:t>
      </w:r>
      <w:r w:rsidR="005A190F">
        <w:rPr>
          <w:rFonts w:cs="Times New Roman"/>
          <w:szCs w:val="24"/>
        </w:rPr>
        <w:t xml:space="preserve">. </w:t>
      </w:r>
    </w:p>
    <w:p w14:paraId="74DA5EBC" w14:textId="4A8B1975" w:rsidR="00F029D2" w:rsidRDefault="008304A4" w:rsidP="00F029D2">
      <w:pPr>
        <w:pStyle w:val="ListParagraph"/>
        <w:numPr>
          <w:ilvl w:val="0"/>
          <w:numId w:val="5"/>
        </w:numPr>
        <w:rPr>
          <w:rFonts w:cs="Times New Roman"/>
          <w:szCs w:val="24"/>
        </w:rPr>
      </w:pPr>
      <w:r>
        <w:rPr>
          <w:rFonts w:cs="Times New Roman"/>
          <w:szCs w:val="24"/>
        </w:rPr>
        <w:t xml:space="preserve">Relying on the decision in </w:t>
      </w:r>
      <w:r w:rsidR="001849BD" w:rsidRPr="001849BD">
        <w:rPr>
          <w:rFonts w:cs="Times New Roman"/>
          <w:i/>
          <w:iCs/>
          <w:szCs w:val="24"/>
        </w:rPr>
        <w:t>Deputy Sheriff</w:t>
      </w:r>
      <w:r w:rsidR="001849BD" w:rsidRPr="001849BD">
        <w:rPr>
          <w:rFonts w:cs="Times New Roman"/>
          <w:szCs w:val="24"/>
        </w:rPr>
        <w:t xml:space="preserve"> v</w:t>
      </w:r>
      <w:r w:rsidR="001849BD" w:rsidRPr="001849BD">
        <w:rPr>
          <w:rFonts w:cs="Times New Roman"/>
          <w:i/>
          <w:iCs/>
          <w:szCs w:val="24"/>
        </w:rPr>
        <w:t xml:space="preserve"> Trinpac Investments (Pvt) Ltd &amp; Anor </w:t>
      </w:r>
      <w:r w:rsidR="001849BD">
        <w:rPr>
          <w:rFonts w:cs="Times New Roman"/>
          <w:szCs w:val="24"/>
        </w:rPr>
        <w:t xml:space="preserve">2011 (1) ZLR 548 (H), Mr </w:t>
      </w:r>
      <w:r w:rsidR="001849BD" w:rsidRPr="001849BD">
        <w:rPr>
          <w:rFonts w:cs="Times New Roman"/>
          <w:i/>
          <w:iCs/>
          <w:szCs w:val="24"/>
        </w:rPr>
        <w:t>Mpofu</w:t>
      </w:r>
      <w:r>
        <w:rPr>
          <w:rFonts w:cs="Times New Roman"/>
          <w:i/>
          <w:iCs/>
          <w:szCs w:val="24"/>
        </w:rPr>
        <w:t xml:space="preserve">, </w:t>
      </w:r>
      <w:r w:rsidRPr="008304A4">
        <w:rPr>
          <w:rFonts w:cs="Times New Roman"/>
          <w:szCs w:val="24"/>
        </w:rPr>
        <w:t>appearing for the plaintiff,</w:t>
      </w:r>
      <w:r w:rsidR="001849BD">
        <w:rPr>
          <w:rFonts w:cs="Times New Roman"/>
          <w:szCs w:val="24"/>
        </w:rPr>
        <w:t xml:space="preserve"> contended that o</w:t>
      </w:r>
      <w:r w:rsidR="005A190F">
        <w:rPr>
          <w:rFonts w:cs="Times New Roman"/>
          <w:szCs w:val="24"/>
        </w:rPr>
        <w:t xml:space="preserve">nce it was established that </w:t>
      </w:r>
      <w:r w:rsidR="001849BD">
        <w:rPr>
          <w:rFonts w:cs="Times New Roman"/>
          <w:szCs w:val="24"/>
        </w:rPr>
        <w:t xml:space="preserve">two parties are one; that the money effectively goes into the same purse; that the operations of the two parties are bound hand and foot; and that a separate personality had been used as a façade, the court is empowered to make the debt payable by the other. </w:t>
      </w:r>
      <w:r w:rsidR="00F029D2">
        <w:rPr>
          <w:rFonts w:cs="Times New Roman"/>
          <w:szCs w:val="24"/>
        </w:rPr>
        <w:t xml:space="preserve">It was therefore proper to follow the money. </w:t>
      </w:r>
    </w:p>
    <w:p w14:paraId="2FF9FB96" w14:textId="3764A35C" w:rsidR="00F029D2" w:rsidRPr="008304A4" w:rsidRDefault="008304A4" w:rsidP="00F029D2">
      <w:pPr>
        <w:pStyle w:val="ListParagraph"/>
        <w:numPr>
          <w:ilvl w:val="0"/>
          <w:numId w:val="5"/>
        </w:numPr>
        <w:rPr>
          <w:rFonts w:cs="Times New Roman"/>
          <w:szCs w:val="24"/>
        </w:rPr>
      </w:pPr>
      <w:r w:rsidRPr="008304A4">
        <w:rPr>
          <w:rFonts w:cs="Times New Roman"/>
          <w:szCs w:val="24"/>
        </w:rPr>
        <w:t>At the invitation of the court to address it on the necessity of registering the arbitral award first,</w:t>
      </w:r>
      <w:r w:rsidR="00F029D2" w:rsidRPr="008304A4">
        <w:rPr>
          <w:rFonts w:cs="Times New Roman"/>
          <w:szCs w:val="24"/>
        </w:rPr>
        <w:t xml:space="preserve"> Mr </w:t>
      </w:r>
      <w:r w:rsidR="00F029D2" w:rsidRPr="008304A4">
        <w:rPr>
          <w:rFonts w:cs="Times New Roman"/>
          <w:i/>
          <w:iCs/>
          <w:szCs w:val="24"/>
        </w:rPr>
        <w:t>Mpofu</w:t>
      </w:r>
      <w:r w:rsidR="007D28BB" w:rsidRPr="008304A4">
        <w:rPr>
          <w:rFonts w:cs="Times New Roman"/>
          <w:i/>
          <w:iCs/>
          <w:szCs w:val="24"/>
        </w:rPr>
        <w:t>,</w:t>
      </w:r>
      <w:r w:rsidRPr="008304A4">
        <w:rPr>
          <w:rFonts w:cs="Times New Roman"/>
          <w:i/>
          <w:iCs/>
          <w:szCs w:val="24"/>
        </w:rPr>
        <w:t xml:space="preserve"> </w:t>
      </w:r>
      <w:r w:rsidR="00F029D2" w:rsidRPr="008304A4">
        <w:rPr>
          <w:rFonts w:cs="Times New Roman"/>
          <w:szCs w:val="24"/>
        </w:rPr>
        <w:t xml:space="preserve">submitted that it was slightly different because you can only seek recognition, not registration, of the award, to enforce it in relation to a party against whom the award is given. In the present case, there was no need for the arbitral award to be recognised because the plaintiff accepted that Safari Connect could not pay, and that the award was not going to be enforced against Safari Connect. </w:t>
      </w:r>
    </w:p>
    <w:p w14:paraId="5B61EFE3" w14:textId="69B0434C" w:rsidR="00DF7654" w:rsidRPr="00D55BA2" w:rsidRDefault="00DF7654" w:rsidP="00B77032">
      <w:pPr>
        <w:pStyle w:val="ListParagraph"/>
        <w:ind w:left="0"/>
        <w:rPr>
          <w:rFonts w:cs="Times New Roman"/>
          <w:b/>
          <w:bCs/>
          <w:szCs w:val="24"/>
          <w:u w:val="single"/>
        </w:rPr>
      </w:pPr>
      <w:r w:rsidRPr="00D55BA2">
        <w:rPr>
          <w:rFonts w:cs="Times New Roman"/>
          <w:b/>
          <w:bCs/>
          <w:szCs w:val="24"/>
          <w:u w:val="single"/>
        </w:rPr>
        <w:t>THE DEFENDANT’S SUBMISSIONS</w:t>
      </w:r>
    </w:p>
    <w:p w14:paraId="11B0DDC6" w14:textId="603876CC" w:rsidR="006F5433" w:rsidRPr="00D55BA2" w:rsidRDefault="007623BE" w:rsidP="00E17F53">
      <w:pPr>
        <w:pStyle w:val="ListParagraph"/>
        <w:numPr>
          <w:ilvl w:val="0"/>
          <w:numId w:val="5"/>
        </w:numPr>
        <w:ind w:left="567" w:hanging="567"/>
        <w:rPr>
          <w:rFonts w:cs="Times New Roman"/>
          <w:szCs w:val="24"/>
        </w:rPr>
      </w:pPr>
      <w:r>
        <w:rPr>
          <w:rFonts w:cs="Times New Roman"/>
          <w:szCs w:val="24"/>
        </w:rPr>
        <w:t>On jurisdiction, t</w:t>
      </w:r>
      <w:r w:rsidRPr="00D55BA2">
        <w:rPr>
          <w:rFonts w:cs="Times New Roman"/>
          <w:szCs w:val="24"/>
        </w:rPr>
        <w:t xml:space="preserve">he </w:t>
      </w:r>
      <w:r w:rsidR="00DF7654" w:rsidRPr="00D55BA2">
        <w:rPr>
          <w:rFonts w:cs="Times New Roman"/>
          <w:szCs w:val="24"/>
        </w:rPr>
        <w:t xml:space="preserve">defendant </w:t>
      </w:r>
      <w:r w:rsidR="00D63E9C" w:rsidRPr="00D55BA2">
        <w:rPr>
          <w:rFonts w:cs="Times New Roman"/>
          <w:szCs w:val="24"/>
        </w:rPr>
        <w:t>submit</w:t>
      </w:r>
      <w:r w:rsidR="00D63E9C">
        <w:rPr>
          <w:rFonts w:cs="Times New Roman"/>
          <w:szCs w:val="24"/>
        </w:rPr>
        <w:t>ted</w:t>
      </w:r>
      <w:r w:rsidR="00D63E9C" w:rsidRPr="00D55BA2">
        <w:rPr>
          <w:rFonts w:cs="Times New Roman"/>
          <w:szCs w:val="24"/>
        </w:rPr>
        <w:t xml:space="preserve"> </w:t>
      </w:r>
      <w:r w:rsidR="006F5433" w:rsidRPr="00D55BA2">
        <w:rPr>
          <w:rFonts w:cs="Times New Roman"/>
          <w:szCs w:val="24"/>
        </w:rPr>
        <w:t xml:space="preserve">that this court does not have jurisdiction to hear the matter as the question of its liability can be answered with reference to the novation agreement it entered into with Safari Connect. That novation agreement, the defendant further </w:t>
      </w:r>
      <w:r w:rsidR="00D63E9C" w:rsidRPr="00D55BA2">
        <w:rPr>
          <w:rFonts w:cs="Times New Roman"/>
          <w:szCs w:val="24"/>
        </w:rPr>
        <w:t>submit</w:t>
      </w:r>
      <w:r w:rsidR="00D63E9C">
        <w:rPr>
          <w:rFonts w:cs="Times New Roman"/>
          <w:szCs w:val="24"/>
        </w:rPr>
        <w:t>ted</w:t>
      </w:r>
      <w:r w:rsidR="006F5433" w:rsidRPr="00D55BA2">
        <w:rPr>
          <w:rFonts w:cs="Times New Roman"/>
          <w:szCs w:val="24"/>
        </w:rPr>
        <w:t>, has a choice of law clause that provides that the English Courts have jurisdiction. The defendant argue</w:t>
      </w:r>
      <w:r w:rsidR="00D63E9C">
        <w:rPr>
          <w:rFonts w:cs="Times New Roman"/>
          <w:szCs w:val="24"/>
        </w:rPr>
        <w:t>d</w:t>
      </w:r>
      <w:r w:rsidR="006F5433" w:rsidRPr="00D55BA2">
        <w:rPr>
          <w:rFonts w:cs="Times New Roman"/>
          <w:szCs w:val="24"/>
        </w:rPr>
        <w:t xml:space="preserve"> that while the</w:t>
      </w:r>
      <w:r w:rsidR="00563CDD">
        <w:rPr>
          <w:rFonts w:cs="Times New Roman"/>
          <w:szCs w:val="24"/>
        </w:rPr>
        <w:t>se</w:t>
      </w:r>
      <w:r w:rsidR="006F5433" w:rsidRPr="00D55BA2">
        <w:rPr>
          <w:rFonts w:cs="Times New Roman"/>
          <w:szCs w:val="24"/>
        </w:rPr>
        <w:t xml:space="preserve"> proceedings </w:t>
      </w:r>
      <w:r w:rsidR="00563CDD">
        <w:rPr>
          <w:rFonts w:cs="Times New Roman"/>
          <w:szCs w:val="24"/>
        </w:rPr>
        <w:t>were</w:t>
      </w:r>
      <w:r w:rsidR="006F5433" w:rsidRPr="00D55BA2">
        <w:rPr>
          <w:rFonts w:cs="Times New Roman"/>
          <w:szCs w:val="24"/>
        </w:rPr>
        <w:t xml:space="preserve"> framed as a petition to pierce Safari Connect’s</w:t>
      </w:r>
      <w:r w:rsidR="00130CD2" w:rsidRPr="00D55BA2">
        <w:rPr>
          <w:rFonts w:cs="Times New Roman"/>
          <w:szCs w:val="24"/>
        </w:rPr>
        <w:t xml:space="preserve"> </w:t>
      </w:r>
      <w:r w:rsidR="006F5433" w:rsidRPr="00D55BA2">
        <w:rPr>
          <w:rFonts w:cs="Times New Roman"/>
          <w:szCs w:val="24"/>
        </w:rPr>
        <w:t>corporate veil,</w:t>
      </w:r>
      <w:r w:rsidR="00130CD2" w:rsidRPr="00D55BA2">
        <w:rPr>
          <w:rFonts w:cs="Times New Roman"/>
          <w:szCs w:val="24"/>
        </w:rPr>
        <w:t xml:space="preserve"> the substance of the matter revolve</w:t>
      </w:r>
      <w:r w:rsidR="00386500">
        <w:rPr>
          <w:rFonts w:cs="Times New Roman"/>
          <w:szCs w:val="24"/>
        </w:rPr>
        <w:t>d</w:t>
      </w:r>
      <w:r w:rsidR="00130CD2" w:rsidRPr="00D55BA2">
        <w:rPr>
          <w:rFonts w:cs="Times New Roman"/>
          <w:szCs w:val="24"/>
        </w:rPr>
        <w:t xml:space="preserve"> around whether or not the defendant </w:t>
      </w:r>
      <w:r w:rsidR="00D77B2E" w:rsidRPr="00D55BA2">
        <w:rPr>
          <w:rFonts w:cs="Times New Roman"/>
          <w:szCs w:val="24"/>
        </w:rPr>
        <w:t xml:space="preserve">can be held liable for the principal debt owed by Safari Connect or any claim of whatsoever nature in light of the novation agreement. </w:t>
      </w:r>
    </w:p>
    <w:p w14:paraId="7DF40BB7" w14:textId="3D243B99" w:rsidR="00D77B2E" w:rsidRPr="00D55BA2" w:rsidRDefault="00386500" w:rsidP="00E17F53">
      <w:pPr>
        <w:pStyle w:val="ListParagraph"/>
        <w:numPr>
          <w:ilvl w:val="0"/>
          <w:numId w:val="5"/>
        </w:numPr>
        <w:ind w:left="567" w:hanging="567"/>
        <w:rPr>
          <w:rFonts w:cs="Times New Roman"/>
          <w:szCs w:val="24"/>
        </w:rPr>
      </w:pPr>
      <w:r>
        <w:rPr>
          <w:rFonts w:cs="Times New Roman"/>
          <w:szCs w:val="24"/>
        </w:rPr>
        <w:lastRenderedPageBreak/>
        <w:t>On joinder, t</w:t>
      </w:r>
      <w:r w:rsidRPr="00D55BA2">
        <w:rPr>
          <w:rFonts w:cs="Times New Roman"/>
          <w:szCs w:val="24"/>
        </w:rPr>
        <w:t xml:space="preserve">he </w:t>
      </w:r>
      <w:r w:rsidR="00D77B2E" w:rsidRPr="00D55BA2">
        <w:rPr>
          <w:rFonts w:cs="Times New Roman"/>
          <w:szCs w:val="24"/>
        </w:rPr>
        <w:t xml:space="preserve">defendant </w:t>
      </w:r>
      <w:r w:rsidR="007D28BB">
        <w:rPr>
          <w:rFonts w:cs="Times New Roman"/>
          <w:szCs w:val="24"/>
        </w:rPr>
        <w:t xml:space="preserve">submitted </w:t>
      </w:r>
      <w:r w:rsidR="00D77B2E" w:rsidRPr="00D55BA2">
        <w:rPr>
          <w:rFonts w:cs="Times New Roman"/>
          <w:szCs w:val="24"/>
        </w:rPr>
        <w:t xml:space="preserve">that there </w:t>
      </w:r>
      <w:r w:rsidR="00D63E9C" w:rsidRPr="00D55BA2">
        <w:rPr>
          <w:rFonts w:cs="Times New Roman"/>
          <w:szCs w:val="24"/>
        </w:rPr>
        <w:t>ha</w:t>
      </w:r>
      <w:r w:rsidR="00D63E9C">
        <w:rPr>
          <w:rFonts w:cs="Times New Roman"/>
          <w:szCs w:val="24"/>
        </w:rPr>
        <w:t>d</w:t>
      </w:r>
      <w:r w:rsidR="00D63E9C" w:rsidRPr="00D55BA2">
        <w:rPr>
          <w:rFonts w:cs="Times New Roman"/>
          <w:szCs w:val="24"/>
        </w:rPr>
        <w:t xml:space="preserve"> </w:t>
      </w:r>
      <w:r w:rsidR="00D77B2E" w:rsidRPr="00D55BA2">
        <w:rPr>
          <w:rFonts w:cs="Times New Roman"/>
          <w:szCs w:val="24"/>
        </w:rPr>
        <w:t xml:space="preserve">been </w:t>
      </w:r>
      <w:r w:rsidR="00252EC6">
        <w:rPr>
          <w:rFonts w:cs="Times New Roman"/>
          <w:szCs w:val="24"/>
        </w:rPr>
        <w:t xml:space="preserve">a </w:t>
      </w:r>
      <w:r w:rsidR="00D77B2E" w:rsidRPr="00D55BA2">
        <w:rPr>
          <w:rFonts w:cs="Times New Roman"/>
          <w:szCs w:val="24"/>
        </w:rPr>
        <w:t>material non-joinder of Safari Connect. Since these proceedings s</w:t>
      </w:r>
      <w:r w:rsidR="007F782D">
        <w:rPr>
          <w:rFonts w:cs="Times New Roman"/>
          <w:szCs w:val="24"/>
        </w:rPr>
        <w:t>ought</w:t>
      </w:r>
      <w:r w:rsidR="00D77B2E" w:rsidRPr="00D55BA2">
        <w:rPr>
          <w:rFonts w:cs="Times New Roman"/>
          <w:szCs w:val="24"/>
        </w:rPr>
        <w:t xml:space="preserve"> to pierce Safari Connect’s corporate veil, Safari Connect not only ha</w:t>
      </w:r>
      <w:r w:rsidR="007F782D">
        <w:rPr>
          <w:rFonts w:cs="Times New Roman"/>
          <w:szCs w:val="24"/>
        </w:rPr>
        <w:t>d</w:t>
      </w:r>
      <w:r w:rsidR="00D77B2E" w:rsidRPr="00D55BA2">
        <w:rPr>
          <w:rFonts w:cs="Times New Roman"/>
          <w:szCs w:val="24"/>
        </w:rPr>
        <w:t xml:space="preserve"> a direct and substantial interest in this matter</w:t>
      </w:r>
      <w:r w:rsidR="00590365">
        <w:rPr>
          <w:rFonts w:cs="Times New Roman"/>
          <w:szCs w:val="24"/>
        </w:rPr>
        <w:t>,</w:t>
      </w:r>
      <w:r w:rsidR="00D77B2E" w:rsidRPr="00D55BA2">
        <w:rPr>
          <w:rFonts w:cs="Times New Roman"/>
          <w:szCs w:val="24"/>
        </w:rPr>
        <w:t xml:space="preserve"> but it </w:t>
      </w:r>
      <w:r w:rsidR="007F782D">
        <w:rPr>
          <w:rFonts w:cs="Times New Roman"/>
          <w:szCs w:val="24"/>
        </w:rPr>
        <w:t xml:space="preserve">was </w:t>
      </w:r>
      <w:r w:rsidR="00D77B2E" w:rsidRPr="00D55BA2">
        <w:rPr>
          <w:rFonts w:cs="Times New Roman"/>
          <w:szCs w:val="24"/>
        </w:rPr>
        <w:t>also the subject matter of the current proceedings. An enquiry into the question before the court would require an enquiry into whether or not Safari Connect ha</w:t>
      </w:r>
      <w:r w:rsidR="007F782D">
        <w:rPr>
          <w:rFonts w:cs="Times New Roman"/>
          <w:szCs w:val="24"/>
        </w:rPr>
        <w:t>d</w:t>
      </w:r>
      <w:r w:rsidR="00D77B2E" w:rsidRPr="00D55BA2">
        <w:rPr>
          <w:rFonts w:cs="Times New Roman"/>
          <w:szCs w:val="24"/>
        </w:rPr>
        <w:t>, through its directors and shareholders, been run in a manner that warrants</w:t>
      </w:r>
      <w:r w:rsidR="007F782D">
        <w:rPr>
          <w:rFonts w:cs="Times New Roman"/>
          <w:szCs w:val="24"/>
        </w:rPr>
        <w:t xml:space="preserve"> the </w:t>
      </w:r>
      <w:r w:rsidR="00D77B2E" w:rsidRPr="00D55BA2">
        <w:rPr>
          <w:rFonts w:cs="Times New Roman"/>
          <w:szCs w:val="24"/>
        </w:rPr>
        <w:t>piercing of the corporate veil.</w:t>
      </w:r>
    </w:p>
    <w:p w14:paraId="10489BC0" w14:textId="35156DC9" w:rsidR="00D77B2E" w:rsidRDefault="00386500" w:rsidP="00D55BA2">
      <w:pPr>
        <w:pStyle w:val="ListParagraph"/>
        <w:numPr>
          <w:ilvl w:val="0"/>
          <w:numId w:val="5"/>
        </w:numPr>
        <w:tabs>
          <w:tab w:val="left" w:pos="709"/>
        </w:tabs>
        <w:ind w:left="567" w:hanging="567"/>
        <w:rPr>
          <w:rFonts w:cs="Times New Roman"/>
          <w:szCs w:val="24"/>
        </w:rPr>
      </w:pPr>
      <w:r>
        <w:rPr>
          <w:rFonts w:cs="Times New Roman"/>
          <w:szCs w:val="24"/>
        </w:rPr>
        <w:t>On the cause of action and the question of liability, t</w:t>
      </w:r>
      <w:r w:rsidR="00D77B2E" w:rsidRPr="00D55BA2">
        <w:rPr>
          <w:rFonts w:cs="Times New Roman"/>
          <w:szCs w:val="24"/>
        </w:rPr>
        <w:t>he defendant contend</w:t>
      </w:r>
      <w:r w:rsidR="00D63E9C">
        <w:rPr>
          <w:rFonts w:cs="Times New Roman"/>
          <w:szCs w:val="24"/>
        </w:rPr>
        <w:t>ed</w:t>
      </w:r>
      <w:r w:rsidR="00D77B2E" w:rsidRPr="00D55BA2">
        <w:rPr>
          <w:rFonts w:cs="Times New Roman"/>
          <w:szCs w:val="24"/>
        </w:rPr>
        <w:t xml:space="preserve"> that the summons </w:t>
      </w:r>
      <w:r w:rsidR="003E655B" w:rsidRPr="00D55BA2">
        <w:rPr>
          <w:rFonts w:cs="Times New Roman"/>
          <w:szCs w:val="24"/>
        </w:rPr>
        <w:t>d</w:t>
      </w:r>
      <w:r w:rsidR="007F782D">
        <w:rPr>
          <w:rFonts w:cs="Times New Roman"/>
          <w:szCs w:val="24"/>
        </w:rPr>
        <w:t>id</w:t>
      </w:r>
      <w:r w:rsidR="00D77B2E" w:rsidRPr="00D55BA2">
        <w:rPr>
          <w:rFonts w:cs="Times New Roman"/>
          <w:szCs w:val="24"/>
        </w:rPr>
        <w:t xml:space="preserve"> not disclose a cause of action in that nothing ha</w:t>
      </w:r>
      <w:r w:rsidR="005A190F">
        <w:rPr>
          <w:rFonts w:cs="Times New Roman"/>
          <w:szCs w:val="24"/>
        </w:rPr>
        <w:t>d</w:t>
      </w:r>
      <w:r w:rsidR="00D77B2E" w:rsidRPr="00D55BA2">
        <w:rPr>
          <w:rFonts w:cs="Times New Roman"/>
          <w:szCs w:val="24"/>
        </w:rPr>
        <w:t xml:space="preserve"> been alleged in the plaintiff’s declaration meeting the legally established elements of piercing the corporate veil. The defendant contend</w:t>
      </w:r>
      <w:r w:rsidR="00D63E9C">
        <w:rPr>
          <w:rFonts w:cs="Times New Roman"/>
          <w:szCs w:val="24"/>
        </w:rPr>
        <w:t>ed</w:t>
      </w:r>
      <w:r w:rsidR="00D77B2E" w:rsidRPr="00D55BA2">
        <w:rPr>
          <w:rFonts w:cs="Times New Roman"/>
          <w:szCs w:val="24"/>
        </w:rPr>
        <w:t xml:space="preserve">, further, that it </w:t>
      </w:r>
      <w:r w:rsidR="007F782D">
        <w:rPr>
          <w:rFonts w:cs="Times New Roman"/>
          <w:szCs w:val="24"/>
        </w:rPr>
        <w:t xml:space="preserve">was </w:t>
      </w:r>
      <w:r w:rsidR="00D77B2E" w:rsidRPr="00D55BA2">
        <w:rPr>
          <w:rFonts w:cs="Times New Roman"/>
          <w:szCs w:val="24"/>
        </w:rPr>
        <w:t>not liable to pay the de</w:t>
      </w:r>
      <w:r w:rsidR="008500CF">
        <w:rPr>
          <w:rFonts w:cs="Times New Roman"/>
          <w:szCs w:val="24"/>
        </w:rPr>
        <w:t>b</w:t>
      </w:r>
      <w:r w:rsidR="00D77B2E" w:rsidRPr="00D55BA2">
        <w:rPr>
          <w:rFonts w:cs="Times New Roman"/>
          <w:szCs w:val="24"/>
        </w:rPr>
        <w:t>t because</w:t>
      </w:r>
      <w:r w:rsidR="00590365">
        <w:rPr>
          <w:rFonts w:cs="Times New Roman"/>
          <w:szCs w:val="24"/>
        </w:rPr>
        <w:t>,</w:t>
      </w:r>
      <w:r w:rsidR="00D77B2E" w:rsidRPr="00D55BA2">
        <w:rPr>
          <w:rFonts w:cs="Times New Roman"/>
          <w:szCs w:val="24"/>
        </w:rPr>
        <w:t xml:space="preserve"> </w:t>
      </w:r>
      <w:r w:rsidR="00D55BA2" w:rsidRPr="00D55BA2">
        <w:rPr>
          <w:rFonts w:cs="Times New Roman"/>
          <w:szCs w:val="24"/>
        </w:rPr>
        <w:t xml:space="preserve">firstly, it </w:t>
      </w:r>
      <w:r w:rsidR="007F782D">
        <w:rPr>
          <w:rFonts w:cs="Times New Roman"/>
          <w:szCs w:val="24"/>
        </w:rPr>
        <w:t>was</w:t>
      </w:r>
      <w:r w:rsidR="00D55BA2" w:rsidRPr="00D55BA2">
        <w:rPr>
          <w:rFonts w:cs="Times New Roman"/>
          <w:szCs w:val="24"/>
        </w:rPr>
        <w:t xml:space="preserve"> neither the director nor shareholder of Safari Connect. It </w:t>
      </w:r>
      <w:r w:rsidR="007F782D">
        <w:rPr>
          <w:rFonts w:cs="Times New Roman"/>
          <w:szCs w:val="24"/>
        </w:rPr>
        <w:t>was</w:t>
      </w:r>
      <w:r w:rsidR="00D55BA2" w:rsidRPr="00D55BA2">
        <w:rPr>
          <w:rFonts w:cs="Times New Roman"/>
          <w:szCs w:val="24"/>
        </w:rPr>
        <w:t xml:space="preserve"> not the entity behind Safari Connect’s corporate veil. It </w:t>
      </w:r>
      <w:r w:rsidR="00477A6A">
        <w:rPr>
          <w:rFonts w:cs="Times New Roman"/>
          <w:szCs w:val="24"/>
        </w:rPr>
        <w:t>contended</w:t>
      </w:r>
      <w:r w:rsidR="00D55BA2" w:rsidRPr="00D55BA2">
        <w:rPr>
          <w:rFonts w:cs="Times New Roman"/>
          <w:szCs w:val="24"/>
        </w:rPr>
        <w:t xml:space="preserve"> that it </w:t>
      </w:r>
      <w:r w:rsidR="007F782D">
        <w:rPr>
          <w:rFonts w:cs="Times New Roman"/>
          <w:szCs w:val="24"/>
        </w:rPr>
        <w:t>was</w:t>
      </w:r>
      <w:r w:rsidR="00D55BA2" w:rsidRPr="00D55BA2">
        <w:rPr>
          <w:rFonts w:cs="Times New Roman"/>
          <w:szCs w:val="24"/>
        </w:rPr>
        <w:t xml:space="preserve"> not responsible for the operations of and the running of Safari Connect. </w:t>
      </w:r>
      <w:r w:rsidR="008500CF">
        <w:rPr>
          <w:rFonts w:cs="Times New Roman"/>
          <w:szCs w:val="24"/>
        </w:rPr>
        <w:t>Secondly, it was released from liability as set out in the novation agreement.</w:t>
      </w:r>
    </w:p>
    <w:p w14:paraId="72B21A66" w14:textId="6880F7EC" w:rsidR="00F029D2" w:rsidRPr="00C92D52" w:rsidRDefault="00492CEA" w:rsidP="00C92D52">
      <w:pPr>
        <w:pStyle w:val="ListParagraph"/>
        <w:numPr>
          <w:ilvl w:val="0"/>
          <w:numId w:val="5"/>
        </w:numPr>
        <w:rPr>
          <w:rFonts w:cs="Times New Roman"/>
          <w:szCs w:val="24"/>
        </w:rPr>
      </w:pPr>
      <w:r>
        <w:rPr>
          <w:rFonts w:cs="Times New Roman"/>
          <w:szCs w:val="24"/>
        </w:rPr>
        <w:t>Relating to the question of whether or not the arbitral award must have been registered first</w:t>
      </w:r>
      <w:r w:rsidR="002F71E2">
        <w:rPr>
          <w:rFonts w:cs="Times New Roman"/>
          <w:szCs w:val="24"/>
        </w:rPr>
        <w:t xml:space="preserve">, Mr </w:t>
      </w:r>
      <w:r w:rsidR="002F71E2" w:rsidRPr="002F71E2">
        <w:rPr>
          <w:rFonts w:cs="Times New Roman"/>
          <w:i/>
          <w:iCs/>
          <w:szCs w:val="24"/>
        </w:rPr>
        <w:t>Tivadar</w:t>
      </w:r>
      <w:r w:rsidR="002F71E2">
        <w:rPr>
          <w:rFonts w:cs="Times New Roman"/>
          <w:szCs w:val="24"/>
        </w:rPr>
        <w:t xml:space="preserve">, </w:t>
      </w:r>
      <w:r w:rsidR="00C92D52">
        <w:rPr>
          <w:rFonts w:cs="Times New Roman"/>
          <w:szCs w:val="24"/>
        </w:rPr>
        <w:t xml:space="preserve">appearing </w:t>
      </w:r>
      <w:r w:rsidR="00F029D2">
        <w:rPr>
          <w:rFonts w:cs="Times New Roman"/>
          <w:szCs w:val="24"/>
        </w:rPr>
        <w:t xml:space="preserve">on behalf of the defendant, </w:t>
      </w:r>
      <w:r>
        <w:rPr>
          <w:rFonts w:cs="Times New Roman"/>
          <w:szCs w:val="24"/>
        </w:rPr>
        <w:t>contended</w:t>
      </w:r>
      <w:r w:rsidR="002F71E2">
        <w:rPr>
          <w:rFonts w:cs="Times New Roman"/>
          <w:szCs w:val="24"/>
        </w:rPr>
        <w:t xml:space="preserve"> </w:t>
      </w:r>
      <w:r w:rsidR="00C92D52">
        <w:rPr>
          <w:rFonts w:cs="Times New Roman"/>
          <w:szCs w:val="24"/>
        </w:rPr>
        <w:t xml:space="preserve">that </w:t>
      </w:r>
      <w:r w:rsidR="00F029D2">
        <w:rPr>
          <w:rFonts w:cs="Times New Roman"/>
          <w:szCs w:val="24"/>
        </w:rPr>
        <w:t xml:space="preserve">the plaintiff was seeking execution of an arbitral award that had not </w:t>
      </w:r>
      <w:r>
        <w:rPr>
          <w:rFonts w:cs="Times New Roman"/>
          <w:szCs w:val="24"/>
        </w:rPr>
        <w:t xml:space="preserve">only </w:t>
      </w:r>
      <w:r w:rsidR="00F029D2">
        <w:rPr>
          <w:rFonts w:cs="Times New Roman"/>
          <w:szCs w:val="24"/>
        </w:rPr>
        <w:t xml:space="preserve">been registered under Article 35 of the Model Law </w:t>
      </w:r>
      <w:r>
        <w:rPr>
          <w:rFonts w:cs="Times New Roman"/>
          <w:szCs w:val="24"/>
        </w:rPr>
        <w:t xml:space="preserve">but also did </w:t>
      </w:r>
      <w:r w:rsidR="00F029D2">
        <w:rPr>
          <w:rFonts w:cs="Times New Roman"/>
          <w:szCs w:val="24"/>
        </w:rPr>
        <w:t>not sound against the defendant</w:t>
      </w:r>
      <w:r w:rsidR="007226BD">
        <w:rPr>
          <w:rFonts w:cs="Times New Roman"/>
          <w:szCs w:val="24"/>
        </w:rPr>
        <w:t xml:space="preserve">. </w:t>
      </w:r>
      <w:r>
        <w:rPr>
          <w:rFonts w:cs="Times New Roman"/>
          <w:szCs w:val="24"/>
        </w:rPr>
        <w:t>This, he argued, was</w:t>
      </w:r>
      <w:r w:rsidR="00C92D52">
        <w:rPr>
          <w:rFonts w:cs="Times New Roman"/>
          <w:szCs w:val="24"/>
        </w:rPr>
        <w:t xml:space="preserve"> contrary to the legal position that an award is binding on the parties laid out in </w:t>
      </w:r>
      <w:r w:rsidR="00F029D2">
        <w:rPr>
          <w:rFonts w:cs="Times New Roman"/>
          <w:i/>
          <w:iCs/>
          <w:szCs w:val="24"/>
        </w:rPr>
        <w:t xml:space="preserve">Gwanda Rural District Council </w:t>
      </w:r>
      <w:r w:rsidR="00F029D2">
        <w:rPr>
          <w:rFonts w:cs="Times New Roman"/>
          <w:szCs w:val="24"/>
        </w:rPr>
        <w:t xml:space="preserve">v </w:t>
      </w:r>
      <w:r w:rsidR="00F029D2">
        <w:rPr>
          <w:rFonts w:cs="Times New Roman"/>
          <w:i/>
          <w:iCs/>
          <w:szCs w:val="24"/>
        </w:rPr>
        <w:t>Botha</w:t>
      </w:r>
      <w:r w:rsidR="00F029D2">
        <w:rPr>
          <w:rFonts w:cs="Times New Roman"/>
          <w:szCs w:val="24"/>
        </w:rPr>
        <w:t xml:space="preserve"> S-174-20 and </w:t>
      </w:r>
      <w:r w:rsidR="00F029D2">
        <w:rPr>
          <w:rFonts w:cs="Times New Roman"/>
          <w:i/>
          <w:iCs/>
          <w:szCs w:val="24"/>
        </w:rPr>
        <w:t xml:space="preserve">Dudka &amp; Ors </w:t>
      </w:r>
      <w:r w:rsidR="00F029D2">
        <w:rPr>
          <w:rFonts w:cs="Times New Roman"/>
          <w:szCs w:val="24"/>
        </w:rPr>
        <w:t>v</w:t>
      </w:r>
      <w:r w:rsidR="00F029D2">
        <w:rPr>
          <w:rFonts w:cs="Times New Roman"/>
          <w:i/>
          <w:iCs/>
          <w:szCs w:val="24"/>
        </w:rPr>
        <w:t xml:space="preserve"> Cheni Investments</w:t>
      </w:r>
      <w:r w:rsidR="00F029D2">
        <w:rPr>
          <w:rFonts w:cs="Times New Roman"/>
          <w:szCs w:val="24"/>
        </w:rPr>
        <w:t xml:space="preserve"> 2011 (1) ZLR 1 (H). He </w:t>
      </w:r>
      <w:r w:rsidR="007D28BB">
        <w:rPr>
          <w:rFonts w:cs="Times New Roman"/>
          <w:szCs w:val="24"/>
        </w:rPr>
        <w:t xml:space="preserve">disputed as </w:t>
      </w:r>
      <w:r w:rsidR="00F029D2">
        <w:rPr>
          <w:rFonts w:cs="Times New Roman"/>
          <w:szCs w:val="24"/>
        </w:rPr>
        <w:t>incorrect th</w:t>
      </w:r>
      <w:r w:rsidR="007D28BB">
        <w:rPr>
          <w:rFonts w:cs="Times New Roman"/>
          <w:szCs w:val="24"/>
        </w:rPr>
        <w:t xml:space="preserve">at </w:t>
      </w:r>
      <w:r w:rsidR="00F029D2">
        <w:rPr>
          <w:rFonts w:cs="Times New Roman"/>
          <w:szCs w:val="24"/>
        </w:rPr>
        <w:t xml:space="preserve">Article 35 is only relevant for recognition, </w:t>
      </w:r>
      <w:r>
        <w:rPr>
          <w:rFonts w:cs="Times New Roman"/>
          <w:szCs w:val="24"/>
        </w:rPr>
        <w:t xml:space="preserve">submitting that </w:t>
      </w:r>
      <w:r w:rsidR="00F029D2">
        <w:rPr>
          <w:rFonts w:cs="Times New Roman"/>
          <w:szCs w:val="24"/>
        </w:rPr>
        <w:t>it is also relevant for enforcement</w:t>
      </w:r>
      <w:r w:rsidR="00C92D52">
        <w:rPr>
          <w:rFonts w:cs="Times New Roman"/>
          <w:szCs w:val="24"/>
        </w:rPr>
        <w:t xml:space="preserve">. He submitted, further, that the plaintiff accepted that it ought to have made </w:t>
      </w:r>
      <w:r w:rsidR="00F029D2" w:rsidRPr="00C92D52">
        <w:rPr>
          <w:rFonts w:cs="Times New Roman"/>
          <w:szCs w:val="24"/>
        </w:rPr>
        <w:t>an Article 35 application</w:t>
      </w:r>
      <w:r w:rsidR="00C92D52">
        <w:rPr>
          <w:rFonts w:cs="Times New Roman"/>
          <w:szCs w:val="24"/>
        </w:rPr>
        <w:t xml:space="preserve"> if it intended to enforce the award against Safari Connect, </w:t>
      </w:r>
      <w:r w:rsidR="00363A66">
        <w:rPr>
          <w:rFonts w:cs="Times New Roman"/>
          <w:szCs w:val="24"/>
        </w:rPr>
        <w:t xml:space="preserve">so </w:t>
      </w:r>
      <w:r w:rsidR="00C92D52">
        <w:rPr>
          <w:rFonts w:cs="Times New Roman"/>
          <w:szCs w:val="24"/>
        </w:rPr>
        <w:t xml:space="preserve">it </w:t>
      </w:r>
      <w:r w:rsidR="00F029D2" w:rsidRPr="00C92D52">
        <w:rPr>
          <w:rFonts w:cs="Times New Roman"/>
          <w:szCs w:val="24"/>
        </w:rPr>
        <w:t xml:space="preserve">could not be in a better position against a third party </w:t>
      </w:r>
      <w:r w:rsidR="00C92D52">
        <w:rPr>
          <w:rFonts w:cs="Times New Roman"/>
          <w:szCs w:val="24"/>
        </w:rPr>
        <w:t>by arguing that it was not necessary to register the award</w:t>
      </w:r>
      <w:r>
        <w:rPr>
          <w:rFonts w:cs="Times New Roman"/>
          <w:szCs w:val="24"/>
        </w:rPr>
        <w:t xml:space="preserve"> in </w:t>
      </w:r>
      <w:r w:rsidRPr="00492CEA">
        <w:rPr>
          <w:rFonts w:cs="Times New Roman"/>
          <w:i/>
          <w:iCs/>
          <w:szCs w:val="24"/>
        </w:rPr>
        <w:t>casu</w:t>
      </w:r>
      <w:r>
        <w:rPr>
          <w:rFonts w:cs="Times New Roman"/>
          <w:szCs w:val="24"/>
        </w:rPr>
        <w:t>.</w:t>
      </w:r>
      <w:r w:rsidR="00C92D52">
        <w:rPr>
          <w:rFonts w:cs="Times New Roman"/>
          <w:szCs w:val="24"/>
        </w:rPr>
        <w:t xml:space="preserve"> </w:t>
      </w:r>
      <w:r w:rsidR="00F029D2" w:rsidRPr="00C92D52">
        <w:rPr>
          <w:rFonts w:cs="Times New Roman"/>
          <w:szCs w:val="24"/>
        </w:rPr>
        <w:t xml:space="preserve"> </w:t>
      </w:r>
      <w:r w:rsidR="00363A66">
        <w:rPr>
          <w:rFonts w:cs="Times New Roman"/>
          <w:szCs w:val="24"/>
        </w:rPr>
        <w:t>He insisted that the plaintiff should have registered the arbitral award for enforcement purposes rather than adopting a roundabout way of recovering the debt</w:t>
      </w:r>
      <w:r w:rsidR="00DF6598">
        <w:rPr>
          <w:rFonts w:cs="Times New Roman"/>
          <w:szCs w:val="24"/>
        </w:rPr>
        <w:t>.</w:t>
      </w:r>
    </w:p>
    <w:p w14:paraId="1CFCED09" w14:textId="5EA3EFCC" w:rsidR="00363A66" w:rsidRDefault="00363A66" w:rsidP="001849BD">
      <w:pPr>
        <w:pStyle w:val="ListParagraph"/>
        <w:numPr>
          <w:ilvl w:val="0"/>
          <w:numId w:val="5"/>
        </w:numPr>
        <w:rPr>
          <w:rFonts w:cs="Times New Roman"/>
          <w:szCs w:val="24"/>
        </w:rPr>
      </w:pPr>
      <w:r>
        <w:rPr>
          <w:rFonts w:cs="Times New Roman"/>
          <w:szCs w:val="24"/>
        </w:rPr>
        <w:t xml:space="preserve">He argued, further, that the plaintiff never </w:t>
      </w:r>
      <w:r w:rsidR="00F029D2">
        <w:rPr>
          <w:rFonts w:cs="Times New Roman"/>
          <w:szCs w:val="24"/>
        </w:rPr>
        <w:t xml:space="preserve">pleaded that the defendant </w:t>
      </w:r>
      <w:r w:rsidR="007F782D">
        <w:rPr>
          <w:rFonts w:cs="Times New Roman"/>
          <w:szCs w:val="24"/>
        </w:rPr>
        <w:t>was</w:t>
      </w:r>
      <w:r w:rsidR="00F029D2">
        <w:rPr>
          <w:rFonts w:cs="Times New Roman"/>
          <w:szCs w:val="24"/>
        </w:rPr>
        <w:t xml:space="preserve"> the alter ego of Safari Connect</w:t>
      </w:r>
      <w:r>
        <w:rPr>
          <w:rFonts w:cs="Times New Roman"/>
          <w:szCs w:val="24"/>
        </w:rPr>
        <w:t>, neither had it pleaded fraud and a façade of incorporation in the summons</w:t>
      </w:r>
      <w:r w:rsidR="007F782D">
        <w:rPr>
          <w:rFonts w:cs="Times New Roman"/>
          <w:szCs w:val="24"/>
        </w:rPr>
        <w:t xml:space="preserve">. </w:t>
      </w:r>
      <w:r w:rsidR="007F782D">
        <w:rPr>
          <w:rFonts w:cs="Times New Roman"/>
          <w:szCs w:val="24"/>
        </w:rPr>
        <w:lastRenderedPageBreak/>
        <w:t xml:space="preserve">The court however notes that submissions to that effect were made in the plaintiff’s written and oral submissions made in this special case. </w:t>
      </w:r>
    </w:p>
    <w:p w14:paraId="23EA0FBE" w14:textId="77777777" w:rsidR="007F782D" w:rsidRDefault="00363A66" w:rsidP="007F782D">
      <w:pPr>
        <w:pStyle w:val="ListParagraph"/>
        <w:numPr>
          <w:ilvl w:val="0"/>
          <w:numId w:val="5"/>
        </w:numPr>
        <w:rPr>
          <w:rFonts w:cs="Times New Roman"/>
          <w:szCs w:val="24"/>
        </w:rPr>
      </w:pPr>
      <w:r>
        <w:rPr>
          <w:rFonts w:cs="Times New Roman"/>
          <w:szCs w:val="24"/>
        </w:rPr>
        <w:t xml:space="preserve"> </w:t>
      </w:r>
      <w:r w:rsidR="00F029D2">
        <w:rPr>
          <w:rFonts w:cs="Times New Roman"/>
          <w:szCs w:val="24"/>
        </w:rPr>
        <w:t xml:space="preserve">On the single economic entity argument, it was counsel’s </w:t>
      </w:r>
      <w:r w:rsidR="00CF13E3">
        <w:rPr>
          <w:rFonts w:cs="Times New Roman"/>
          <w:szCs w:val="24"/>
        </w:rPr>
        <w:t>submission</w:t>
      </w:r>
      <w:r w:rsidR="00F029D2">
        <w:rPr>
          <w:rFonts w:cs="Times New Roman"/>
          <w:szCs w:val="24"/>
        </w:rPr>
        <w:t xml:space="preserve"> that</w:t>
      </w:r>
      <w:r>
        <w:rPr>
          <w:rFonts w:cs="Times New Roman"/>
          <w:szCs w:val="24"/>
        </w:rPr>
        <w:t xml:space="preserve"> the plaintiff had not established </w:t>
      </w:r>
      <w:r w:rsidR="00492CEA">
        <w:rPr>
          <w:rFonts w:cs="Times New Roman"/>
          <w:szCs w:val="24"/>
        </w:rPr>
        <w:t xml:space="preserve">the requisite </w:t>
      </w:r>
      <w:r w:rsidR="00F029D2">
        <w:rPr>
          <w:rFonts w:cs="Times New Roman"/>
          <w:szCs w:val="24"/>
        </w:rPr>
        <w:t>one hundred per cent shareholding</w:t>
      </w:r>
      <w:r w:rsidR="00CF13E3">
        <w:rPr>
          <w:rFonts w:cs="Times New Roman"/>
          <w:szCs w:val="24"/>
        </w:rPr>
        <w:t xml:space="preserve">. </w:t>
      </w:r>
      <w:r w:rsidR="005A190F">
        <w:rPr>
          <w:rFonts w:cs="Times New Roman"/>
          <w:szCs w:val="24"/>
        </w:rPr>
        <w:t>Further, while the two entities had one common director</w:t>
      </w:r>
      <w:r w:rsidR="002F71E2">
        <w:rPr>
          <w:rFonts w:cs="Times New Roman"/>
          <w:szCs w:val="24"/>
        </w:rPr>
        <w:t>,</w:t>
      </w:r>
      <w:r w:rsidR="005A190F">
        <w:rPr>
          <w:rFonts w:cs="Times New Roman"/>
          <w:szCs w:val="24"/>
        </w:rPr>
        <w:t xml:space="preserve"> Sheona Anders, there was no assertion that</w:t>
      </w:r>
      <w:r w:rsidR="002F71E2">
        <w:rPr>
          <w:rFonts w:cs="Times New Roman"/>
          <w:szCs w:val="24"/>
        </w:rPr>
        <w:t xml:space="preserve"> </w:t>
      </w:r>
      <w:r w:rsidR="001849BD">
        <w:rPr>
          <w:rFonts w:cs="Times New Roman"/>
          <w:szCs w:val="24"/>
        </w:rPr>
        <w:t xml:space="preserve">Safari Connect’s directors were the same as the defendant’s directors. </w:t>
      </w:r>
      <w:r w:rsidR="00F029D2" w:rsidRPr="001849BD">
        <w:rPr>
          <w:rFonts w:cs="Times New Roman"/>
          <w:szCs w:val="24"/>
        </w:rPr>
        <w:t>The argument that the defendant’s debt had been novated to Safari Connect for no consideration did not have any basis because there was a business arrangement between the parties where Safari Connect would</w:t>
      </w:r>
      <w:r w:rsidR="002F71E2">
        <w:rPr>
          <w:rFonts w:cs="Times New Roman"/>
          <w:szCs w:val="24"/>
        </w:rPr>
        <w:t xml:space="preserve"> market </w:t>
      </w:r>
      <w:r w:rsidR="00F029D2" w:rsidRPr="001849BD">
        <w:rPr>
          <w:rFonts w:cs="Times New Roman"/>
          <w:szCs w:val="24"/>
        </w:rPr>
        <w:t xml:space="preserve">the camp and get its payment therefrom. In any event, the debt was also assigned to the plaintiff by Vantage for no consideration, so the argument insinuating something untoward to have happened </w:t>
      </w:r>
      <w:r>
        <w:rPr>
          <w:rFonts w:cs="Times New Roman"/>
          <w:szCs w:val="24"/>
        </w:rPr>
        <w:t>would apply to both parties</w:t>
      </w:r>
      <w:r w:rsidR="00F029D2" w:rsidRPr="001849BD">
        <w:rPr>
          <w:rFonts w:cs="Times New Roman"/>
          <w:szCs w:val="24"/>
        </w:rPr>
        <w:t xml:space="preserve">. </w:t>
      </w:r>
      <w:r w:rsidR="00385806">
        <w:rPr>
          <w:rFonts w:cs="Times New Roman"/>
          <w:szCs w:val="24"/>
        </w:rPr>
        <w:t xml:space="preserve">Finally, Mr </w:t>
      </w:r>
      <w:r w:rsidR="00385806" w:rsidRPr="00385806">
        <w:rPr>
          <w:rFonts w:cs="Times New Roman"/>
          <w:i/>
          <w:iCs/>
          <w:szCs w:val="24"/>
        </w:rPr>
        <w:t xml:space="preserve">Tivadar </w:t>
      </w:r>
      <w:r w:rsidR="00385806">
        <w:rPr>
          <w:rFonts w:cs="Times New Roman"/>
          <w:szCs w:val="24"/>
        </w:rPr>
        <w:t xml:space="preserve">submitted that Safari Connect’s insolvency did not bar the plaintiff from executing a judgment against it. </w:t>
      </w:r>
    </w:p>
    <w:p w14:paraId="2FFEBBED" w14:textId="77777777" w:rsidR="007226BD" w:rsidRPr="007226BD" w:rsidRDefault="008233D2" w:rsidP="007226BD">
      <w:pPr>
        <w:pStyle w:val="ListParagraph"/>
        <w:numPr>
          <w:ilvl w:val="0"/>
          <w:numId w:val="5"/>
        </w:numPr>
        <w:rPr>
          <w:rFonts w:cs="Times New Roman"/>
          <w:szCs w:val="24"/>
        </w:rPr>
      </w:pPr>
      <w:r>
        <w:rPr>
          <w:rFonts w:cs="Times New Roman"/>
          <w:szCs w:val="24"/>
        </w:rPr>
        <w:t>For completeness, b</w:t>
      </w:r>
      <w:r w:rsidR="007F782D" w:rsidRPr="007F782D">
        <w:rPr>
          <w:rFonts w:cs="Times New Roman"/>
          <w:szCs w:val="24"/>
        </w:rPr>
        <w:t xml:space="preserve">efore I turn to consider the issues for determination, I pause momentarily to </w:t>
      </w:r>
      <w:r w:rsidR="007F782D">
        <w:t xml:space="preserve">relate to the question of whether or not the arbitral award should have been registered first which exercised my mind and which I raised with the parties at the hearing of this matter. </w:t>
      </w:r>
      <w:r w:rsidR="007226BD">
        <w:t xml:space="preserve"> </w:t>
      </w:r>
    </w:p>
    <w:p w14:paraId="1504ADB6" w14:textId="4B8F95FE" w:rsidR="007F782D" w:rsidRPr="007226BD" w:rsidRDefault="007F782D" w:rsidP="007226BD">
      <w:pPr>
        <w:pStyle w:val="ListParagraph"/>
        <w:numPr>
          <w:ilvl w:val="0"/>
          <w:numId w:val="5"/>
        </w:numPr>
        <w:rPr>
          <w:rFonts w:cs="Times New Roman"/>
          <w:szCs w:val="24"/>
        </w:rPr>
      </w:pPr>
      <w:r w:rsidRPr="007226BD">
        <w:rPr>
          <w:lang w:val="en-ZW"/>
        </w:rPr>
        <w:t xml:space="preserve">The view that I took after considering the written and oral submissions is </w:t>
      </w:r>
      <w:r w:rsidR="008233D2">
        <w:t>that the question for determination is whether or not the plaintiff has proved a liquidated debt and whether the defendant is liable.</w:t>
      </w:r>
      <w:r w:rsidR="007226BD">
        <w:t xml:space="preserve"> </w:t>
      </w:r>
      <w:r w:rsidR="0087140F">
        <w:t xml:space="preserve">On a careful analysis of the matter, </w:t>
      </w:r>
      <w:r>
        <w:t xml:space="preserve">I formed an opinion that </w:t>
      </w:r>
      <w:r w:rsidR="0087140F">
        <w:t xml:space="preserve">the </w:t>
      </w:r>
      <w:r>
        <w:t xml:space="preserve">source of the debt </w:t>
      </w:r>
      <w:r w:rsidR="0087140F">
        <w:t xml:space="preserve">is a loan transaction, the subsequent novation and the subsequent arbitral award. Understanding </w:t>
      </w:r>
      <w:r>
        <w:t xml:space="preserve">the claim </w:t>
      </w:r>
      <w:r w:rsidR="0087140F">
        <w:t>in</w:t>
      </w:r>
      <w:r>
        <w:t xml:space="preserve"> that context, </w:t>
      </w:r>
      <w:r w:rsidR="0087140F">
        <w:t xml:space="preserve">I concluded that </w:t>
      </w:r>
      <w:r>
        <w:t>there is nothing barring the plaintiff from</w:t>
      </w:r>
      <w:r w:rsidR="0087140F">
        <w:t xml:space="preserve"> relying on an unregistered arbitral award to prove the liquidated debt. </w:t>
      </w:r>
    </w:p>
    <w:p w14:paraId="5DD81437" w14:textId="612799C8" w:rsidR="00F840E0" w:rsidRPr="00781D2E" w:rsidRDefault="00F840E0" w:rsidP="00BE75D0">
      <w:pPr>
        <w:pStyle w:val="ListParagraph"/>
        <w:numPr>
          <w:ilvl w:val="0"/>
          <w:numId w:val="5"/>
        </w:numPr>
        <w:ind w:left="567" w:hanging="567"/>
        <w:rPr>
          <w:rFonts w:cs="Times New Roman"/>
          <w:b/>
          <w:bCs/>
          <w:u w:val="single"/>
        </w:rPr>
      </w:pPr>
      <w:r>
        <w:rPr>
          <w:rFonts w:cs="Times New Roman"/>
          <w:szCs w:val="24"/>
        </w:rPr>
        <w:t xml:space="preserve">I </w:t>
      </w:r>
      <w:r w:rsidR="00C377DB">
        <w:rPr>
          <w:rFonts w:cs="Times New Roman"/>
          <w:szCs w:val="24"/>
        </w:rPr>
        <w:t xml:space="preserve">now consider the issues for determination. </w:t>
      </w:r>
      <w:r w:rsidR="007E06C4">
        <w:rPr>
          <w:rFonts w:cs="Times New Roman"/>
          <w:szCs w:val="24"/>
        </w:rPr>
        <w:t xml:space="preserve"> </w:t>
      </w:r>
    </w:p>
    <w:p w14:paraId="1E4ABB9D" w14:textId="6B789177" w:rsidR="00781D2E" w:rsidRPr="00781D2E" w:rsidRDefault="00781D2E" w:rsidP="00781D2E">
      <w:pPr>
        <w:rPr>
          <w:rFonts w:cs="Times New Roman"/>
          <w:b/>
          <w:bCs/>
          <w:szCs w:val="24"/>
          <w:u w:val="single"/>
        </w:rPr>
      </w:pPr>
      <w:r w:rsidRPr="00D55BA2">
        <w:rPr>
          <w:rFonts w:cs="Times New Roman"/>
          <w:b/>
          <w:bCs/>
          <w:szCs w:val="24"/>
          <w:u w:val="single"/>
        </w:rPr>
        <w:t>WHETHER THIS COURT HAS JURISDICTION TO DETERMINE THE MATTER</w:t>
      </w:r>
    </w:p>
    <w:p w14:paraId="1B3526DD" w14:textId="4A4BC521" w:rsidR="00DA6760" w:rsidRDefault="00DA6760" w:rsidP="00DA6760">
      <w:pPr>
        <w:pStyle w:val="ListParagraph"/>
        <w:numPr>
          <w:ilvl w:val="0"/>
          <w:numId w:val="5"/>
        </w:numPr>
        <w:ind w:left="426"/>
        <w:rPr>
          <w:rFonts w:cs="Times New Roman"/>
          <w:szCs w:val="24"/>
        </w:rPr>
      </w:pPr>
      <w:r>
        <w:rPr>
          <w:rFonts w:cs="Times New Roman"/>
          <w:szCs w:val="24"/>
        </w:rPr>
        <w:t>Section 13 of the High Court Act clothe</w:t>
      </w:r>
      <w:r w:rsidR="00DD19DB">
        <w:rPr>
          <w:rFonts w:cs="Times New Roman"/>
          <w:szCs w:val="24"/>
        </w:rPr>
        <w:t>s</w:t>
      </w:r>
      <w:r>
        <w:rPr>
          <w:rFonts w:cs="Times New Roman"/>
          <w:szCs w:val="24"/>
        </w:rPr>
        <w:t xml:space="preserve"> the High Court with full original jurisdiction over all persons and over all </w:t>
      </w:r>
      <w:r w:rsidR="00F13195">
        <w:rPr>
          <w:rFonts w:cs="Times New Roman"/>
          <w:szCs w:val="24"/>
        </w:rPr>
        <w:t xml:space="preserve">matters </w:t>
      </w:r>
      <w:r>
        <w:rPr>
          <w:rFonts w:cs="Times New Roman"/>
          <w:szCs w:val="24"/>
        </w:rPr>
        <w:t>within Zimbab</w:t>
      </w:r>
      <w:r w:rsidR="00DD19DB">
        <w:rPr>
          <w:rFonts w:cs="Times New Roman"/>
          <w:szCs w:val="24"/>
        </w:rPr>
        <w:t>we</w:t>
      </w:r>
      <w:r w:rsidR="005262C9">
        <w:rPr>
          <w:rFonts w:cs="Times New Roman"/>
          <w:szCs w:val="24"/>
        </w:rPr>
        <w:t>,</w:t>
      </w:r>
      <w:r w:rsidR="00DD19DB">
        <w:rPr>
          <w:rFonts w:cs="Times New Roman"/>
          <w:szCs w:val="24"/>
        </w:rPr>
        <w:t xml:space="preserve"> </w:t>
      </w:r>
      <w:r>
        <w:rPr>
          <w:rFonts w:cs="Times New Roman"/>
          <w:szCs w:val="24"/>
        </w:rPr>
        <w:t xml:space="preserve">save in certain specific </w:t>
      </w:r>
      <w:r w:rsidR="00DD19DB">
        <w:rPr>
          <w:rFonts w:cs="Times New Roman"/>
          <w:szCs w:val="24"/>
        </w:rPr>
        <w:t>areas as provided by the law</w:t>
      </w:r>
      <w:r>
        <w:rPr>
          <w:rFonts w:cs="Times New Roman"/>
          <w:szCs w:val="24"/>
        </w:rPr>
        <w:t xml:space="preserve">: </w:t>
      </w:r>
      <w:r w:rsidRPr="005F245B">
        <w:rPr>
          <w:rFonts w:cs="Times New Roman"/>
          <w:i/>
          <w:iCs/>
          <w:szCs w:val="24"/>
        </w:rPr>
        <w:t xml:space="preserve">Nhari </w:t>
      </w:r>
      <w:r w:rsidRPr="005F245B">
        <w:rPr>
          <w:rFonts w:cs="Times New Roman"/>
          <w:szCs w:val="24"/>
        </w:rPr>
        <w:t>v</w:t>
      </w:r>
      <w:r w:rsidRPr="005F245B">
        <w:rPr>
          <w:rFonts w:cs="Times New Roman"/>
          <w:i/>
          <w:iCs/>
          <w:szCs w:val="24"/>
        </w:rPr>
        <w:t xml:space="preserve"> Mugabe &amp; Ors </w:t>
      </w:r>
      <w:r>
        <w:rPr>
          <w:rFonts w:cs="Times New Roman"/>
          <w:szCs w:val="24"/>
        </w:rPr>
        <w:t>2020 (2) ZLR 1062 (S) at p</w:t>
      </w:r>
      <w:r w:rsidR="005262C9">
        <w:rPr>
          <w:rFonts w:cs="Times New Roman"/>
          <w:szCs w:val="24"/>
        </w:rPr>
        <w:t xml:space="preserve"> </w:t>
      </w:r>
      <w:r>
        <w:rPr>
          <w:rFonts w:cs="Times New Roman"/>
          <w:szCs w:val="24"/>
        </w:rPr>
        <w:t xml:space="preserve">1072D. </w:t>
      </w:r>
    </w:p>
    <w:p w14:paraId="0F5E95B2" w14:textId="457F4821" w:rsidR="00DA6760" w:rsidRDefault="00DA6760" w:rsidP="0004410C">
      <w:pPr>
        <w:pStyle w:val="ListParagraph"/>
        <w:numPr>
          <w:ilvl w:val="0"/>
          <w:numId w:val="5"/>
        </w:numPr>
        <w:ind w:left="567" w:hanging="567"/>
        <w:rPr>
          <w:rFonts w:cs="Times New Roman"/>
          <w:szCs w:val="24"/>
        </w:rPr>
      </w:pPr>
      <w:bookmarkStart w:id="2" w:name="_Hlk214850151"/>
      <w:r>
        <w:rPr>
          <w:rFonts w:cs="Times New Roman"/>
          <w:szCs w:val="24"/>
        </w:rPr>
        <w:lastRenderedPageBreak/>
        <w:t xml:space="preserve">In </w:t>
      </w:r>
      <w:r w:rsidRPr="00DA6760">
        <w:rPr>
          <w:rFonts w:cs="Times New Roman"/>
          <w:i/>
          <w:iCs/>
          <w:szCs w:val="24"/>
        </w:rPr>
        <w:t xml:space="preserve">Dlamini </w:t>
      </w:r>
      <w:r w:rsidRPr="00DA6760">
        <w:rPr>
          <w:rFonts w:cs="Times New Roman"/>
          <w:szCs w:val="24"/>
        </w:rPr>
        <w:t>v</w:t>
      </w:r>
      <w:r w:rsidRPr="00DA6760">
        <w:rPr>
          <w:rFonts w:cs="Times New Roman"/>
          <w:i/>
          <w:iCs/>
          <w:szCs w:val="24"/>
        </w:rPr>
        <w:t xml:space="preserve"> Pamberi-Mandeya</w:t>
      </w:r>
      <w:r>
        <w:rPr>
          <w:rFonts w:cs="Times New Roman"/>
          <w:szCs w:val="24"/>
        </w:rPr>
        <w:t xml:space="preserve"> 2019 (1) ZLR 31 (H) at p33G</w:t>
      </w:r>
      <w:r w:rsidR="00F029D2">
        <w:rPr>
          <w:rFonts w:cs="Times New Roman"/>
          <w:szCs w:val="24"/>
        </w:rPr>
        <w:t xml:space="preserve"> </w:t>
      </w:r>
      <w:r>
        <w:rPr>
          <w:rFonts w:eastAsia="Calibri" w:cs="Times New Roman"/>
          <w:bCs/>
          <w:smallCaps/>
          <w:szCs w:val="24"/>
        </w:rPr>
        <w:t xml:space="preserve">Chitakunye J </w:t>
      </w:r>
      <w:r>
        <w:rPr>
          <w:rFonts w:cs="Times New Roman"/>
          <w:szCs w:val="24"/>
        </w:rPr>
        <w:t>(as he then was) made the following pertinent remarks on jurisdiction:</w:t>
      </w:r>
    </w:p>
    <w:bookmarkEnd w:id="2"/>
    <w:p w14:paraId="3B9F19B8" w14:textId="78E2300F" w:rsidR="00DA6760" w:rsidRPr="005A6530" w:rsidRDefault="00CA54E4" w:rsidP="00423EDF">
      <w:pPr>
        <w:spacing w:after="0" w:line="240" w:lineRule="auto"/>
        <w:ind w:left="1440"/>
        <w:rPr>
          <w:rFonts w:cs="Times New Roman"/>
          <w:szCs w:val="24"/>
        </w:rPr>
      </w:pPr>
      <w:r w:rsidRPr="005A6530">
        <w:rPr>
          <w:rFonts w:cs="Times New Roman"/>
          <w:szCs w:val="24"/>
        </w:rPr>
        <w:t>“</w:t>
      </w:r>
      <w:r w:rsidR="00DA6760" w:rsidRPr="005A6530">
        <w:rPr>
          <w:rFonts w:cs="Times New Roman"/>
          <w:szCs w:val="24"/>
        </w:rPr>
        <w:t>Jurisdiction is generally the power vested in a court of law to adjudicate upon, determine and dispose of a matter. It is trite that in order for a court to make an effective and binding decision on a case it must have both subject matter jurisdiction (the power to hear the type of case) and the personal matter jurisdiction (the power over the parties to the case)</w:t>
      </w:r>
      <w:r w:rsidRPr="005A6530">
        <w:rPr>
          <w:rFonts w:cs="Times New Roman"/>
          <w:szCs w:val="24"/>
        </w:rPr>
        <w:t>.</w:t>
      </w:r>
      <w:r w:rsidR="00CA4E81">
        <w:rPr>
          <w:rFonts w:cs="Times New Roman"/>
          <w:szCs w:val="24"/>
        </w:rPr>
        <w:t>”</w:t>
      </w:r>
    </w:p>
    <w:p w14:paraId="30A2C734" w14:textId="77777777" w:rsidR="00CA54E4" w:rsidRPr="005A6530" w:rsidRDefault="00CA54E4" w:rsidP="00423EDF">
      <w:pPr>
        <w:spacing w:after="0" w:line="240" w:lineRule="auto"/>
        <w:ind w:left="1440"/>
        <w:rPr>
          <w:rFonts w:cs="Times New Roman"/>
          <w:szCs w:val="24"/>
        </w:rPr>
      </w:pPr>
    </w:p>
    <w:p w14:paraId="7BFD937B" w14:textId="6DAFEDDD" w:rsidR="00DA6760" w:rsidRPr="00423EDF" w:rsidRDefault="00DA6760" w:rsidP="00B77032">
      <w:pPr>
        <w:spacing w:after="0"/>
        <w:ind w:left="720"/>
        <w:rPr>
          <w:rFonts w:cs="Times New Roman"/>
        </w:rPr>
      </w:pPr>
      <w:r w:rsidRPr="00423EDF">
        <w:rPr>
          <w:rFonts w:cs="Times New Roman"/>
        </w:rPr>
        <w:t xml:space="preserve">In </w:t>
      </w:r>
      <w:r w:rsidRPr="00423EDF">
        <w:rPr>
          <w:rFonts w:cs="Times New Roman"/>
          <w:i/>
        </w:rPr>
        <w:t xml:space="preserve">Katsande </w:t>
      </w:r>
      <w:r w:rsidRPr="00B77032">
        <w:rPr>
          <w:rFonts w:cs="Times New Roman"/>
          <w:iCs/>
        </w:rPr>
        <w:t>v</w:t>
      </w:r>
      <w:r w:rsidRPr="00423EDF">
        <w:rPr>
          <w:rFonts w:cs="Times New Roman"/>
          <w:i/>
        </w:rPr>
        <w:t xml:space="preserve"> Grant </w:t>
      </w:r>
      <w:r w:rsidRPr="00423EDF">
        <w:rPr>
          <w:rFonts w:cs="Times New Roman"/>
        </w:rPr>
        <w:t>2012</w:t>
      </w:r>
      <w:r w:rsidR="00642887">
        <w:rPr>
          <w:rFonts w:cs="Times New Roman"/>
        </w:rPr>
        <w:t xml:space="preserve"> </w:t>
      </w:r>
      <w:r w:rsidRPr="00423EDF">
        <w:rPr>
          <w:rFonts w:cs="Times New Roman"/>
        </w:rPr>
        <w:t>(2) ZLR</w:t>
      </w:r>
      <w:r w:rsidR="00DD56DF">
        <w:rPr>
          <w:rFonts w:cs="Times New Roman"/>
        </w:rPr>
        <w:t xml:space="preserve"> </w:t>
      </w:r>
      <w:r w:rsidRPr="00423EDF">
        <w:rPr>
          <w:rFonts w:cs="Times New Roman"/>
        </w:rPr>
        <w:t xml:space="preserve">231 (H) at 234G </w:t>
      </w:r>
      <w:r w:rsidRPr="00423EDF">
        <w:rPr>
          <w:rFonts w:eastAsia="Calibri" w:cs="Times New Roman"/>
          <w:bCs/>
          <w:smallCaps/>
        </w:rPr>
        <w:t>Zhou</w:t>
      </w:r>
      <w:r w:rsidRPr="00423EDF">
        <w:rPr>
          <w:rFonts w:cs="Times New Roman"/>
        </w:rPr>
        <w:t xml:space="preserve"> J aptly noted that:</w:t>
      </w:r>
    </w:p>
    <w:p w14:paraId="1FBE7F06" w14:textId="6E0DF14D" w:rsidR="00507E1B" w:rsidRPr="00B77032" w:rsidRDefault="00DA6760" w:rsidP="00B77032">
      <w:pPr>
        <w:spacing w:line="240" w:lineRule="auto"/>
        <w:ind w:left="1440"/>
        <w:rPr>
          <w:rFonts w:cs="Times New Roman"/>
          <w:sz w:val="22"/>
          <w:szCs w:val="20"/>
        </w:rPr>
      </w:pPr>
      <w:r w:rsidRPr="00B77032">
        <w:rPr>
          <w:rFonts w:cs="Times New Roman"/>
          <w:sz w:val="22"/>
          <w:szCs w:val="20"/>
        </w:rPr>
        <w:t xml:space="preserve">“Three common law principles underpin the exercise by a court of its jurisdictional powers generally.  These are the doctrine of effectiveness, the doctrine of submission and the </w:t>
      </w:r>
      <w:r w:rsidRPr="00B77032">
        <w:rPr>
          <w:rFonts w:cs="Times New Roman"/>
          <w:i/>
          <w:sz w:val="22"/>
          <w:szCs w:val="20"/>
        </w:rPr>
        <w:t xml:space="preserve">actor sequitur forum rei </w:t>
      </w:r>
      <w:r w:rsidRPr="00B77032">
        <w:rPr>
          <w:rFonts w:cs="Times New Roman"/>
          <w:sz w:val="22"/>
          <w:szCs w:val="20"/>
        </w:rPr>
        <w:t xml:space="preserve">rule. </w:t>
      </w:r>
      <w:r w:rsidR="00E105C8" w:rsidRPr="00B77032">
        <w:rPr>
          <w:rFonts w:cs="Times New Roman"/>
          <w:sz w:val="22"/>
          <w:szCs w:val="20"/>
        </w:rPr>
        <w:t>…”</w:t>
      </w:r>
    </w:p>
    <w:p w14:paraId="1AADE0D8" w14:textId="3DCA396F" w:rsidR="0024738A" w:rsidRDefault="00423EDF" w:rsidP="00423EDF">
      <w:pPr>
        <w:pStyle w:val="ListParagraph"/>
        <w:numPr>
          <w:ilvl w:val="0"/>
          <w:numId w:val="5"/>
        </w:numPr>
        <w:ind w:left="426"/>
        <w:rPr>
          <w:rFonts w:cs="Times New Roman"/>
          <w:szCs w:val="24"/>
        </w:rPr>
      </w:pPr>
      <w:r w:rsidRPr="00423EDF">
        <w:rPr>
          <w:rFonts w:cs="Times New Roman"/>
          <w:szCs w:val="24"/>
        </w:rPr>
        <w:t xml:space="preserve">In this case, the plaintiff’s position is that this is a claim </w:t>
      </w:r>
      <w:r w:rsidR="00642887">
        <w:rPr>
          <w:rFonts w:cs="Times New Roman"/>
          <w:szCs w:val="24"/>
        </w:rPr>
        <w:t>i</w:t>
      </w:r>
      <w:r w:rsidRPr="00423EDF">
        <w:rPr>
          <w:rFonts w:cs="Times New Roman"/>
          <w:szCs w:val="24"/>
        </w:rPr>
        <w:t xml:space="preserve">n execution of the arbitral award, not in terms of the deed of novation. At the hearing of the matter, </w:t>
      </w:r>
      <w:r w:rsidR="00840E81">
        <w:rPr>
          <w:rFonts w:cs="Times New Roman"/>
          <w:szCs w:val="24"/>
        </w:rPr>
        <w:t xml:space="preserve">as correctly observed by Mr </w:t>
      </w:r>
      <w:r w:rsidR="00840E81" w:rsidRPr="00840E81">
        <w:rPr>
          <w:rFonts w:cs="Times New Roman"/>
          <w:i/>
          <w:iCs/>
          <w:szCs w:val="24"/>
        </w:rPr>
        <w:t>Mpofu</w:t>
      </w:r>
      <w:r w:rsidR="00840E81">
        <w:rPr>
          <w:rFonts w:cs="Times New Roman"/>
          <w:szCs w:val="24"/>
        </w:rPr>
        <w:t xml:space="preserve">, </w:t>
      </w:r>
      <w:r w:rsidRPr="00423EDF">
        <w:rPr>
          <w:rFonts w:cs="Times New Roman"/>
          <w:szCs w:val="24"/>
        </w:rPr>
        <w:t xml:space="preserve">Mr </w:t>
      </w:r>
      <w:r w:rsidRPr="00423EDF">
        <w:rPr>
          <w:rFonts w:cs="Times New Roman"/>
          <w:i/>
          <w:iCs/>
          <w:szCs w:val="24"/>
        </w:rPr>
        <w:t>Tivadar</w:t>
      </w:r>
      <w:r w:rsidRPr="00423EDF">
        <w:rPr>
          <w:rFonts w:cs="Times New Roman"/>
          <w:szCs w:val="24"/>
        </w:rPr>
        <w:t xml:space="preserve"> did not seem to </w:t>
      </w:r>
      <w:r w:rsidR="00642887">
        <w:rPr>
          <w:rFonts w:cs="Times New Roman"/>
          <w:szCs w:val="24"/>
        </w:rPr>
        <w:t xml:space="preserve">strenuously </w:t>
      </w:r>
      <w:r w:rsidRPr="00423EDF">
        <w:rPr>
          <w:rFonts w:cs="Times New Roman"/>
          <w:szCs w:val="24"/>
        </w:rPr>
        <w:t xml:space="preserve">persist with the defendant’s argument </w:t>
      </w:r>
      <w:r w:rsidR="00642887">
        <w:rPr>
          <w:rFonts w:cs="Times New Roman"/>
          <w:szCs w:val="24"/>
        </w:rPr>
        <w:t xml:space="preserve">that </w:t>
      </w:r>
      <w:r w:rsidRPr="00423EDF">
        <w:rPr>
          <w:rFonts w:cs="Times New Roman"/>
          <w:szCs w:val="24"/>
        </w:rPr>
        <w:t>the claim ar</w:t>
      </w:r>
      <w:r w:rsidR="00642887">
        <w:rPr>
          <w:rFonts w:cs="Times New Roman"/>
          <w:szCs w:val="24"/>
        </w:rPr>
        <w:t xml:space="preserve">ose </w:t>
      </w:r>
      <w:r w:rsidRPr="00423EDF">
        <w:rPr>
          <w:rFonts w:cs="Times New Roman"/>
          <w:szCs w:val="24"/>
        </w:rPr>
        <w:t xml:space="preserve">out of the novation agreement. </w:t>
      </w:r>
      <w:r w:rsidR="000C4EB4" w:rsidRPr="000C4EB4">
        <w:rPr>
          <w:rFonts w:cs="Times New Roman"/>
          <w:szCs w:val="24"/>
        </w:rPr>
        <w:t xml:space="preserve">It followed, therefore, that the defendant’s reliance on the jurisdiction clause in the deed of novation did not materially advance its objection on jurisdiction, as the </w:t>
      </w:r>
      <w:r w:rsidR="000C4EB4">
        <w:rPr>
          <w:rFonts w:cs="Times New Roman"/>
          <w:szCs w:val="24"/>
        </w:rPr>
        <w:t>matter</w:t>
      </w:r>
      <w:r w:rsidR="000C4EB4" w:rsidRPr="000C4EB4">
        <w:rPr>
          <w:rFonts w:cs="Times New Roman"/>
          <w:szCs w:val="24"/>
        </w:rPr>
        <w:t xml:space="preserve"> was </w:t>
      </w:r>
      <w:r w:rsidR="000C4EB4">
        <w:rPr>
          <w:rFonts w:cs="Times New Roman"/>
          <w:szCs w:val="24"/>
        </w:rPr>
        <w:t>argued</w:t>
      </w:r>
      <w:r w:rsidR="000C4EB4" w:rsidRPr="000C4EB4">
        <w:rPr>
          <w:rFonts w:cs="Times New Roman"/>
          <w:szCs w:val="24"/>
        </w:rPr>
        <w:t xml:space="preserve"> as one founded on execution of the arbitral award rather than on rights arising from the novation agreement.</w:t>
      </w:r>
    </w:p>
    <w:p w14:paraId="6F839F7A" w14:textId="4612F992" w:rsidR="00B639F8" w:rsidRDefault="00423EDF" w:rsidP="00423EDF">
      <w:pPr>
        <w:pStyle w:val="ListParagraph"/>
        <w:numPr>
          <w:ilvl w:val="0"/>
          <w:numId w:val="5"/>
        </w:numPr>
        <w:ind w:left="426"/>
        <w:rPr>
          <w:rFonts w:cs="Times New Roman"/>
          <w:szCs w:val="24"/>
        </w:rPr>
      </w:pPr>
      <w:r>
        <w:rPr>
          <w:rFonts w:cs="Times New Roman"/>
          <w:szCs w:val="24"/>
        </w:rPr>
        <w:t xml:space="preserve">In my view, </w:t>
      </w:r>
      <w:r w:rsidR="00B639F8">
        <w:rPr>
          <w:rFonts w:cs="Times New Roman"/>
          <w:szCs w:val="24"/>
        </w:rPr>
        <w:t>insofar</w:t>
      </w:r>
      <w:r w:rsidR="00B7306E">
        <w:rPr>
          <w:rFonts w:cs="Times New Roman"/>
          <w:szCs w:val="24"/>
        </w:rPr>
        <w:t xml:space="preserve"> as </w:t>
      </w:r>
      <w:r>
        <w:rPr>
          <w:rFonts w:cs="Times New Roman"/>
          <w:szCs w:val="24"/>
        </w:rPr>
        <w:t xml:space="preserve">the plaintiff’s claim is based on the arbitral award, </w:t>
      </w:r>
      <w:r w:rsidR="00B7306E">
        <w:rPr>
          <w:rFonts w:cs="Times New Roman"/>
          <w:szCs w:val="24"/>
        </w:rPr>
        <w:t xml:space="preserve">there can be no debate about this court </w:t>
      </w:r>
      <w:r w:rsidR="00B639F8">
        <w:rPr>
          <w:rFonts w:cs="Times New Roman"/>
          <w:szCs w:val="24"/>
        </w:rPr>
        <w:t>lacking</w:t>
      </w:r>
      <w:r w:rsidR="00B7306E">
        <w:rPr>
          <w:rFonts w:cs="Times New Roman"/>
          <w:szCs w:val="24"/>
        </w:rPr>
        <w:t xml:space="preserve"> jurisdiction to hear this matter because</w:t>
      </w:r>
      <w:r w:rsidR="00B639F8">
        <w:rPr>
          <w:rFonts w:cs="Times New Roman"/>
          <w:szCs w:val="24"/>
        </w:rPr>
        <w:t>,</w:t>
      </w:r>
      <w:r w:rsidR="00B7306E">
        <w:rPr>
          <w:rFonts w:cs="Times New Roman"/>
          <w:szCs w:val="24"/>
        </w:rPr>
        <w:t xml:space="preserve"> </w:t>
      </w:r>
      <w:r w:rsidR="00840E81">
        <w:rPr>
          <w:rFonts w:cs="Times New Roman"/>
          <w:szCs w:val="24"/>
        </w:rPr>
        <w:t xml:space="preserve">from the statement of agreed facts, </w:t>
      </w:r>
      <w:r w:rsidR="00B7306E">
        <w:rPr>
          <w:rFonts w:cs="Times New Roman"/>
          <w:szCs w:val="24"/>
        </w:rPr>
        <w:t xml:space="preserve">it is accepted that the defendant is an </w:t>
      </w:r>
      <w:r w:rsidR="00B7306E" w:rsidRPr="00840E81">
        <w:rPr>
          <w:rFonts w:cs="Times New Roman"/>
          <w:i/>
          <w:iCs/>
          <w:szCs w:val="24"/>
        </w:rPr>
        <w:t>incola</w:t>
      </w:r>
      <w:r w:rsidR="00840E81">
        <w:rPr>
          <w:rFonts w:cs="Times New Roman"/>
          <w:i/>
          <w:iCs/>
          <w:szCs w:val="24"/>
        </w:rPr>
        <w:t xml:space="preserve">. </w:t>
      </w:r>
      <w:r w:rsidR="00B7306E">
        <w:rPr>
          <w:rFonts w:cs="Times New Roman"/>
          <w:szCs w:val="24"/>
        </w:rPr>
        <w:t xml:space="preserve">The court can therefore give an effective judgment. </w:t>
      </w:r>
    </w:p>
    <w:p w14:paraId="1216C606" w14:textId="65CC48FD" w:rsidR="00DA6760" w:rsidRDefault="00B639F8" w:rsidP="00423EDF">
      <w:pPr>
        <w:pStyle w:val="ListParagraph"/>
        <w:numPr>
          <w:ilvl w:val="0"/>
          <w:numId w:val="5"/>
        </w:numPr>
        <w:ind w:left="426"/>
        <w:rPr>
          <w:rFonts w:cs="Times New Roman"/>
          <w:szCs w:val="24"/>
        </w:rPr>
      </w:pPr>
      <w:r>
        <w:rPr>
          <w:rFonts w:cs="Times New Roman"/>
          <w:szCs w:val="24"/>
        </w:rPr>
        <w:t xml:space="preserve">In addition, the </w:t>
      </w:r>
      <w:r w:rsidR="00B7306E">
        <w:rPr>
          <w:rFonts w:cs="Times New Roman"/>
          <w:szCs w:val="24"/>
        </w:rPr>
        <w:t>arbitral award forming the subject matter of this dispute was issued within this jurisdiction</w:t>
      </w:r>
      <w:r w:rsidR="00840E81">
        <w:rPr>
          <w:rFonts w:cs="Times New Roman"/>
          <w:szCs w:val="24"/>
        </w:rPr>
        <w:t xml:space="preserve">, after the parties therein submitted to the jurisdiction of a Zimbabwean arbitrator and </w:t>
      </w:r>
      <w:r w:rsidR="009977D5">
        <w:rPr>
          <w:rFonts w:cs="Times New Roman"/>
          <w:szCs w:val="24"/>
        </w:rPr>
        <w:t xml:space="preserve">to </w:t>
      </w:r>
      <w:r w:rsidR="00840E81">
        <w:rPr>
          <w:rFonts w:cs="Times New Roman"/>
          <w:szCs w:val="24"/>
        </w:rPr>
        <w:t>the application of the laws of Zimbabwe</w:t>
      </w:r>
      <w:r w:rsidR="00B7306E">
        <w:rPr>
          <w:rFonts w:cs="Times New Roman"/>
          <w:szCs w:val="24"/>
        </w:rPr>
        <w:t>. I comprehensively relate</w:t>
      </w:r>
      <w:r w:rsidR="00CD3E75">
        <w:rPr>
          <w:rFonts w:cs="Times New Roman"/>
          <w:szCs w:val="24"/>
        </w:rPr>
        <w:t>,</w:t>
      </w:r>
      <w:r w:rsidR="00B7306E">
        <w:rPr>
          <w:rFonts w:cs="Times New Roman"/>
          <w:szCs w:val="24"/>
        </w:rPr>
        <w:t xml:space="preserve"> </w:t>
      </w:r>
      <w:r w:rsidR="00153DB4">
        <w:rPr>
          <w:rFonts w:cs="Times New Roman"/>
          <w:szCs w:val="24"/>
        </w:rPr>
        <w:t>later in this judgment</w:t>
      </w:r>
      <w:r w:rsidR="00CD3E75">
        <w:rPr>
          <w:rFonts w:cs="Times New Roman"/>
          <w:szCs w:val="24"/>
        </w:rPr>
        <w:t>,</w:t>
      </w:r>
      <w:r w:rsidR="00153DB4">
        <w:rPr>
          <w:rFonts w:cs="Times New Roman"/>
          <w:szCs w:val="24"/>
        </w:rPr>
        <w:t xml:space="preserve"> </w:t>
      </w:r>
      <w:r w:rsidR="00B7306E">
        <w:rPr>
          <w:rFonts w:cs="Times New Roman"/>
          <w:szCs w:val="24"/>
        </w:rPr>
        <w:t xml:space="preserve">to the question of whether the summons </w:t>
      </w:r>
      <w:r w:rsidR="00153DB4">
        <w:rPr>
          <w:rFonts w:cs="Times New Roman"/>
          <w:szCs w:val="24"/>
        </w:rPr>
        <w:t xml:space="preserve">discloses </w:t>
      </w:r>
      <w:r w:rsidR="00B7306E">
        <w:rPr>
          <w:rFonts w:cs="Times New Roman"/>
          <w:szCs w:val="24"/>
        </w:rPr>
        <w:t>a cause of action or not</w:t>
      </w:r>
      <w:r w:rsidR="00153DB4">
        <w:rPr>
          <w:rFonts w:cs="Times New Roman"/>
          <w:szCs w:val="24"/>
        </w:rPr>
        <w:t xml:space="preserve">. For the present </w:t>
      </w:r>
      <w:r w:rsidR="00DB6C4C">
        <w:rPr>
          <w:rFonts w:cs="Times New Roman"/>
          <w:szCs w:val="24"/>
        </w:rPr>
        <w:t>purposes</w:t>
      </w:r>
      <w:r w:rsidR="00153DB4">
        <w:rPr>
          <w:rFonts w:cs="Times New Roman"/>
          <w:szCs w:val="24"/>
        </w:rPr>
        <w:t xml:space="preserve">, </w:t>
      </w:r>
      <w:r w:rsidR="00B7306E">
        <w:rPr>
          <w:rFonts w:cs="Times New Roman"/>
          <w:szCs w:val="24"/>
        </w:rPr>
        <w:t xml:space="preserve">to the extent that the claim is based on an arbitral award issued in Zimbabwe, the cause of action arose in Zimbabwe </w:t>
      </w:r>
      <w:r w:rsidR="00DB6C4C">
        <w:rPr>
          <w:rFonts w:cs="Times New Roman"/>
          <w:szCs w:val="24"/>
        </w:rPr>
        <w:t>and the</w:t>
      </w:r>
      <w:r w:rsidR="00B7306E">
        <w:rPr>
          <w:rFonts w:cs="Times New Roman"/>
          <w:szCs w:val="24"/>
        </w:rPr>
        <w:t xml:space="preserve"> court has jurisdiction </w:t>
      </w:r>
      <w:r w:rsidR="00DB6C4C">
        <w:rPr>
          <w:rFonts w:cs="Times New Roman"/>
          <w:szCs w:val="24"/>
        </w:rPr>
        <w:t>on that basis</w:t>
      </w:r>
      <w:r w:rsidR="00B7306E">
        <w:rPr>
          <w:rFonts w:cs="Times New Roman"/>
          <w:szCs w:val="24"/>
        </w:rPr>
        <w:t xml:space="preserve"> as well. </w:t>
      </w:r>
    </w:p>
    <w:p w14:paraId="2C7A6E2E" w14:textId="238B5D75" w:rsidR="00B7306E" w:rsidRDefault="00B7306E" w:rsidP="00423EDF">
      <w:pPr>
        <w:pStyle w:val="ListParagraph"/>
        <w:numPr>
          <w:ilvl w:val="0"/>
          <w:numId w:val="5"/>
        </w:numPr>
        <w:ind w:left="426"/>
        <w:rPr>
          <w:rFonts w:cs="Times New Roman"/>
          <w:szCs w:val="24"/>
        </w:rPr>
      </w:pPr>
      <w:r>
        <w:rPr>
          <w:rFonts w:cs="Times New Roman"/>
          <w:szCs w:val="24"/>
        </w:rPr>
        <w:t xml:space="preserve">Under the </w:t>
      </w:r>
      <w:r w:rsidRPr="00B7306E">
        <w:rPr>
          <w:rFonts w:cs="Times New Roman"/>
          <w:i/>
          <w:iCs/>
          <w:szCs w:val="24"/>
        </w:rPr>
        <w:t>actor sequitur forum rei</w:t>
      </w:r>
      <w:r>
        <w:rPr>
          <w:rFonts w:cs="Times New Roman"/>
          <w:szCs w:val="24"/>
        </w:rPr>
        <w:t xml:space="preserve"> rule, the plaintiff must follow the defendant to its forum with the </w:t>
      </w:r>
      <w:r w:rsidR="00DB6C4C">
        <w:rPr>
          <w:rFonts w:cs="Times New Roman"/>
          <w:szCs w:val="24"/>
        </w:rPr>
        <w:t>claim</w:t>
      </w:r>
      <w:r>
        <w:rPr>
          <w:rFonts w:cs="Times New Roman"/>
          <w:szCs w:val="24"/>
        </w:rPr>
        <w:t xml:space="preserve">. This is what the </w:t>
      </w:r>
      <w:r w:rsidR="00CA4E81">
        <w:rPr>
          <w:rFonts w:cs="Times New Roman"/>
          <w:szCs w:val="24"/>
        </w:rPr>
        <w:t xml:space="preserve">plaintiff </w:t>
      </w:r>
      <w:r>
        <w:rPr>
          <w:rFonts w:cs="Times New Roman"/>
          <w:szCs w:val="24"/>
        </w:rPr>
        <w:t xml:space="preserve">in </w:t>
      </w:r>
      <w:r w:rsidRPr="00B7306E">
        <w:rPr>
          <w:rFonts w:cs="Times New Roman"/>
          <w:i/>
          <w:iCs/>
          <w:szCs w:val="24"/>
        </w:rPr>
        <w:t>casu</w:t>
      </w:r>
      <w:r>
        <w:rPr>
          <w:rFonts w:cs="Times New Roman"/>
          <w:szCs w:val="24"/>
        </w:rPr>
        <w:t xml:space="preserve"> has done. In the premises, I find that this court has jurisdiction to hear this matter. </w:t>
      </w:r>
    </w:p>
    <w:p w14:paraId="614D7CD5" w14:textId="60E8E1FC" w:rsidR="00EA65B9" w:rsidRDefault="00840E81" w:rsidP="00423EDF">
      <w:pPr>
        <w:pStyle w:val="ListParagraph"/>
        <w:numPr>
          <w:ilvl w:val="0"/>
          <w:numId w:val="5"/>
        </w:numPr>
        <w:ind w:left="426"/>
        <w:rPr>
          <w:rFonts w:cs="Times New Roman"/>
          <w:szCs w:val="24"/>
        </w:rPr>
      </w:pPr>
      <w:r>
        <w:rPr>
          <w:rFonts w:cs="Times New Roman"/>
          <w:szCs w:val="24"/>
        </w:rPr>
        <w:lastRenderedPageBreak/>
        <w:t xml:space="preserve">Even assuming that the plaintiff’s claim </w:t>
      </w:r>
      <w:r w:rsidR="00CC50EE">
        <w:rPr>
          <w:rFonts w:cs="Times New Roman"/>
          <w:szCs w:val="24"/>
        </w:rPr>
        <w:t xml:space="preserve">was </w:t>
      </w:r>
      <w:r>
        <w:rPr>
          <w:rFonts w:cs="Times New Roman"/>
          <w:szCs w:val="24"/>
        </w:rPr>
        <w:t xml:space="preserve">on the basis of the novation agreement, </w:t>
      </w:r>
      <w:r w:rsidR="00EA65B9">
        <w:rPr>
          <w:rFonts w:cs="Times New Roman"/>
          <w:szCs w:val="24"/>
        </w:rPr>
        <w:t xml:space="preserve">the </w:t>
      </w:r>
      <w:r>
        <w:rPr>
          <w:rFonts w:cs="Times New Roman"/>
          <w:szCs w:val="24"/>
        </w:rPr>
        <w:t xml:space="preserve">question of how a court ought to proceed under such circumstances </w:t>
      </w:r>
      <w:r w:rsidR="00CC50EE">
        <w:rPr>
          <w:rFonts w:cs="Times New Roman"/>
          <w:szCs w:val="24"/>
        </w:rPr>
        <w:t>was</w:t>
      </w:r>
      <w:r>
        <w:rPr>
          <w:rFonts w:cs="Times New Roman"/>
          <w:szCs w:val="24"/>
        </w:rPr>
        <w:t xml:space="preserve"> settled</w:t>
      </w:r>
      <w:r w:rsidR="00642887">
        <w:rPr>
          <w:rFonts w:cs="Times New Roman"/>
          <w:szCs w:val="24"/>
        </w:rPr>
        <w:t xml:space="preserve"> by</w:t>
      </w:r>
      <w:r w:rsidRPr="00840E81">
        <w:rPr>
          <w:rFonts w:eastAsia="Calibri" w:cs="Times New Roman"/>
          <w:bCs/>
          <w:smallCaps/>
        </w:rPr>
        <w:t xml:space="preserve"> </w:t>
      </w:r>
      <w:r>
        <w:rPr>
          <w:rFonts w:eastAsia="Calibri" w:cs="Times New Roman"/>
          <w:bCs/>
          <w:smallCaps/>
        </w:rPr>
        <w:t>Makoni</w:t>
      </w:r>
      <w:r w:rsidRPr="00423EDF">
        <w:rPr>
          <w:rFonts w:cs="Times New Roman"/>
        </w:rPr>
        <w:t xml:space="preserve"> J</w:t>
      </w:r>
      <w:r>
        <w:rPr>
          <w:rFonts w:cs="Times New Roman"/>
          <w:szCs w:val="24"/>
        </w:rPr>
        <w:t xml:space="preserve"> (as she then was) in </w:t>
      </w:r>
      <w:bookmarkStart w:id="3" w:name="_Hlk215276100"/>
      <w:r w:rsidRPr="00EA65B9">
        <w:rPr>
          <w:rFonts w:cs="Times New Roman"/>
          <w:i/>
          <w:iCs/>
          <w:szCs w:val="24"/>
        </w:rPr>
        <w:t xml:space="preserve">OTC </w:t>
      </w:r>
      <w:r w:rsidR="000A66D6" w:rsidRPr="00EA65B9">
        <w:rPr>
          <w:rFonts w:cs="Times New Roman"/>
          <w:i/>
          <w:iCs/>
          <w:szCs w:val="24"/>
        </w:rPr>
        <w:t xml:space="preserve">International GmbH </w:t>
      </w:r>
      <w:r w:rsidR="000A66D6" w:rsidRPr="00EA65B9">
        <w:rPr>
          <w:rFonts w:cs="Times New Roman"/>
          <w:szCs w:val="24"/>
        </w:rPr>
        <w:t>v</w:t>
      </w:r>
      <w:r w:rsidR="000A66D6" w:rsidRPr="00EA65B9">
        <w:rPr>
          <w:rFonts w:cs="Times New Roman"/>
          <w:i/>
          <w:iCs/>
          <w:szCs w:val="24"/>
        </w:rPr>
        <w:t xml:space="preserve"> AVM Africa (Pvt) Ltd</w:t>
      </w:r>
      <w:r w:rsidR="000A66D6">
        <w:rPr>
          <w:rFonts w:cs="Times New Roman"/>
          <w:szCs w:val="24"/>
        </w:rPr>
        <w:t xml:space="preserve"> 2019 (1) ZLR 490 (H). </w:t>
      </w:r>
      <w:bookmarkEnd w:id="3"/>
      <w:r w:rsidR="000A66D6">
        <w:rPr>
          <w:rFonts w:cs="Times New Roman"/>
          <w:szCs w:val="24"/>
        </w:rPr>
        <w:t xml:space="preserve">In that matter, the parties entered into a contract for the supply of various motor vehicles and parts by the plaintiff, a German </w:t>
      </w:r>
      <w:r w:rsidR="006676D2">
        <w:rPr>
          <w:rFonts w:cs="Times New Roman"/>
          <w:szCs w:val="24"/>
        </w:rPr>
        <w:t>company</w:t>
      </w:r>
      <w:r w:rsidR="000A66D6">
        <w:rPr>
          <w:rFonts w:cs="Times New Roman"/>
          <w:szCs w:val="24"/>
        </w:rPr>
        <w:t xml:space="preserve">, to the defendant, a Zimbabwean company. It was a specific term of the parties’ contract that the contract was subject to German law and to the jurisdiction of the Court of Bremen, Germany. When the defendant defaulted </w:t>
      </w:r>
      <w:r w:rsidR="006676D2">
        <w:rPr>
          <w:rFonts w:cs="Times New Roman"/>
          <w:szCs w:val="24"/>
        </w:rPr>
        <w:t>on payment</w:t>
      </w:r>
      <w:r w:rsidR="000A66D6">
        <w:rPr>
          <w:rFonts w:cs="Times New Roman"/>
          <w:szCs w:val="24"/>
        </w:rPr>
        <w:t xml:space="preserve">, the plaintiff issued </w:t>
      </w:r>
      <w:r w:rsidR="006676D2">
        <w:rPr>
          <w:rFonts w:cs="Times New Roman"/>
          <w:szCs w:val="24"/>
        </w:rPr>
        <w:t xml:space="preserve">a </w:t>
      </w:r>
      <w:r w:rsidR="000A66D6">
        <w:rPr>
          <w:rFonts w:cs="Times New Roman"/>
          <w:szCs w:val="24"/>
        </w:rPr>
        <w:t xml:space="preserve">summons in the High Court </w:t>
      </w:r>
      <w:r w:rsidR="0087140F">
        <w:rPr>
          <w:rFonts w:cs="Times New Roman"/>
          <w:szCs w:val="24"/>
        </w:rPr>
        <w:t xml:space="preserve">of Zimbabwe </w:t>
      </w:r>
      <w:r w:rsidR="000A66D6">
        <w:rPr>
          <w:rFonts w:cs="Times New Roman"/>
          <w:szCs w:val="24"/>
        </w:rPr>
        <w:t xml:space="preserve">claiming the outstanding amount. The defendant excepted to the claim on the basis that </w:t>
      </w:r>
      <w:r w:rsidR="006676D2">
        <w:rPr>
          <w:rFonts w:cs="Times New Roman"/>
          <w:szCs w:val="24"/>
        </w:rPr>
        <w:t xml:space="preserve">only </w:t>
      </w:r>
      <w:r w:rsidR="000A66D6">
        <w:rPr>
          <w:rFonts w:cs="Times New Roman"/>
          <w:szCs w:val="24"/>
        </w:rPr>
        <w:t xml:space="preserve">the Court of Bremen, Germany, had jurisdiction over the dispute. </w:t>
      </w:r>
    </w:p>
    <w:p w14:paraId="3C73CDBF" w14:textId="62B96B39" w:rsidR="00B7306E" w:rsidRDefault="000A66D6" w:rsidP="00423EDF">
      <w:pPr>
        <w:pStyle w:val="ListParagraph"/>
        <w:numPr>
          <w:ilvl w:val="0"/>
          <w:numId w:val="5"/>
        </w:numPr>
        <w:ind w:left="426"/>
        <w:rPr>
          <w:rFonts w:cs="Times New Roman"/>
          <w:szCs w:val="24"/>
        </w:rPr>
      </w:pPr>
      <w:r>
        <w:rPr>
          <w:rFonts w:cs="Times New Roman"/>
          <w:szCs w:val="24"/>
        </w:rPr>
        <w:t>The learned Judge, after examining a plethora of cases from various jurisdiction</w:t>
      </w:r>
      <w:r w:rsidR="0062187E">
        <w:rPr>
          <w:rFonts w:cs="Times New Roman"/>
          <w:szCs w:val="24"/>
        </w:rPr>
        <w:t>s</w:t>
      </w:r>
      <w:r>
        <w:rPr>
          <w:rFonts w:cs="Times New Roman"/>
          <w:szCs w:val="24"/>
        </w:rPr>
        <w:t xml:space="preserve">, held that a foreign jurisdiction or arbitration clause does not exclude the High Court’s jurisdiction. She </w:t>
      </w:r>
      <w:r w:rsidR="0062187E">
        <w:rPr>
          <w:rFonts w:cs="Times New Roman"/>
          <w:szCs w:val="24"/>
        </w:rPr>
        <w:t xml:space="preserve">held </w:t>
      </w:r>
      <w:r>
        <w:rPr>
          <w:rFonts w:cs="Times New Roman"/>
          <w:szCs w:val="24"/>
        </w:rPr>
        <w:t xml:space="preserve">that parties to a contract cannot exclude the jurisdiction of a court by their own agreement. Further, where a party wishes to invoke the protection of a foreign jurisdiction or arbitration clause, </w:t>
      </w:r>
      <w:r w:rsidR="00EA65B9">
        <w:rPr>
          <w:rFonts w:cs="Times New Roman"/>
          <w:szCs w:val="24"/>
        </w:rPr>
        <w:t>it should do so by way of a special or dilatory plea seeking a stay of the proceedings. When that is done, the court will then be called upon to exercise its discretion whether or not to enforce the foreign jurisdiction clause. It was held that a foreign jurisdiction clause is equivalent to an arbitration clause in the sense that it is not absolutely binding</w:t>
      </w:r>
      <w:r w:rsidR="002F392E">
        <w:rPr>
          <w:rFonts w:cs="Times New Roman"/>
          <w:szCs w:val="24"/>
        </w:rPr>
        <w:t>,</w:t>
      </w:r>
      <w:r w:rsidR="00EA65B9">
        <w:rPr>
          <w:rFonts w:cs="Times New Roman"/>
          <w:szCs w:val="24"/>
        </w:rPr>
        <w:t xml:space="preserve"> and a court before which an action is brought in breach thereof has a discretion to hear the matter itself and not to refer it to the chosen foreign court. </w:t>
      </w:r>
    </w:p>
    <w:p w14:paraId="431F07F4" w14:textId="098FA57C" w:rsidR="00EA65B9" w:rsidRDefault="00EA65B9" w:rsidP="00423EDF">
      <w:pPr>
        <w:pStyle w:val="ListParagraph"/>
        <w:numPr>
          <w:ilvl w:val="0"/>
          <w:numId w:val="5"/>
        </w:numPr>
        <w:ind w:left="426"/>
        <w:rPr>
          <w:rFonts w:cs="Times New Roman"/>
          <w:szCs w:val="24"/>
        </w:rPr>
      </w:pPr>
      <w:r>
        <w:rPr>
          <w:rFonts w:cs="Times New Roman"/>
          <w:szCs w:val="24"/>
        </w:rPr>
        <w:t xml:space="preserve">Critical to note is that the learned Judge held that in exercising this discretion, </w:t>
      </w:r>
      <w:r w:rsidR="00783965">
        <w:rPr>
          <w:rFonts w:cs="Times New Roman"/>
          <w:szCs w:val="24"/>
        </w:rPr>
        <w:t xml:space="preserve">a </w:t>
      </w:r>
      <w:r>
        <w:rPr>
          <w:rFonts w:cs="Times New Roman"/>
          <w:szCs w:val="24"/>
        </w:rPr>
        <w:t xml:space="preserve">court is enjoined to consider </w:t>
      </w:r>
      <w:r w:rsidR="00783965">
        <w:rPr>
          <w:rFonts w:cs="Times New Roman"/>
          <w:szCs w:val="24"/>
        </w:rPr>
        <w:t xml:space="preserve">several </w:t>
      </w:r>
      <w:r>
        <w:rPr>
          <w:rFonts w:cs="Times New Roman"/>
          <w:szCs w:val="24"/>
        </w:rPr>
        <w:t>factors presenting themselves in the matter</w:t>
      </w:r>
      <w:r w:rsidR="000F691D">
        <w:rPr>
          <w:rFonts w:cs="Times New Roman"/>
          <w:szCs w:val="24"/>
        </w:rPr>
        <w:t>. These factors include-in</w:t>
      </w:r>
      <w:r>
        <w:rPr>
          <w:rFonts w:cs="Times New Roman"/>
          <w:szCs w:val="24"/>
        </w:rPr>
        <w:t xml:space="preserve"> what country the evidence on the issues of facts is situated, or more readily available; and the effect of that on the relative convenience and expense of trial as between the local and foreign courts</w:t>
      </w:r>
      <w:r w:rsidR="000F691D">
        <w:rPr>
          <w:rFonts w:cs="Times New Roman"/>
          <w:szCs w:val="24"/>
        </w:rPr>
        <w:t xml:space="preserve">. The court must also consider </w:t>
      </w:r>
      <w:r>
        <w:rPr>
          <w:rFonts w:cs="Times New Roman"/>
          <w:szCs w:val="24"/>
        </w:rPr>
        <w:t>whether</w:t>
      </w:r>
      <w:r w:rsidR="000F691D">
        <w:rPr>
          <w:rFonts w:cs="Times New Roman"/>
          <w:szCs w:val="24"/>
        </w:rPr>
        <w:t>-</w:t>
      </w:r>
      <w:r>
        <w:rPr>
          <w:rFonts w:cs="Times New Roman"/>
          <w:szCs w:val="24"/>
        </w:rPr>
        <w:t xml:space="preserve"> the law of the foreign courts applies, and if so, whether it differs from the local law in any material respects; with what country either party is connect</w:t>
      </w:r>
      <w:r w:rsidR="005042A5">
        <w:rPr>
          <w:rFonts w:cs="Times New Roman"/>
          <w:szCs w:val="24"/>
        </w:rPr>
        <w:t>ed</w:t>
      </w:r>
      <w:r>
        <w:rPr>
          <w:rFonts w:cs="Times New Roman"/>
          <w:szCs w:val="24"/>
        </w:rPr>
        <w:t xml:space="preserve">, and how closely; </w:t>
      </w:r>
      <w:r w:rsidR="000F691D">
        <w:rPr>
          <w:rFonts w:cs="Times New Roman"/>
          <w:szCs w:val="24"/>
        </w:rPr>
        <w:t xml:space="preserve">as well as </w:t>
      </w:r>
      <w:r>
        <w:rPr>
          <w:rFonts w:cs="Times New Roman"/>
          <w:szCs w:val="24"/>
        </w:rPr>
        <w:t>whether the defendant genuinely desires trial in the foreign country, or is only seeking procedural advantages</w:t>
      </w:r>
      <w:r w:rsidR="000F691D">
        <w:rPr>
          <w:rFonts w:cs="Times New Roman"/>
          <w:szCs w:val="24"/>
        </w:rPr>
        <w:t xml:space="preserve">. Further, the court ought to consider </w:t>
      </w:r>
      <w:r>
        <w:rPr>
          <w:rFonts w:cs="Times New Roman"/>
          <w:szCs w:val="24"/>
        </w:rPr>
        <w:t xml:space="preserve">whether the </w:t>
      </w:r>
      <w:r w:rsidR="005042A5">
        <w:rPr>
          <w:rFonts w:cs="Times New Roman"/>
          <w:szCs w:val="24"/>
        </w:rPr>
        <w:t xml:space="preserve">plaintiff would be prejudiced by having to sue in the foreign court because it would (i) be deprived of security for that claim (ii) be </w:t>
      </w:r>
      <w:r w:rsidR="005042A5">
        <w:rPr>
          <w:rFonts w:cs="Times New Roman"/>
          <w:szCs w:val="24"/>
        </w:rPr>
        <w:lastRenderedPageBreak/>
        <w:t xml:space="preserve">unable to enforce any judgment obtained, (iii) be faced with a time bar not applicable locally, or (iv) for political, racial, religious or other reasons unlikely to get a fair trial. </w:t>
      </w:r>
    </w:p>
    <w:p w14:paraId="07866CC6" w14:textId="45A7DB8E" w:rsidR="00C72055" w:rsidRDefault="005042A5" w:rsidP="00C72055">
      <w:pPr>
        <w:pStyle w:val="ListParagraph"/>
        <w:numPr>
          <w:ilvl w:val="0"/>
          <w:numId w:val="5"/>
        </w:numPr>
        <w:ind w:left="426"/>
        <w:rPr>
          <w:rFonts w:cs="Times New Roman"/>
          <w:szCs w:val="24"/>
        </w:rPr>
      </w:pPr>
      <w:r>
        <w:rPr>
          <w:rFonts w:cs="Times New Roman"/>
          <w:szCs w:val="24"/>
        </w:rPr>
        <w:t>The additional factors that a court ought to consider are</w:t>
      </w:r>
      <w:r w:rsidR="007B67EE">
        <w:rPr>
          <w:rFonts w:cs="Times New Roman"/>
          <w:szCs w:val="24"/>
        </w:rPr>
        <w:t xml:space="preserve"> that</w:t>
      </w:r>
      <w:r>
        <w:rPr>
          <w:rFonts w:cs="Times New Roman"/>
          <w:szCs w:val="24"/>
        </w:rPr>
        <w:t xml:space="preserve"> (i) a very strong case must be made out for the parties not to be bound by their agreement, (ii) the desirability of avoiding a multiplicity of actions in different courts with the associated potential of conflicting decisions and (iii) the advantage of saving costs and time. </w:t>
      </w:r>
      <w:r w:rsidR="00C72055">
        <w:rPr>
          <w:rFonts w:cs="Times New Roman"/>
          <w:szCs w:val="24"/>
        </w:rPr>
        <w:t>The list is not exhaustive</w:t>
      </w:r>
      <w:r w:rsidR="007B67EE">
        <w:rPr>
          <w:rFonts w:cs="Times New Roman"/>
          <w:szCs w:val="24"/>
        </w:rPr>
        <w:t>,</w:t>
      </w:r>
      <w:r w:rsidR="00C72055">
        <w:rPr>
          <w:rFonts w:cs="Times New Roman"/>
          <w:szCs w:val="24"/>
        </w:rPr>
        <w:t xml:space="preserve"> and each case must be considered on its own </w:t>
      </w:r>
      <w:r w:rsidR="00314C4C">
        <w:rPr>
          <w:rFonts w:cs="Times New Roman"/>
          <w:szCs w:val="24"/>
        </w:rPr>
        <w:t>distinct facts</w:t>
      </w:r>
      <w:r w:rsidR="00C72055">
        <w:rPr>
          <w:rFonts w:cs="Times New Roman"/>
          <w:szCs w:val="24"/>
        </w:rPr>
        <w:t xml:space="preserve">. No hard and fast rules are prescribed. </w:t>
      </w:r>
    </w:p>
    <w:p w14:paraId="1505A954" w14:textId="4D2431BD" w:rsidR="002F7CF6" w:rsidRDefault="00C72055" w:rsidP="003A11FC">
      <w:pPr>
        <w:pStyle w:val="ListParagraph"/>
        <w:numPr>
          <w:ilvl w:val="0"/>
          <w:numId w:val="5"/>
        </w:numPr>
        <w:ind w:left="426"/>
        <w:rPr>
          <w:rFonts w:cs="Times New Roman"/>
          <w:szCs w:val="24"/>
        </w:rPr>
      </w:pPr>
      <w:r w:rsidRPr="00C72055">
        <w:rPr>
          <w:rFonts w:cs="Times New Roman"/>
          <w:szCs w:val="24"/>
        </w:rPr>
        <w:t xml:space="preserve">I have already alluded to the fact that the defendant against whom relief is sought is an </w:t>
      </w:r>
      <w:r w:rsidRPr="00642887">
        <w:rPr>
          <w:rFonts w:cs="Times New Roman"/>
          <w:i/>
          <w:iCs/>
          <w:szCs w:val="24"/>
        </w:rPr>
        <w:t>incola</w:t>
      </w:r>
      <w:r w:rsidRPr="00C72055">
        <w:rPr>
          <w:rFonts w:cs="Times New Roman"/>
          <w:szCs w:val="24"/>
        </w:rPr>
        <w:t xml:space="preserve">. </w:t>
      </w:r>
      <w:r w:rsidR="003A11FC">
        <w:rPr>
          <w:rFonts w:cs="Times New Roman"/>
          <w:szCs w:val="24"/>
        </w:rPr>
        <w:t>T</w:t>
      </w:r>
      <w:r w:rsidRPr="00C72055">
        <w:rPr>
          <w:rFonts w:cs="Times New Roman"/>
          <w:szCs w:val="24"/>
        </w:rPr>
        <w:t>he plaintiff is incorporated in the United States of America</w:t>
      </w:r>
      <w:r w:rsidR="003A11FC">
        <w:rPr>
          <w:rFonts w:cs="Times New Roman"/>
          <w:szCs w:val="24"/>
        </w:rPr>
        <w:t xml:space="preserve">. The defendant is operating in this country and the funds forming the subject matter of the dispute were advanced and utilised in the construction of a tented camp which is operational in Zimbabwe. </w:t>
      </w:r>
      <w:r w:rsidRPr="003A11FC">
        <w:rPr>
          <w:rFonts w:cs="Times New Roman"/>
          <w:szCs w:val="24"/>
        </w:rPr>
        <w:t>While the novation agreement has an exclusive choice of forum clause, the parties to the novation agreement have already submitted to the jurisdiction of Zimbabwe and to the application of the laws of Zimbabwe. Th</w:t>
      </w:r>
      <w:r w:rsidR="002F71E2">
        <w:rPr>
          <w:rFonts w:cs="Times New Roman"/>
          <w:szCs w:val="24"/>
        </w:rPr>
        <w:t>e</w:t>
      </w:r>
      <w:r w:rsidRPr="003A11FC">
        <w:rPr>
          <w:rFonts w:cs="Times New Roman"/>
          <w:szCs w:val="24"/>
        </w:rPr>
        <w:t xml:space="preserve"> </w:t>
      </w:r>
      <w:r w:rsidR="004E1991">
        <w:rPr>
          <w:rFonts w:cs="Times New Roman"/>
          <w:szCs w:val="24"/>
        </w:rPr>
        <w:t>conclusion of the arbitration process</w:t>
      </w:r>
      <w:r w:rsidR="004E1991" w:rsidRPr="003A11FC">
        <w:rPr>
          <w:rFonts w:cs="Times New Roman"/>
          <w:szCs w:val="24"/>
        </w:rPr>
        <w:t xml:space="preserve"> </w:t>
      </w:r>
      <w:r w:rsidRPr="003A11FC">
        <w:rPr>
          <w:rFonts w:cs="Times New Roman"/>
          <w:szCs w:val="24"/>
        </w:rPr>
        <w:t xml:space="preserve">has yielded an arbitral award by consent. The basis for approaching this court is the liability arising from that arbitral award. </w:t>
      </w:r>
    </w:p>
    <w:p w14:paraId="40BC8503" w14:textId="049E6FE2" w:rsidR="003A11FC" w:rsidRDefault="003A11FC" w:rsidP="003A11FC">
      <w:pPr>
        <w:pStyle w:val="ListParagraph"/>
        <w:numPr>
          <w:ilvl w:val="0"/>
          <w:numId w:val="5"/>
        </w:numPr>
        <w:ind w:left="426"/>
        <w:rPr>
          <w:rFonts w:cs="Times New Roman"/>
          <w:szCs w:val="24"/>
        </w:rPr>
      </w:pPr>
      <w:r>
        <w:rPr>
          <w:rFonts w:cs="Times New Roman"/>
          <w:szCs w:val="24"/>
        </w:rPr>
        <w:t xml:space="preserve">To the extent that the proceedings are against the defendant before the court, if any attachment of property or persons is to be done, it can only be done in Zimbabwe. Even if the matter is to be decided in the courts of England, the judgment will still have to be registered in Zimbabwe as the defendant is an </w:t>
      </w:r>
      <w:r w:rsidRPr="003A11FC">
        <w:rPr>
          <w:rFonts w:cs="Times New Roman"/>
          <w:i/>
          <w:iCs/>
          <w:szCs w:val="24"/>
        </w:rPr>
        <w:t>incola</w:t>
      </w:r>
      <w:r>
        <w:rPr>
          <w:rFonts w:cs="Times New Roman"/>
          <w:szCs w:val="24"/>
        </w:rPr>
        <w:t xml:space="preserve">. In </w:t>
      </w:r>
      <w:r w:rsidRPr="003A11FC">
        <w:rPr>
          <w:rFonts w:cs="Times New Roman"/>
          <w:i/>
          <w:iCs/>
          <w:szCs w:val="24"/>
        </w:rPr>
        <w:t>OTC International GmbH supra</w:t>
      </w:r>
      <w:r>
        <w:rPr>
          <w:rFonts w:cs="Times New Roman"/>
          <w:szCs w:val="24"/>
        </w:rPr>
        <w:t xml:space="preserve">, the court took the view that the matter would still be required to appear in the High Court for the relief obtained in Germany to be given effect to. It concluded that a single action would save the time, expense and costs compared to a multiplicity of actions if the matter were to be determined in the foreign jurisdiction. I fully associate with the court’s observations. </w:t>
      </w:r>
      <w:r w:rsidR="00A73CD4">
        <w:rPr>
          <w:rFonts w:cs="Times New Roman"/>
          <w:szCs w:val="24"/>
        </w:rPr>
        <w:t xml:space="preserve">I am even more persuaded to follow the court’s position in this commercial </w:t>
      </w:r>
      <w:r w:rsidR="00642887">
        <w:rPr>
          <w:rFonts w:cs="Times New Roman"/>
          <w:szCs w:val="24"/>
        </w:rPr>
        <w:t>dispute</w:t>
      </w:r>
      <w:r w:rsidR="001D766F">
        <w:rPr>
          <w:rFonts w:cs="Times New Roman"/>
          <w:szCs w:val="24"/>
        </w:rPr>
        <w:t>,</w:t>
      </w:r>
      <w:r w:rsidR="00642887">
        <w:rPr>
          <w:rFonts w:cs="Times New Roman"/>
          <w:szCs w:val="24"/>
        </w:rPr>
        <w:t xml:space="preserve"> bearing</w:t>
      </w:r>
      <w:r w:rsidR="00A73CD4">
        <w:rPr>
          <w:rFonts w:cs="Times New Roman"/>
          <w:szCs w:val="24"/>
        </w:rPr>
        <w:t xml:space="preserve"> in mind that the core function of this court</w:t>
      </w:r>
      <w:r w:rsidR="001D766F">
        <w:rPr>
          <w:rFonts w:cs="Times New Roman"/>
          <w:szCs w:val="24"/>
        </w:rPr>
        <w:t>,</w:t>
      </w:r>
      <w:r w:rsidR="00A73CD4">
        <w:rPr>
          <w:rFonts w:cs="Times New Roman"/>
          <w:szCs w:val="24"/>
        </w:rPr>
        <w:t xml:space="preserve"> as outlined in the Second Schedule to the High Court (Commercial Division) Rules, 2020</w:t>
      </w:r>
      <w:r w:rsidR="001D766F">
        <w:rPr>
          <w:rFonts w:cs="Times New Roman"/>
          <w:szCs w:val="24"/>
        </w:rPr>
        <w:t>,</w:t>
      </w:r>
      <w:r w:rsidR="00A73CD4">
        <w:rPr>
          <w:rFonts w:cs="Times New Roman"/>
          <w:szCs w:val="24"/>
        </w:rPr>
        <w:t xml:space="preserve"> is the expeditious resolution of commercial disputes according to international best practices to enhance efficient justice delivery. </w:t>
      </w:r>
    </w:p>
    <w:p w14:paraId="3F5C0011" w14:textId="3B87837D" w:rsidR="0047483D" w:rsidRPr="0047483D" w:rsidRDefault="00A73CD4" w:rsidP="0047483D">
      <w:pPr>
        <w:pStyle w:val="ListParagraph"/>
        <w:numPr>
          <w:ilvl w:val="0"/>
          <w:numId w:val="5"/>
        </w:numPr>
        <w:ind w:left="426"/>
        <w:rPr>
          <w:rFonts w:cs="Times New Roman"/>
          <w:szCs w:val="24"/>
        </w:rPr>
      </w:pPr>
      <w:r>
        <w:rPr>
          <w:rFonts w:cs="Times New Roman"/>
          <w:szCs w:val="24"/>
        </w:rPr>
        <w:lastRenderedPageBreak/>
        <w:t xml:space="preserve">In the ultimate, even if </w:t>
      </w:r>
      <w:r w:rsidR="0062187E">
        <w:rPr>
          <w:rFonts w:cs="Times New Roman"/>
          <w:szCs w:val="24"/>
        </w:rPr>
        <w:t>I had found that the claim is based on the</w:t>
      </w:r>
      <w:r>
        <w:rPr>
          <w:rFonts w:cs="Times New Roman"/>
          <w:szCs w:val="24"/>
        </w:rPr>
        <w:t xml:space="preserve"> novation agreement, I would</w:t>
      </w:r>
      <w:r w:rsidR="000477FC">
        <w:rPr>
          <w:rFonts w:cs="Times New Roman"/>
          <w:szCs w:val="24"/>
        </w:rPr>
        <w:t xml:space="preserve"> have still</w:t>
      </w:r>
      <w:r>
        <w:rPr>
          <w:rFonts w:cs="Times New Roman"/>
          <w:szCs w:val="24"/>
        </w:rPr>
        <w:t xml:space="preserve"> be</w:t>
      </w:r>
      <w:r w:rsidR="000477FC">
        <w:rPr>
          <w:rFonts w:cs="Times New Roman"/>
          <w:szCs w:val="24"/>
        </w:rPr>
        <w:t>en</w:t>
      </w:r>
      <w:r>
        <w:rPr>
          <w:rFonts w:cs="Times New Roman"/>
          <w:szCs w:val="24"/>
        </w:rPr>
        <w:t xml:space="preserve"> persuaded to exercise my discretion in favour of the dispute between the parties being determined by this court. </w:t>
      </w:r>
    </w:p>
    <w:p w14:paraId="7A364A81" w14:textId="7CBBF594" w:rsidR="00F23943" w:rsidRDefault="00F23943" w:rsidP="00F23943">
      <w:pPr>
        <w:rPr>
          <w:rFonts w:cs="Times New Roman"/>
          <w:b/>
          <w:bCs/>
          <w:szCs w:val="24"/>
          <w:u w:val="single"/>
        </w:rPr>
      </w:pPr>
      <w:r w:rsidRPr="00F23943">
        <w:rPr>
          <w:rFonts w:cs="Times New Roman"/>
          <w:b/>
          <w:bCs/>
          <w:szCs w:val="24"/>
          <w:u w:val="single"/>
        </w:rPr>
        <w:t>WHETHER THE SUMMONS DISCLOSES A CAUSE OF ACTION AGAINST THE DEFENDANT?</w:t>
      </w:r>
    </w:p>
    <w:p w14:paraId="0F65FA44" w14:textId="56B21EA8" w:rsidR="00DD19DB" w:rsidRPr="00BC2C4F" w:rsidRDefault="00DD19DB" w:rsidP="00653478">
      <w:pPr>
        <w:pStyle w:val="ListParagraph"/>
        <w:numPr>
          <w:ilvl w:val="0"/>
          <w:numId w:val="5"/>
        </w:numPr>
        <w:spacing w:after="0"/>
        <w:ind w:left="709" w:hanging="709"/>
        <w:rPr>
          <w:rFonts w:cs="Times New Roman"/>
          <w:bCs/>
          <w:szCs w:val="24"/>
        </w:rPr>
      </w:pPr>
      <w:r w:rsidRPr="00BC2C4F">
        <w:rPr>
          <w:rFonts w:cs="Times New Roman"/>
          <w:bCs/>
          <w:szCs w:val="24"/>
        </w:rPr>
        <w:t xml:space="preserve">The requirement set out in </w:t>
      </w:r>
      <w:r>
        <w:rPr>
          <w:rFonts w:cs="Times New Roman"/>
          <w:bCs/>
          <w:szCs w:val="24"/>
        </w:rPr>
        <w:t>r</w:t>
      </w:r>
      <w:r w:rsidR="00545B92">
        <w:rPr>
          <w:rFonts w:cs="Times New Roman"/>
          <w:bCs/>
          <w:szCs w:val="24"/>
        </w:rPr>
        <w:t xml:space="preserve"> </w:t>
      </w:r>
      <w:r w:rsidRPr="00BC2C4F">
        <w:rPr>
          <w:rFonts w:cs="Times New Roman"/>
          <w:bCs/>
          <w:szCs w:val="24"/>
        </w:rPr>
        <w:t>12(5)(d) of the High Court Rules</w:t>
      </w:r>
      <w:r w:rsidR="00653478">
        <w:rPr>
          <w:rFonts w:cs="Times New Roman"/>
          <w:bCs/>
          <w:szCs w:val="24"/>
        </w:rPr>
        <w:t>, 2021 as read with r</w:t>
      </w:r>
      <w:r w:rsidR="007B35E7">
        <w:rPr>
          <w:rFonts w:cs="Times New Roman"/>
          <w:bCs/>
          <w:szCs w:val="24"/>
        </w:rPr>
        <w:t xml:space="preserve"> </w:t>
      </w:r>
      <w:r w:rsidR="00653478">
        <w:rPr>
          <w:rFonts w:cs="Times New Roman"/>
          <w:bCs/>
          <w:szCs w:val="24"/>
        </w:rPr>
        <w:t xml:space="preserve">4(2) of the High Court (Commercial Division) Rules </w:t>
      </w:r>
      <w:r w:rsidRPr="00BC2C4F">
        <w:rPr>
          <w:rFonts w:cs="Times New Roman"/>
          <w:bCs/>
          <w:szCs w:val="24"/>
        </w:rPr>
        <w:t xml:space="preserve">is that before issue, every summons shall set forth, </w:t>
      </w:r>
      <w:r w:rsidR="007B35E7">
        <w:rPr>
          <w:rFonts w:cs="Times New Roman"/>
          <w:bCs/>
          <w:szCs w:val="24"/>
        </w:rPr>
        <w:t>“</w:t>
      </w:r>
      <w:r w:rsidRPr="00BC2C4F">
        <w:rPr>
          <w:rFonts w:cs="Times New Roman"/>
          <w:bCs/>
          <w:szCs w:val="24"/>
        </w:rPr>
        <w:t>a true and concise statement of the nature, extent and grounds of the cause of action and of the relief of remedies sought in the action.</w:t>
      </w:r>
      <w:r w:rsidR="007B35E7">
        <w:rPr>
          <w:rFonts w:cs="Times New Roman"/>
          <w:bCs/>
          <w:szCs w:val="24"/>
        </w:rPr>
        <w:t>”</w:t>
      </w:r>
    </w:p>
    <w:p w14:paraId="339E3A5B" w14:textId="0094ED11" w:rsidR="00DD19DB" w:rsidRPr="00BC2C4F" w:rsidRDefault="00981F85" w:rsidP="00B77032">
      <w:pPr>
        <w:pStyle w:val="ListParagraph"/>
        <w:numPr>
          <w:ilvl w:val="0"/>
          <w:numId w:val="5"/>
        </w:numPr>
        <w:spacing w:after="200"/>
        <w:ind w:left="709" w:hanging="709"/>
      </w:pPr>
      <w:r>
        <w:rPr>
          <w:rFonts w:cs="Times New Roman"/>
          <w:bCs/>
          <w:szCs w:val="24"/>
        </w:rPr>
        <w:t xml:space="preserve">Simply put, </w:t>
      </w:r>
      <w:bookmarkStart w:id="4" w:name="_Hlk218532058"/>
      <w:r>
        <w:rPr>
          <w:rFonts w:cs="Times New Roman"/>
        </w:rPr>
        <w:t>a</w:t>
      </w:r>
      <w:r w:rsidRPr="009C5032">
        <w:rPr>
          <w:rFonts w:cs="Times New Roman"/>
        </w:rPr>
        <w:t xml:space="preserve"> cause of action consists of the material facts </w:t>
      </w:r>
      <w:r>
        <w:rPr>
          <w:rFonts w:cs="Times New Roman"/>
        </w:rPr>
        <w:t>that</w:t>
      </w:r>
      <w:r w:rsidRPr="009C5032">
        <w:rPr>
          <w:rFonts w:cs="Times New Roman"/>
        </w:rPr>
        <w:t xml:space="preserve"> a plaintiff must allege and prove in order to obtain the relief claimed</w:t>
      </w:r>
      <w:bookmarkEnd w:id="4"/>
      <w:r w:rsidR="00826EB2">
        <w:rPr>
          <w:rFonts w:cs="Times New Roman"/>
        </w:rPr>
        <w:t>.</w:t>
      </w:r>
      <w:r w:rsidR="00E664F4">
        <w:rPr>
          <w:rFonts w:cs="Times New Roman"/>
        </w:rPr>
        <w:t xml:space="preserve"> </w:t>
      </w:r>
      <w:r w:rsidR="00826EB2">
        <w:rPr>
          <w:rFonts w:cs="Times New Roman"/>
          <w:bCs/>
          <w:szCs w:val="24"/>
        </w:rPr>
        <w:t xml:space="preserve">See </w:t>
      </w:r>
      <w:r w:rsidR="00DD19DB" w:rsidRPr="00BC2C4F">
        <w:rPr>
          <w:rFonts w:cs="Times New Roman"/>
          <w:bCs/>
          <w:i/>
          <w:szCs w:val="24"/>
        </w:rPr>
        <w:t xml:space="preserve">Dube </w:t>
      </w:r>
      <w:r w:rsidR="00DD19DB" w:rsidRPr="00BC2C4F">
        <w:rPr>
          <w:rFonts w:cs="Times New Roman"/>
          <w:bCs/>
          <w:szCs w:val="24"/>
        </w:rPr>
        <w:t>v</w:t>
      </w:r>
      <w:r w:rsidR="00DD19DB" w:rsidRPr="00BC2C4F">
        <w:rPr>
          <w:rFonts w:cs="Times New Roman"/>
          <w:bCs/>
          <w:i/>
          <w:szCs w:val="24"/>
        </w:rPr>
        <w:t xml:space="preserve"> Banana</w:t>
      </w:r>
      <w:r w:rsidR="00DD19DB" w:rsidRPr="00BC2C4F">
        <w:rPr>
          <w:rFonts w:cs="Times New Roman"/>
          <w:bCs/>
          <w:szCs w:val="24"/>
        </w:rPr>
        <w:t xml:space="preserve"> 1998 (2) ZLR 92 (H)</w:t>
      </w:r>
      <w:r w:rsidR="00826EB2">
        <w:rPr>
          <w:rFonts w:cs="Times New Roman"/>
          <w:bCs/>
          <w:szCs w:val="24"/>
        </w:rPr>
        <w:t xml:space="preserve"> </w:t>
      </w:r>
      <w:r w:rsidR="00E664F4">
        <w:rPr>
          <w:rFonts w:cs="Times New Roman"/>
          <w:bCs/>
          <w:szCs w:val="24"/>
        </w:rPr>
        <w:t xml:space="preserve">and </w:t>
      </w:r>
      <w:r w:rsidR="00DD19DB" w:rsidRPr="00BC2C4F">
        <w:rPr>
          <w:i/>
          <w:iCs/>
        </w:rPr>
        <w:t xml:space="preserve">Silonda </w:t>
      </w:r>
      <w:r w:rsidR="00DD19DB" w:rsidRPr="00BC2C4F">
        <w:rPr>
          <w:iCs/>
        </w:rPr>
        <w:t>v</w:t>
      </w:r>
      <w:r w:rsidR="00DD19DB" w:rsidRPr="00BC2C4F">
        <w:rPr>
          <w:i/>
          <w:iCs/>
        </w:rPr>
        <w:t xml:space="preserve"> Nkomo </w:t>
      </w:r>
      <w:r w:rsidR="0015779C" w:rsidRPr="00BC2C4F">
        <w:rPr>
          <w:bCs/>
        </w:rPr>
        <w:t>S</w:t>
      </w:r>
      <w:r w:rsidR="0015779C">
        <w:rPr>
          <w:bCs/>
        </w:rPr>
        <w:t>-</w:t>
      </w:r>
      <w:r w:rsidR="00DD19DB" w:rsidRPr="00BC2C4F">
        <w:rPr>
          <w:bCs/>
        </w:rPr>
        <w:t>6-22</w:t>
      </w:r>
      <w:r w:rsidR="0015779C">
        <w:rPr>
          <w:bCs/>
        </w:rPr>
        <w:t xml:space="preserve"> at p 16</w:t>
      </w:r>
      <w:r w:rsidR="00E664F4">
        <w:t xml:space="preserve">. </w:t>
      </w:r>
    </w:p>
    <w:p w14:paraId="050281E1" w14:textId="2A3C1319" w:rsidR="00CD65D7" w:rsidRPr="00314C4C" w:rsidRDefault="00DD19DB" w:rsidP="00314C4C">
      <w:pPr>
        <w:pStyle w:val="ListParagraph"/>
        <w:numPr>
          <w:ilvl w:val="0"/>
          <w:numId w:val="5"/>
        </w:numPr>
        <w:spacing w:after="200"/>
        <w:ind w:left="709" w:hanging="709"/>
        <w:rPr>
          <w:rFonts w:cs="Times New Roman"/>
          <w:bCs/>
          <w:szCs w:val="24"/>
        </w:rPr>
      </w:pPr>
      <w:r w:rsidRPr="007471B0">
        <w:rPr>
          <w:rFonts w:cs="Times New Roman"/>
          <w:bCs/>
          <w:szCs w:val="24"/>
        </w:rPr>
        <w:t>The consideration of what an ‘entire set of facts’ ought to include is fundamentally linked to the purpose of pleadings</w:t>
      </w:r>
      <w:r w:rsidR="00AB5D11">
        <w:rPr>
          <w:rFonts w:cs="Times New Roman"/>
          <w:bCs/>
          <w:szCs w:val="24"/>
        </w:rPr>
        <w:t xml:space="preserve">, which is to inform the opposing party, with sufficient detail, </w:t>
      </w:r>
      <w:r w:rsidR="00A46B45">
        <w:rPr>
          <w:rFonts w:cs="Times New Roman"/>
          <w:bCs/>
          <w:szCs w:val="24"/>
        </w:rPr>
        <w:t xml:space="preserve">the basis of the plaintiff’s claim and to enable the </w:t>
      </w:r>
      <w:r w:rsidR="00314C4C">
        <w:rPr>
          <w:rFonts w:cs="Times New Roman"/>
          <w:bCs/>
          <w:szCs w:val="24"/>
        </w:rPr>
        <w:t>defendant</w:t>
      </w:r>
      <w:r w:rsidR="00A46B45">
        <w:rPr>
          <w:rFonts w:cs="Times New Roman"/>
          <w:bCs/>
          <w:szCs w:val="24"/>
        </w:rPr>
        <w:t xml:space="preserve"> to prepare </w:t>
      </w:r>
      <w:r w:rsidR="00082FDA">
        <w:rPr>
          <w:rFonts w:cs="Times New Roman"/>
          <w:bCs/>
          <w:szCs w:val="24"/>
        </w:rPr>
        <w:t>for the case which it has to meet at trial:</w:t>
      </w:r>
      <w:r w:rsidR="00314C4C">
        <w:rPr>
          <w:rFonts w:cs="Times New Roman"/>
          <w:bCs/>
          <w:szCs w:val="24"/>
        </w:rPr>
        <w:t xml:space="preserve">  </w:t>
      </w:r>
      <w:r w:rsidRPr="007471B0">
        <w:rPr>
          <w:rFonts w:cs="Times New Roman"/>
          <w:bCs/>
          <w:i/>
          <w:szCs w:val="24"/>
        </w:rPr>
        <w:t xml:space="preserve">National Social Security </w:t>
      </w:r>
      <w:r w:rsidRPr="000513DE">
        <w:rPr>
          <w:rFonts w:cs="Times New Roman"/>
          <w:bCs/>
          <w:iCs/>
          <w:szCs w:val="24"/>
        </w:rPr>
        <w:t>v</w:t>
      </w:r>
      <w:r w:rsidRPr="007471B0">
        <w:rPr>
          <w:rFonts w:cs="Times New Roman"/>
          <w:bCs/>
          <w:i/>
          <w:szCs w:val="24"/>
        </w:rPr>
        <w:t xml:space="preserve"> Metbank Ltd</w:t>
      </w:r>
      <w:r w:rsidRPr="007471B0">
        <w:rPr>
          <w:rFonts w:cs="Times New Roman"/>
          <w:bCs/>
          <w:szCs w:val="24"/>
        </w:rPr>
        <w:t xml:space="preserve"> 2019 (3) ZLR 28 (H)</w:t>
      </w:r>
      <w:r w:rsidR="00082FDA">
        <w:rPr>
          <w:rFonts w:cs="Times New Roman"/>
          <w:bCs/>
          <w:szCs w:val="24"/>
        </w:rPr>
        <w:t xml:space="preserve"> at </w:t>
      </w:r>
      <w:r w:rsidRPr="007471B0">
        <w:rPr>
          <w:rFonts w:cs="Times New Roman"/>
          <w:bCs/>
          <w:szCs w:val="24"/>
        </w:rPr>
        <w:t>32F</w:t>
      </w:r>
      <w:r w:rsidR="00082FDA">
        <w:rPr>
          <w:rFonts w:cs="Times New Roman"/>
          <w:bCs/>
          <w:szCs w:val="24"/>
        </w:rPr>
        <w:t xml:space="preserve">, </w:t>
      </w:r>
      <w:r>
        <w:rPr>
          <w:rFonts w:cs="Times New Roman"/>
          <w:bCs/>
          <w:szCs w:val="24"/>
        </w:rPr>
        <w:t xml:space="preserve"> </w:t>
      </w:r>
      <w:r w:rsidR="00082FDA" w:rsidRPr="00314C4C">
        <w:rPr>
          <w:rFonts w:cs="Times New Roman"/>
          <w:bCs/>
          <w:szCs w:val="24"/>
        </w:rPr>
        <w:t xml:space="preserve">and </w:t>
      </w:r>
      <w:r w:rsidRPr="00314C4C">
        <w:rPr>
          <w:rFonts w:cs="Times New Roman"/>
          <w:bCs/>
          <w:i/>
          <w:szCs w:val="24"/>
        </w:rPr>
        <w:t xml:space="preserve">Mphoko &amp; Anor </w:t>
      </w:r>
      <w:r w:rsidRPr="00314C4C">
        <w:rPr>
          <w:rFonts w:cs="Times New Roman"/>
          <w:bCs/>
          <w:szCs w:val="24"/>
        </w:rPr>
        <w:t>v</w:t>
      </w:r>
      <w:r w:rsidRPr="00314C4C">
        <w:rPr>
          <w:rFonts w:cs="Times New Roman"/>
          <w:bCs/>
          <w:i/>
          <w:szCs w:val="24"/>
        </w:rPr>
        <w:t xml:space="preserve"> Nanavac Investments and Ors</w:t>
      </w:r>
      <w:r w:rsidR="00E94F73" w:rsidRPr="00314C4C">
        <w:rPr>
          <w:rFonts w:cs="Times New Roman"/>
          <w:bCs/>
          <w:szCs w:val="24"/>
        </w:rPr>
        <w:t xml:space="preserve"> </w:t>
      </w:r>
      <w:r w:rsidRPr="00314C4C">
        <w:rPr>
          <w:rFonts w:cs="Times New Roman"/>
          <w:bCs/>
          <w:szCs w:val="24"/>
        </w:rPr>
        <w:t>HB</w:t>
      </w:r>
      <w:r w:rsidR="00E94F73" w:rsidRPr="00314C4C">
        <w:rPr>
          <w:rFonts w:cs="Times New Roman"/>
          <w:bCs/>
          <w:szCs w:val="24"/>
        </w:rPr>
        <w:t>-</w:t>
      </w:r>
      <w:r w:rsidRPr="00314C4C">
        <w:rPr>
          <w:rFonts w:cs="Times New Roman"/>
          <w:bCs/>
          <w:szCs w:val="24"/>
        </w:rPr>
        <w:t>209</w:t>
      </w:r>
      <w:r w:rsidR="007408F4" w:rsidRPr="00314C4C">
        <w:rPr>
          <w:rFonts w:cs="Times New Roman"/>
          <w:bCs/>
          <w:szCs w:val="24"/>
        </w:rPr>
        <w:t>-</w:t>
      </w:r>
      <w:r w:rsidRPr="00314C4C">
        <w:rPr>
          <w:rFonts w:cs="Times New Roman"/>
          <w:bCs/>
          <w:szCs w:val="24"/>
        </w:rPr>
        <w:t xml:space="preserve">22. </w:t>
      </w:r>
    </w:p>
    <w:p w14:paraId="5FB3415A" w14:textId="77777777" w:rsidR="00144A6B" w:rsidRPr="00144A6B" w:rsidRDefault="006D366A" w:rsidP="0009387F">
      <w:pPr>
        <w:pStyle w:val="ListParagraph"/>
        <w:numPr>
          <w:ilvl w:val="0"/>
          <w:numId w:val="5"/>
        </w:numPr>
        <w:tabs>
          <w:tab w:val="left" w:pos="3402"/>
        </w:tabs>
        <w:spacing w:after="0"/>
        <w:ind w:left="709" w:hanging="709"/>
        <w:rPr>
          <w:rFonts w:cs="Times New Roman"/>
          <w:bCs/>
          <w:szCs w:val="24"/>
        </w:rPr>
      </w:pPr>
      <w:r>
        <w:rPr>
          <w:rFonts w:cs="Times New Roman"/>
          <w:szCs w:val="24"/>
        </w:rPr>
        <w:t xml:space="preserve">The defendant’s argument is that no </w:t>
      </w:r>
      <w:r w:rsidR="00DB7FE2">
        <w:rPr>
          <w:rFonts w:cs="Times New Roman"/>
          <w:szCs w:val="24"/>
        </w:rPr>
        <w:t xml:space="preserve">specific </w:t>
      </w:r>
      <w:r>
        <w:rPr>
          <w:rFonts w:cs="Times New Roman"/>
          <w:szCs w:val="24"/>
        </w:rPr>
        <w:t xml:space="preserve">allegation of fraud, dishonesty or other improper conduct was levelled against the defendant so as to </w:t>
      </w:r>
      <w:r w:rsidR="00DB7FE2">
        <w:rPr>
          <w:rFonts w:cs="Times New Roman"/>
          <w:szCs w:val="24"/>
        </w:rPr>
        <w:t xml:space="preserve">found a cause of action for </w:t>
      </w:r>
      <w:r>
        <w:rPr>
          <w:rFonts w:cs="Times New Roman"/>
          <w:szCs w:val="24"/>
        </w:rPr>
        <w:t xml:space="preserve">the lifting of the corporate veil. </w:t>
      </w:r>
    </w:p>
    <w:p w14:paraId="65F82841" w14:textId="766D71CA" w:rsidR="0009387F" w:rsidRPr="00813F7D" w:rsidRDefault="00144A6B" w:rsidP="0009387F">
      <w:pPr>
        <w:pStyle w:val="ListParagraph"/>
        <w:numPr>
          <w:ilvl w:val="0"/>
          <w:numId w:val="5"/>
        </w:numPr>
        <w:tabs>
          <w:tab w:val="left" w:pos="3402"/>
        </w:tabs>
        <w:spacing w:after="0"/>
        <w:ind w:left="709" w:hanging="709"/>
        <w:rPr>
          <w:rFonts w:cs="Times New Roman"/>
          <w:bCs/>
          <w:szCs w:val="24"/>
        </w:rPr>
      </w:pPr>
      <w:r w:rsidRPr="00813F7D">
        <w:rPr>
          <w:rFonts w:cs="Times New Roman"/>
          <w:szCs w:val="24"/>
        </w:rPr>
        <w:t>The</w:t>
      </w:r>
      <w:r w:rsidR="000C75CB" w:rsidRPr="00813F7D">
        <w:rPr>
          <w:rFonts w:cs="Times New Roman"/>
        </w:rPr>
        <w:t xml:space="preserve"> summons and declaration </w:t>
      </w:r>
      <w:r w:rsidR="000C75CB" w:rsidRPr="007226BD">
        <w:rPr>
          <w:rFonts w:cs="Times New Roman"/>
        </w:rPr>
        <w:t>in</w:t>
      </w:r>
      <w:r w:rsidR="000C75CB" w:rsidRPr="00813F7D">
        <w:rPr>
          <w:rFonts w:cs="Times New Roman"/>
          <w:i/>
          <w:iCs/>
        </w:rPr>
        <w:t xml:space="preserve"> casu</w:t>
      </w:r>
      <w:r w:rsidR="000C75CB" w:rsidRPr="00813F7D">
        <w:rPr>
          <w:rFonts w:cs="Times New Roman"/>
        </w:rPr>
        <w:t xml:space="preserve"> disclose, at their core, an action for payment of a fixed and quantified sum and interest, arising from the loan transaction and the subsequent arbitral award obtained against Safari Connect. Properly characterised, the plaintiff’s claim is an action to recover a liquidated debt.</w:t>
      </w:r>
    </w:p>
    <w:p w14:paraId="2AF48E6B" w14:textId="77777777" w:rsidR="0009387F" w:rsidRPr="0009387F" w:rsidRDefault="000C75CB" w:rsidP="0009387F">
      <w:pPr>
        <w:pStyle w:val="ListParagraph"/>
        <w:numPr>
          <w:ilvl w:val="0"/>
          <w:numId w:val="5"/>
        </w:numPr>
        <w:tabs>
          <w:tab w:val="left" w:pos="3402"/>
        </w:tabs>
        <w:spacing w:after="0"/>
        <w:ind w:left="709" w:hanging="709"/>
        <w:rPr>
          <w:rFonts w:cs="Times New Roman"/>
          <w:bCs/>
          <w:szCs w:val="24"/>
        </w:rPr>
      </w:pPr>
      <w:r w:rsidRPr="0009387F">
        <w:rPr>
          <w:rFonts w:cs="Times New Roman"/>
        </w:rPr>
        <w:t xml:space="preserve">The plaintiff did not plead lifting the corporate veil as an independent cause of action. Rather, it was advanced as the basis upon which liability for that liquidated debt should, notwithstanding the novation to Safari Connect and the award being against that entity, be attributed to the defendant. The plaintiff’s case, therefore, depended not only on the existence and quantification of the debt, but on whether the summons and declaration set </w:t>
      </w:r>
      <w:r w:rsidRPr="0009387F">
        <w:rPr>
          <w:rFonts w:cs="Times New Roman"/>
        </w:rPr>
        <w:lastRenderedPageBreak/>
        <w:t>out sufficient facts to sustain the contention that the defendant is liable for it on a single economic unit basis.</w:t>
      </w:r>
      <w:bookmarkStart w:id="5" w:name="_Hlk218578708"/>
    </w:p>
    <w:p w14:paraId="5F2C1C5D" w14:textId="5232A2A5" w:rsidR="000E5A34" w:rsidRPr="00813F7D" w:rsidRDefault="000C75CB" w:rsidP="00813F7D">
      <w:pPr>
        <w:pStyle w:val="ListParagraph"/>
        <w:numPr>
          <w:ilvl w:val="0"/>
          <w:numId w:val="5"/>
        </w:numPr>
        <w:tabs>
          <w:tab w:val="left" w:pos="3402"/>
        </w:tabs>
        <w:spacing w:after="0"/>
        <w:ind w:left="709" w:hanging="709"/>
        <w:rPr>
          <w:rFonts w:cs="Times New Roman"/>
          <w:bCs/>
          <w:szCs w:val="24"/>
        </w:rPr>
      </w:pPr>
      <w:r w:rsidRPr="0009387F">
        <w:rPr>
          <w:rFonts w:cs="Times New Roman"/>
        </w:rPr>
        <w:t>In understanding the plaintiff’s chosen cause of action, it is important to note that piercing the corporate veil is not, in itself, a cause of action. It is an equitable remedy, deployed in exceptional circumstances, to justify holding a person or entity liable where strict adherence to separate juristic personality would defeat justice. Comparable South African authorities similarly stress that the remedy is exceptional and that a court does not have a roving discretion to disregard separate corporate identity merely because it appears just or convenient to do so. See, for example</w:t>
      </w:r>
      <w:r w:rsidRPr="0009387F">
        <w:rPr>
          <w:rFonts w:cs="Times New Roman"/>
          <w:i/>
          <w:iCs/>
        </w:rPr>
        <w:t xml:space="preserve">, Cape Pacific Ltd </w:t>
      </w:r>
      <w:r w:rsidRPr="0009387F">
        <w:rPr>
          <w:rFonts w:cs="Times New Roman"/>
        </w:rPr>
        <w:t>v</w:t>
      </w:r>
      <w:r w:rsidRPr="0009387F">
        <w:rPr>
          <w:rFonts w:cs="Times New Roman"/>
          <w:i/>
          <w:iCs/>
        </w:rPr>
        <w:t xml:space="preserve"> Lubner Controlling Investments (Pty) Ltd </w:t>
      </w:r>
      <w:r w:rsidRPr="0009387F">
        <w:rPr>
          <w:rFonts w:cs="Times New Roman"/>
        </w:rPr>
        <w:t>1995 (4) SA 790 (A) at 803G</w:t>
      </w:r>
      <w:r w:rsidR="00813F7D">
        <w:rPr>
          <w:rFonts w:cs="Times New Roman"/>
        </w:rPr>
        <w:t xml:space="preserve">, </w:t>
      </w:r>
      <w:r w:rsidRPr="00813F7D">
        <w:rPr>
          <w:rFonts w:cs="Times New Roman"/>
          <w:i/>
          <w:iCs/>
        </w:rPr>
        <w:t xml:space="preserve">Hulse-Reutter and Others </w:t>
      </w:r>
      <w:r w:rsidRPr="00813F7D">
        <w:rPr>
          <w:rFonts w:cs="Times New Roman"/>
        </w:rPr>
        <w:t>v</w:t>
      </w:r>
      <w:r w:rsidRPr="00813F7D">
        <w:rPr>
          <w:rFonts w:cs="Times New Roman"/>
          <w:i/>
          <w:iCs/>
        </w:rPr>
        <w:t xml:space="preserve"> Gödde </w:t>
      </w:r>
      <w:r w:rsidRPr="00813F7D">
        <w:rPr>
          <w:rFonts w:cs="Times New Roman"/>
        </w:rPr>
        <w:t>2001 (4) SA 1336 (SCA) at 1346, para 20</w:t>
      </w:r>
      <w:r w:rsidR="00813F7D">
        <w:rPr>
          <w:rFonts w:cs="Times New Roman"/>
        </w:rPr>
        <w:t xml:space="preserve"> and </w:t>
      </w:r>
      <w:r w:rsidR="00813F7D" w:rsidRPr="00813F7D">
        <w:rPr>
          <w:rFonts w:cs="Times New Roman"/>
          <w:i/>
          <w:iCs/>
        </w:rPr>
        <w:t>Ex</w:t>
      </w:r>
      <w:r w:rsidRPr="00813F7D">
        <w:rPr>
          <w:rFonts w:cs="Times New Roman"/>
          <w:i/>
          <w:iCs/>
        </w:rPr>
        <w:t xml:space="preserve"> parte Gore NNO and Others </w:t>
      </w:r>
      <w:r w:rsidRPr="00813F7D">
        <w:rPr>
          <w:rFonts w:cs="Times New Roman"/>
        </w:rPr>
        <w:t>2013 (3) SA 382 (WCC) at 396, para 28</w:t>
      </w:r>
      <w:r w:rsidR="00813F7D">
        <w:rPr>
          <w:rFonts w:cs="Times New Roman"/>
        </w:rPr>
        <w:t xml:space="preserve">. </w:t>
      </w:r>
    </w:p>
    <w:p w14:paraId="7CF16613" w14:textId="1C52B638" w:rsidR="002B3DA9" w:rsidRPr="00813F7D" w:rsidRDefault="000C75CB" w:rsidP="00813F7D">
      <w:pPr>
        <w:pStyle w:val="ListParagraph"/>
        <w:numPr>
          <w:ilvl w:val="0"/>
          <w:numId w:val="5"/>
        </w:numPr>
        <w:tabs>
          <w:tab w:val="left" w:pos="3402"/>
        </w:tabs>
        <w:spacing w:after="0"/>
        <w:ind w:left="709" w:hanging="709"/>
        <w:rPr>
          <w:rFonts w:cs="Times New Roman"/>
          <w:i/>
          <w:iCs/>
        </w:rPr>
      </w:pPr>
      <w:r w:rsidRPr="002B3DA9">
        <w:rPr>
          <w:rFonts w:cs="Times New Roman"/>
        </w:rPr>
        <w:t xml:space="preserve">It is also apparent from the authorities that the invocation of this equitable remedy is not necessarily confined to separate proceedings. The point has been recognised in this jurisdiction in decisions such as </w:t>
      </w:r>
      <w:r w:rsidRPr="002B3DA9">
        <w:rPr>
          <w:rFonts w:cs="Times New Roman"/>
          <w:i/>
          <w:iCs/>
        </w:rPr>
        <w:t xml:space="preserve">Deputy Sheriff </w:t>
      </w:r>
      <w:r w:rsidRPr="002B3DA9">
        <w:rPr>
          <w:rFonts w:cs="Times New Roman"/>
        </w:rPr>
        <w:t>v</w:t>
      </w:r>
      <w:r w:rsidRPr="002B3DA9">
        <w:rPr>
          <w:rFonts w:cs="Times New Roman"/>
          <w:i/>
          <w:iCs/>
        </w:rPr>
        <w:t xml:space="preserve"> Trinpac Investments (Pvt) Ltd &amp; Anor</w:t>
      </w:r>
      <w:r w:rsidRPr="002B3DA9">
        <w:rPr>
          <w:rFonts w:cs="Times New Roman"/>
        </w:rPr>
        <w:t xml:space="preserve"> </w:t>
      </w:r>
      <w:r w:rsidR="00785F09" w:rsidRPr="00B77032">
        <w:rPr>
          <w:rFonts w:cs="Times New Roman"/>
          <w:i/>
          <w:iCs/>
        </w:rPr>
        <w:t>supra</w:t>
      </w:r>
      <w:r w:rsidRPr="002B3DA9">
        <w:rPr>
          <w:rFonts w:cs="Times New Roman"/>
        </w:rPr>
        <w:t xml:space="preserve"> at 553G</w:t>
      </w:r>
      <w:r w:rsidR="00813F7D">
        <w:rPr>
          <w:rFonts w:cs="Times New Roman"/>
        </w:rPr>
        <w:t xml:space="preserve"> and </w:t>
      </w:r>
      <w:r w:rsidRPr="00813F7D">
        <w:rPr>
          <w:rFonts w:cs="Times New Roman"/>
          <w:i/>
          <w:iCs/>
        </w:rPr>
        <w:t xml:space="preserve">The Sheriff </w:t>
      </w:r>
      <w:r w:rsidRPr="00813F7D">
        <w:rPr>
          <w:rFonts w:cs="Times New Roman"/>
        </w:rPr>
        <w:t>v</w:t>
      </w:r>
      <w:r w:rsidRPr="00813F7D">
        <w:rPr>
          <w:rFonts w:cs="Times New Roman"/>
          <w:i/>
          <w:iCs/>
        </w:rPr>
        <w:t xml:space="preserve"> Tindwa &amp; Anor</w:t>
      </w:r>
      <w:r w:rsidRPr="00813F7D">
        <w:rPr>
          <w:rFonts w:cs="Times New Roman"/>
        </w:rPr>
        <w:t xml:space="preserve"> 2018 (1) ZLR 44 (H)</w:t>
      </w:r>
      <w:r w:rsidR="00813F7D" w:rsidRPr="00813F7D">
        <w:rPr>
          <w:rFonts w:cs="Times New Roman"/>
        </w:rPr>
        <w:t xml:space="preserve">. </w:t>
      </w:r>
      <w:r w:rsidRPr="00813F7D">
        <w:rPr>
          <w:rFonts w:cs="Times New Roman"/>
        </w:rPr>
        <w:t xml:space="preserve"> </w:t>
      </w:r>
    </w:p>
    <w:p w14:paraId="23605E89" w14:textId="77777777" w:rsidR="002B3DA9" w:rsidRPr="002B3DA9" w:rsidRDefault="000C75CB" w:rsidP="002B3DA9">
      <w:pPr>
        <w:pStyle w:val="ListParagraph"/>
        <w:numPr>
          <w:ilvl w:val="0"/>
          <w:numId w:val="5"/>
        </w:numPr>
        <w:tabs>
          <w:tab w:val="left" w:pos="3402"/>
        </w:tabs>
        <w:spacing w:after="0"/>
        <w:ind w:left="709" w:hanging="709"/>
        <w:rPr>
          <w:rFonts w:cs="Times New Roman"/>
          <w:bCs/>
          <w:szCs w:val="24"/>
        </w:rPr>
      </w:pPr>
      <w:r w:rsidRPr="002B3DA9">
        <w:rPr>
          <w:rFonts w:cs="Times New Roman"/>
        </w:rPr>
        <w:t xml:space="preserve">The question </w:t>
      </w:r>
      <w:r w:rsidRPr="002B3DA9">
        <w:rPr>
          <w:rFonts w:cs="Times New Roman"/>
          <w:i/>
          <w:iCs/>
        </w:rPr>
        <w:t>in casu</w:t>
      </w:r>
      <w:r w:rsidRPr="002B3DA9">
        <w:rPr>
          <w:rFonts w:cs="Times New Roman"/>
        </w:rPr>
        <w:t xml:space="preserve"> was therefore not whether the plaintiff had pleaded a standalone claim labelled “piercing the corporate veil”, but whether the facts pleaded, if established, could justify imposing liability for the liquidated sum on the defendant notwithstanding the separate legal personality of Safari Connect.</w:t>
      </w:r>
    </w:p>
    <w:p w14:paraId="311B6F68" w14:textId="53CB24EE" w:rsidR="00605E5C" w:rsidRPr="00605E5C" w:rsidRDefault="000C75CB" w:rsidP="00605E5C">
      <w:pPr>
        <w:pStyle w:val="ListParagraph"/>
        <w:numPr>
          <w:ilvl w:val="0"/>
          <w:numId w:val="5"/>
        </w:numPr>
        <w:tabs>
          <w:tab w:val="left" w:pos="3402"/>
        </w:tabs>
        <w:spacing w:after="0"/>
        <w:ind w:left="709" w:hanging="709"/>
        <w:rPr>
          <w:rFonts w:cs="Times New Roman"/>
          <w:bCs/>
          <w:szCs w:val="24"/>
        </w:rPr>
      </w:pPr>
      <w:r w:rsidRPr="002B3DA9">
        <w:rPr>
          <w:rFonts w:cs="Times New Roman"/>
        </w:rPr>
        <w:t xml:space="preserve">Once the matter is approached on that footing, the enquiry returns to whether the summons and declaration disclose the essential elements of the cause of action relied upon. </w:t>
      </w:r>
      <w:r w:rsidR="00813F7D">
        <w:rPr>
          <w:rFonts w:cs="Times New Roman"/>
        </w:rPr>
        <w:t>As alluded to earlier, o</w:t>
      </w:r>
      <w:r w:rsidRPr="002B3DA9">
        <w:rPr>
          <w:rFonts w:cs="Times New Roman"/>
        </w:rPr>
        <w:t>n a fair reading of the papers, the plaintiff’s claim was an action for payment of a liquidated debt, founded on the loan transaction, the subsequent novation and the arbitral award, coupled with the allegation that the defendant should, on the pleaded facts, be held liable for that debt.</w:t>
      </w:r>
    </w:p>
    <w:p w14:paraId="44A6E0AE" w14:textId="185A9A13" w:rsidR="00AE4841" w:rsidRPr="00AE4841" w:rsidRDefault="000C75CB" w:rsidP="00605E5C">
      <w:pPr>
        <w:pStyle w:val="ListParagraph"/>
        <w:numPr>
          <w:ilvl w:val="0"/>
          <w:numId w:val="5"/>
        </w:numPr>
        <w:tabs>
          <w:tab w:val="left" w:pos="3402"/>
        </w:tabs>
        <w:spacing w:after="0"/>
        <w:ind w:left="709" w:hanging="709"/>
        <w:rPr>
          <w:rFonts w:cs="Times New Roman"/>
          <w:bCs/>
          <w:szCs w:val="24"/>
        </w:rPr>
      </w:pPr>
      <w:r w:rsidRPr="00605E5C">
        <w:rPr>
          <w:rFonts w:cs="Times New Roman"/>
        </w:rPr>
        <w:t xml:space="preserve">In general, for an action for payment of a liquidated sum to be sustainable on the pleadings, a plaintiff must allege the source of the obligation, its title to sue, the capital amount claimed, that the amount became due and payable and remained unpaid and the total amount in interest claimed on the capital together with the date from which interest </w:t>
      </w:r>
      <w:r w:rsidRPr="00605E5C">
        <w:rPr>
          <w:rFonts w:cs="Times New Roman"/>
        </w:rPr>
        <w:lastRenderedPageBreak/>
        <w:t>is to run. Rule 13(3) of the High Court Rules as read with r</w:t>
      </w:r>
      <w:r w:rsidR="00204600">
        <w:rPr>
          <w:rFonts w:cs="Times New Roman"/>
        </w:rPr>
        <w:t xml:space="preserve"> </w:t>
      </w:r>
      <w:r w:rsidRPr="00605E5C">
        <w:rPr>
          <w:rFonts w:cs="Times New Roman"/>
        </w:rPr>
        <w:t>4(2) of the High Court (Commercial Division) Rules amplify what is required where the claim is for a debt or liquidated amount, which includes capital and interest on the capital. It provides as follows:</w:t>
      </w:r>
      <w:r w:rsidR="00605E5C">
        <w:rPr>
          <w:rFonts w:cs="Times New Roman"/>
        </w:rPr>
        <w:t xml:space="preserve"> </w:t>
      </w:r>
    </w:p>
    <w:p w14:paraId="23B44AD3" w14:textId="1C4CAD73" w:rsidR="00605E5C" w:rsidRPr="00B77032" w:rsidRDefault="000C75CB" w:rsidP="007226BD">
      <w:pPr>
        <w:pStyle w:val="ListParagraph"/>
        <w:tabs>
          <w:tab w:val="left" w:pos="3402"/>
        </w:tabs>
        <w:spacing w:after="0" w:line="240" w:lineRule="auto"/>
        <w:ind w:left="1440"/>
        <w:rPr>
          <w:rFonts w:cs="Times New Roman"/>
          <w:bCs/>
          <w:szCs w:val="24"/>
        </w:rPr>
      </w:pPr>
      <w:r w:rsidRPr="00B77032">
        <w:rPr>
          <w:rFonts w:cs="Times New Roman"/>
          <w:sz w:val="22"/>
        </w:rPr>
        <w:t>“Where the claim is for a debt or liquidated amount which includes capital and interest on the capital, the declaration shall state such of the particulars set out in rule 12(9) to (10) as may be relevant to the claim.”</w:t>
      </w:r>
    </w:p>
    <w:p w14:paraId="289819DE" w14:textId="66D590A9" w:rsidR="00605E5C" w:rsidRPr="00605E5C" w:rsidRDefault="000C75CB" w:rsidP="00605E5C">
      <w:pPr>
        <w:pStyle w:val="ListParagraph"/>
        <w:numPr>
          <w:ilvl w:val="0"/>
          <w:numId w:val="5"/>
        </w:numPr>
        <w:tabs>
          <w:tab w:val="left" w:pos="3402"/>
        </w:tabs>
        <w:spacing w:after="0"/>
        <w:ind w:left="709" w:hanging="709"/>
        <w:rPr>
          <w:rFonts w:cs="Times New Roman"/>
          <w:bCs/>
          <w:szCs w:val="24"/>
        </w:rPr>
      </w:pPr>
      <w:r w:rsidRPr="00605E5C">
        <w:rPr>
          <w:rFonts w:cs="Times New Roman"/>
        </w:rPr>
        <w:t>Rule 12(9) of the High Court Rules as read with r</w:t>
      </w:r>
      <w:r w:rsidR="00204600">
        <w:rPr>
          <w:rFonts w:cs="Times New Roman"/>
        </w:rPr>
        <w:t xml:space="preserve"> </w:t>
      </w:r>
      <w:r w:rsidRPr="00605E5C">
        <w:rPr>
          <w:rFonts w:cs="Times New Roman"/>
        </w:rPr>
        <w:t>4(2) of the High Court (Commercial Division) Rules provides as follows:</w:t>
      </w:r>
    </w:p>
    <w:p w14:paraId="2D534669" w14:textId="3799F6A6" w:rsidR="000C75CB" w:rsidRPr="00605E5C" w:rsidRDefault="000C75CB" w:rsidP="007226BD">
      <w:pPr>
        <w:pStyle w:val="ListParagraph"/>
        <w:tabs>
          <w:tab w:val="left" w:pos="3402"/>
        </w:tabs>
        <w:spacing w:after="0" w:line="240" w:lineRule="auto"/>
        <w:ind w:left="1440"/>
        <w:rPr>
          <w:rFonts w:cs="Times New Roman"/>
          <w:bCs/>
          <w:szCs w:val="24"/>
        </w:rPr>
      </w:pPr>
      <w:r w:rsidRPr="00B77032">
        <w:rPr>
          <w:rFonts w:cs="Times New Roman"/>
          <w:sz w:val="22"/>
        </w:rPr>
        <w:t>“Subject to sub rule (10), where the amount claimed includes capital and interest on the capital, the particulars attached to the summons in terms of sub rule (7) shall state clearly—</w:t>
      </w:r>
    </w:p>
    <w:p w14:paraId="6EC0EBC7" w14:textId="77777777" w:rsidR="000C75CB" w:rsidRPr="00B24CCC" w:rsidRDefault="000C75CB" w:rsidP="00C00012">
      <w:pPr>
        <w:numPr>
          <w:ilvl w:val="1"/>
          <w:numId w:val="5"/>
        </w:numPr>
        <w:spacing w:line="240" w:lineRule="auto"/>
        <w:ind w:left="2891"/>
        <w:rPr>
          <w:rFonts w:cs="Times New Roman"/>
          <w:sz w:val="22"/>
        </w:rPr>
      </w:pPr>
      <w:r w:rsidRPr="00B24CCC">
        <w:rPr>
          <w:rFonts w:cs="Times New Roman"/>
          <w:sz w:val="22"/>
        </w:rPr>
        <w:t>the capital amount claimed; and</w:t>
      </w:r>
    </w:p>
    <w:p w14:paraId="7A2235FD" w14:textId="77777777" w:rsidR="000C75CB" w:rsidRPr="00B24CCC" w:rsidRDefault="000C75CB" w:rsidP="00C00012">
      <w:pPr>
        <w:numPr>
          <w:ilvl w:val="1"/>
          <w:numId w:val="5"/>
        </w:numPr>
        <w:spacing w:line="240" w:lineRule="auto"/>
        <w:ind w:left="2891"/>
        <w:rPr>
          <w:rFonts w:cs="Times New Roman"/>
          <w:sz w:val="22"/>
        </w:rPr>
      </w:pPr>
      <w:r w:rsidRPr="00B24CCC">
        <w:rPr>
          <w:rFonts w:cs="Times New Roman"/>
          <w:sz w:val="22"/>
        </w:rPr>
        <w:t>the total amount in interest claimed on the capital at the date of the summons or as at an earlier date specified in the particulars; and</w:t>
      </w:r>
    </w:p>
    <w:p w14:paraId="0D7E1F21" w14:textId="77777777" w:rsidR="000C75CB" w:rsidRPr="00B24CCC" w:rsidRDefault="000C75CB" w:rsidP="00C00012">
      <w:pPr>
        <w:numPr>
          <w:ilvl w:val="1"/>
          <w:numId w:val="5"/>
        </w:numPr>
        <w:spacing w:line="240" w:lineRule="auto"/>
        <w:ind w:left="2891"/>
        <w:rPr>
          <w:rFonts w:cs="Times New Roman"/>
          <w:sz w:val="22"/>
        </w:rPr>
      </w:pPr>
      <w:r w:rsidRPr="00B24CCC">
        <w:rPr>
          <w:rFonts w:cs="Times New Roman"/>
          <w:sz w:val="22"/>
        </w:rPr>
        <w:t>whether or not interest is claimed on the total amount of capital and interest referred to in paragraphs (a) or (b) and, if not, the amount in respect of which any interest is claimed and the date from which interest is to run.”</w:t>
      </w:r>
    </w:p>
    <w:p w14:paraId="3A7CDDFA" w14:textId="77777777" w:rsidR="000C75CB" w:rsidRDefault="000C75CB" w:rsidP="000C75CB">
      <w:pPr>
        <w:ind w:left="360"/>
        <w:rPr>
          <w:rFonts w:cs="Times New Roman"/>
        </w:rPr>
      </w:pPr>
      <w:r w:rsidRPr="00426906">
        <w:rPr>
          <w:rFonts w:cs="Times New Roman"/>
        </w:rPr>
        <w:t>These provisions give content to what must be pleaded in a liquidated claim, particularly in relation to quantification and the interest component, so that the defendant is able to discern from the pleading itself what case it has to meet.</w:t>
      </w:r>
      <w:r>
        <w:rPr>
          <w:rFonts w:cs="Times New Roman"/>
        </w:rPr>
        <w:t xml:space="preserve"> </w:t>
      </w:r>
    </w:p>
    <w:p w14:paraId="635C8102" w14:textId="77777777" w:rsidR="000C75CB" w:rsidRDefault="000C75CB" w:rsidP="00B77032">
      <w:pPr>
        <w:numPr>
          <w:ilvl w:val="0"/>
          <w:numId w:val="5"/>
        </w:numPr>
        <w:ind w:left="426"/>
        <w:rPr>
          <w:rFonts w:cs="Times New Roman"/>
        </w:rPr>
      </w:pPr>
      <w:r w:rsidRPr="00DB78BB">
        <w:rPr>
          <w:rFonts w:cs="Times New Roman"/>
        </w:rPr>
        <w:t xml:space="preserve">The rules speak directly to quantification and interest, but they do not displace the need to plead the legal source of the indebtedness and the plaintiff’s title to sue. Where a plaintiff’s right is derived from another, the pleading must disclose facts establishing that it is the proper creditor and is entitled to sue in its own name. In </w:t>
      </w:r>
      <w:r w:rsidRPr="00DB78BB">
        <w:rPr>
          <w:rFonts w:cs="Times New Roman"/>
          <w:i/>
          <w:iCs/>
        </w:rPr>
        <w:t xml:space="preserve">Law Society of Zimbabwe </w:t>
      </w:r>
      <w:r w:rsidRPr="00DB78BB">
        <w:rPr>
          <w:rFonts w:cs="Times New Roman"/>
        </w:rPr>
        <w:t>v</w:t>
      </w:r>
      <w:r w:rsidRPr="00DB78BB">
        <w:rPr>
          <w:rFonts w:cs="Times New Roman"/>
          <w:i/>
          <w:iCs/>
        </w:rPr>
        <w:t xml:space="preserve"> Parliament of Zimbabwe &amp; Ors</w:t>
      </w:r>
      <w:r w:rsidRPr="00DB78BB">
        <w:rPr>
          <w:rFonts w:cs="Times New Roman"/>
        </w:rPr>
        <w:t xml:space="preserve"> CCZ</w:t>
      </w:r>
      <w:r>
        <w:rPr>
          <w:rFonts w:cs="Times New Roman"/>
        </w:rPr>
        <w:t>-</w:t>
      </w:r>
      <w:r w:rsidRPr="00DB78BB">
        <w:rPr>
          <w:rFonts w:cs="Times New Roman"/>
        </w:rPr>
        <w:t>10</w:t>
      </w:r>
      <w:r>
        <w:rPr>
          <w:rFonts w:cs="Times New Roman"/>
        </w:rPr>
        <w:t>-</w:t>
      </w:r>
      <w:r w:rsidRPr="00DB78BB">
        <w:rPr>
          <w:rFonts w:cs="Times New Roman"/>
        </w:rPr>
        <w:t xml:space="preserve">23 at 25 para 64, the court stated: </w:t>
      </w:r>
    </w:p>
    <w:p w14:paraId="6ECE049D" w14:textId="77777777" w:rsidR="000C75CB" w:rsidRPr="00B24CCC" w:rsidRDefault="000C75CB" w:rsidP="000C75CB">
      <w:pPr>
        <w:spacing w:line="240" w:lineRule="auto"/>
        <w:ind w:left="720"/>
        <w:rPr>
          <w:rFonts w:cs="Times New Roman"/>
          <w:sz w:val="22"/>
        </w:rPr>
      </w:pPr>
      <w:r w:rsidRPr="00B24CCC">
        <w:rPr>
          <w:rFonts w:cs="Times New Roman"/>
          <w:sz w:val="22"/>
        </w:rPr>
        <w:t xml:space="preserve">“The onus to establish any issue rests on that party relying upon it. It is thus necessary for a party in all cases to allege in its pleadings facts sufficient to show that it has </w:t>
      </w:r>
      <w:r w:rsidRPr="00B24CCC">
        <w:rPr>
          <w:rFonts w:cs="Times New Roman"/>
          <w:i/>
          <w:iCs/>
          <w:sz w:val="22"/>
        </w:rPr>
        <w:t>locus standi</w:t>
      </w:r>
      <w:r w:rsidRPr="00B24CCC">
        <w:rPr>
          <w:rFonts w:cs="Times New Roman"/>
          <w:sz w:val="22"/>
        </w:rPr>
        <w:t xml:space="preserve"> to bring an action. This applies to all proceedings, whether by application or summons.” </w:t>
      </w:r>
    </w:p>
    <w:p w14:paraId="7093E189" w14:textId="77777777" w:rsidR="000C75CB" w:rsidRDefault="000C75CB" w:rsidP="00B77032">
      <w:pPr>
        <w:numPr>
          <w:ilvl w:val="0"/>
          <w:numId w:val="5"/>
        </w:numPr>
        <w:ind w:left="426"/>
        <w:rPr>
          <w:rFonts w:cs="Times New Roman"/>
        </w:rPr>
      </w:pPr>
      <w:r w:rsidRPr="00DB78BB">
        <w:rPr>
          <w:rFonts w:cs="Times New Roman"/>
        </w:rPr>
        <w:t xml:space="preserve">Where a plaintiff sues on a ceded or assigned right, it must therefore plead the assignment or cession and its entitlement to enforce the debt. In </w:t>
      </w:r>
      <w:r w:rsidRPr="00DB78BB">
        <w:rPr>
          <w:rFonts w:cs="Times New Roman"/>
          <w:i/>
          <w:iCs/>
        </w:rPr>
        <w:t xml:space="preserve">Trust Bank Corporation Ltd </w:t>
      </w:r>
      <w:r w:rsidRPr="00DF12DB">
        <w:rPr>
          <w:rFonts w:cs="Times New Roman"/>
        </w:rPr>
        <w:t>v</w:t>
      </w:r>
      <w:r w:rsidRPr="00DB78BB">
        <w:rPr>
          <w:rFonts w:cs="Times New Roman"/>
          <w:i/>
          <w:iCs/>
        </w:rPr>
        <w:t xml:space="preserve"> Cold Storage Company Ltd</w:t>
      </w:r>
      <w:r w:rsidRPr="00DB78BB">
        <w:rPr>
          <w:rFonts w:cs="Times New Roman"/>
        </w:rPr>
        <w:t xml:space="preserve"> HH</w:t>
      </w:r>
      <w:r>
        <w:rPr>
          <w:rFonts w:cs="Times New Roman"/>
        </w:rPr>
        <w:t>-</w:t>
      </w:r>
      <w:r w:rsidRPr="00DB78BB">
        <w:rPr>
          <w:rFonts w:cs="Times New Roman"/>
        </w:rPr>
        <w:t>34</w:t>
      </w:r>
      <w:r>
        <w:rPr>
          <w:rFonts w:cs="Times New Roman"/>
        </w:rPr>
        <w:t>-</w:t>
      </w:r>
      <w:r w:rsidRPr="00DB78BB">
        <w:rPr>
          <w:rFonts w:cs="Times New Roman"/>
        </w:rPr>
        <w:t>08 at 5, the court observed that “Furthermore</w:t>
      </w:r>
      <w:r>
        <w:rPr>
          <w:rFonts w:cs="Times New Roman"/>
        </w:rPr>
        <w:t>,</w:t>
      </w:r>
      <w:r w:rsidRPr="00DB78BB">
        <w:rPr>
          <w:rFonts w:cs="Times New Roman"/>
        </w:rPr>
        <w:t xml:space="preserve"> the cession does </w:t>
      </w:r>
      <w:r w:rsidRPr="00DB78BB">
        <w:rPr>
          <w:rFonts w:cs="Times New Roman"/>
        </w:rPr>
        <w:lastRenderedPageBreak/>
        <w:t>not automatically confer agency powers to the cedent”, which underscores that title to sue follows the right that has been ceded.</w:t>
      </w:r>
    </w:p>
    <w:p w14:paraId="74403130" w14:textId="41A1E74F" w:rsidR="000C75CB" w:rsidRDefault="000C75CB" w:rsidP="00B77032">
      <w:pPr>
        <w:numPr>
          <w:ilvl w:val="0"/>
          <w:numId w:val="5"/>
        </w:numPr>
        <w:ind w:left="426"/>
        <w:rPr>
          <w:rFonts w:cs="Times New Roman"/>
        </w:rPr>
      </w:pPr>
      <w:r w:rsidRPr="00BF0564">
        <w:rPr>
          <w:rFonts w:cs="Times New Roman"/>
        </w:rPr>
        <w:t xml:space="preserve">The critical question </w:t>
      </w:r>
      <w:r w:rsidRPr="00BF0564">
        <w:rPr>
          <w:rFonts w:cs="Times New Roman"/>
          <w:i/>
          <w:iCs/>
        </w:rPr>
        <w:t>in casu</w:t>
      </w:r>
      <w:r w:rsidRPr="00BF0564">
        <w:rPr>
          <w:rFonts w:cs="Times New Roman"/>
        </w:rPr>
        <w:t>, however, was that the plaintiff did not merely seek an order for payment of the liquidated sum in circumstances where liability f</w:t>
      </w:r>
      <w:r w:rsidR="00AB67DD">
        <w:rPr>
          <w:rFonts w:cs="Times New Roman"/>
        </w:rPr>
        <w:t>lowed</w:t>
      </w:r>
      <w:r w:rsidRPr="00BF0564">
        <w:rPr>
          <w:rFonts w:cs="Times New Roman"/>
        </w:rPr>
        <w:t xml:space="preserve"> directly from the instrument relied upon. It sought, in addition, to fix liability for that debt upon the defendant</w:t>
      </w:r>
      <w:r>
        <w:rPr>
          <w:rFonts w:cs="Times New Roman"/>
        </w:rPr>
        <w:t>,</w:t>
      </w:r>
      <w:r w:rsidRPr="00BF0564">
        <w:rPr>
          <w:rFonts w:cs="Times New Roman"/>
        </w:rPr>
        <w:t xml:space="preserve"> notwithstanding that the arbitral award was obtained against Safari Connect and notwithstanding the novation. </w:t>
      </w:r>
      <w:r w:rsidRPr="007B73C4">
        <w:rPr>
          <w:rFonts w:cs="Times New Roman"/>
        </w:rPr>
        <w:t>It did so on the basis that the defendant and Safari Connect operated as one economic unit and that it was just and equitable that the corporate veil be lifted so that the defendant was held liable for the debt.</w:t>
      </w:r>
      <w:r>
        <w:rPr>
          <w:rFonts w:cs="Times New Roman"/>
        </w:rPr>
        <w:t xml:space="preserve"> </w:t>
      </w:r>
      <w:r w:rsidRPr="00BF0564">
        <w:rPr>
          <w:rFonts w:cs="Times New Roman"/>
        </w:rPr>
        <w:t xml:space="preserve">The further question, to which I turn, </w:t>
      </w:r>
      <w:r>
        <w:rPr>
          <w:rFonts w:cs="Times New Roman"/>
        </w:rPr>
        <w:t>is</w:t>
      </w:r>
      <w:r w:rsidRPr="00BF0564">
        <w:rPr>
          <w:rFonts w:cs="Times New Roman"/>
        </w:rPr>
        <w:t xml:space="preserve"> whether the summons and declaration pleaded the additional facts necessary to fix liability upon the defendant in the particular manner contended for by the plaintiff.</w:t>
      </w:r>
      <w:r>
        <w:rPr>
          <w:rFonts w:cs="Times New Roman"/>
        </w:rPr>
        <w:t xml:space="preserve"> </w:t>
      </w:r>
      <w:r w:rsidRPr="001B5942">
        <w:rPr>
          <w:rFonts w:cs="Times New Roman"/>
        </w:rPr>
        <w:t xml:space="preserve">Before that enquiry can be undertaken, it is necessary to set out the requirements for lifting the corporate veil where it is relied upon as the juridical basis for </w:t>
      </w:r>
      <w:r>
        <w:rPr>
          <w:rFonts w:cs="Times New Roman"/>
        </w:rPr>
        <w:t>imposing</w:t>
      </w:r>
      <w:r w:rsidRPr="001B5942">
        <w:rPr>
          <w:rFonts w:cs="Times New Roman"/>
        </w:rPr>
        <w:t xml:space="preserve"> liability on a party who is not the debtor under the instrument sued upon, so as to complete the cause of action disclosed by the summons and declaration.</w:t>
      </w:r>
    </w:p>
    <w:p w14:paraId="5DABF858" w14:textId="77777777" w:rsidR="000C75CB" w:rsidRPr="00813F7D" w:rsidRDefault="000C75CB" w:rsidP="00B77032">
      <w:pPr>
        <w:numPr>
          <w:ilvl w:val="0"/>
          <w:numId w:val="5"/>
        </w:numPr>
        <w:ind w:left="426"/>
        <w:rPr>
          <w:rFonts w:cs="Times New Roman"/>
        </w:rPr>
      </w:pPr>
      <w:r w:rsidRPr="00BB69D0">
        <w:rPr>
          <w:rFonts w:cs="Times New Roman"/>
        </w:rPr>
        <w:t xml:space="preserve">In general, a party seeking to invoke the remedy of lifting the corporate veil must show that its case falls within recognised and exceptional circumstances warranting a departure from the ordinary rule of separate juristic personality and limited liability. The courts have also deliberately refrained from attempting to define all the circumstances under which the corporate veil will be lifted. </w:t>
      </w:r>
      <w:r w:rsidRPr="00813F7D">
        <w:rPr>
          <w:rFonts w:cs="Times New Roman"/>
        </w:rPr>
        <w:t xml:space="preserve">In </w:t>
      </w:r>
      <w:r w:rsidRPr="00813F7D">
        <w:rPr>
          <w:rFonts w:cs="Times New Roman"/>
          <w:i/>
          <w:iCs/>
        </w:rPr>
        <w:t xml:space="preserve">Manja &amp; Ors </w:t>
      </w:r>
      <w:r w:rsidRPr="00813F7D">
        <w:rPr>
          <w:rFonts w:cs="Times New Roman"/>
        </w:rPr>
        <w:t>v</w:t>
      </w:r>
      <w:r w:rsidRPr="00813F7D">
        <w:rPr>
          <w:rFonts w:cs="Times New Roman"/>
          <w:i/>
          <w:iCs/>
        </w:rPr>
        <w:t xml:space="preserve"> Sheriff of Zimbabwe</w:t>
      </w:r>
      <w:r w:rsidRPr="00813F7D">
        <w:rPr>
          <w:rFonts w:cs="Times New Roman"/>
        </w:rPr>
        <w:t xml:space="preserve"> S-9-21 at 11, the court stated:</w:t>
      </w:r>
    </w:p>
    <w:p w14:paraId="29633631" w14:textId="77777777" w:rsidR="000C75CB" w:rsidRPr="00B24CCC" w:rsidRDefault="000C75CB" w:rsidP="000C75CB">
      <w:pPr>
        <w:spacing w:line="240" w:lineRule="auto"/>
        <w:ind w:left="720"/>
        <w:rPr>
          <w:rFonts w:cs="Times New Roman"/>
          <w:sz w:val="22"/>
        </w:rPr>
      </w:pPr>
      <w:r w:rsidRPr="00B24CCC">
        <w:rPr>
          <w:rFonts w:cs="Times New Roman"/>
          <w:sz w:val="22"/>
        </w:rPr>
        <w:t>“The courts have purposely refrained from attempting to define all the circumstances under which the corporate veil will be lifted. This has been done commendably to avoid unnecessarily fettering what is clearly the exercise of a wide judicial discretion. What comes out from the authorities is that the court will disregard a company’s separate personality where an element of fraud or other improper conduct in either the establishment or use of a company or in the conduct of the company’s affairs exists.”</w:t>
      </w:r>
    </w:p>
    <w:p w14:paraId="5E22B0B1" w14:textId="77777777" w:rsidR="000C75CB" w:rsidRDefault="000C75CB" w:rsidP="00B77032">
      <w:pPr>
        <w:numPr>
          <w:ilvl w:val="0"/>
          <w:numId w:val="5"/>
        </w:numPr>
        <w:ind w:left="426"/>
        <w:rPr>
          <w:rFonts w:cs="Times New Roman"/>
        </w:rPr>
      </w:pPr>
      <w:r w:rsidRPr="00D10BB4">
        <w:rPr>
          <w:rFonts w:cs="Times New Roman"/>
        </w:rPr>
        <w:t xml:space="preserve">The purpose and character of the remedy were also stated in </w:t>
      </w:r>
      <w:r w:rsidRPr="00D10BB4">
        <w:rPr>
          <w:rFonts w:cs="Times New Roman"/>
          <w:i/>
          <w:iCs/>
        </w:rPr>
        <w:t xml:space="preserve">Sheriff for Zimbabwe and </w:t>
      </w:r>
      <w:r>
        <w:rPr>
          <w:rFonts w:cs="Times New Roman"/>
          <w:i/>
          <w:iCs/>
        </w:rPr>
        <w:t xml:space="preserve">Anor </w:t>
      </w:r>
      <w:r>
        <w:rPr>
          <w:rFonts w:cs="Times New Roman"/>
        </w:rPr>
        <w:t xml:space="preserve">v </w:t>
      </w:r>
      <w:r>
        <w:rPr>
          <w:rFonts w:cs="Times New Roman"/>
          <w:i/>
          <w:iCs/>
        </w:rPr>
        <w:t>Nenhowe</w:t>
      </w:r>
      <w:r w:rsidRPr="00D10BB4">
        <w:rPr>
          <w:rFonts w:cs="Times New Roman"/>
          <w:i/>
          <w:iCs/>
        </w:rPr>
        <w:t xml:space="preserve"> and Others</w:t>
      </w:r>
      <w:r w:rsidRPr="00D10BB4">
        <w:rPr>
          <w:rFonts w:cs="Times New Roman"/>
        </w:rPr>
        <w:t xml:space="preserve"> HH</w:t>
      </w:r>
      <w:r>
        <w:rPr>
          <w:rFonts w:cs="Times New Roman"/>
        </w:rPr>
        <w:t>-</w:t>
      </w:r>
      <w:r w:rsidRPr="00D10BB4">
        <w:rPr>
          <w:rFonts w:cs="Times New Roman"/>
        </w:rPr>
        <w:t>673</w:t>
      </w:r>
      <w:r>
        <w:rPr>
          <w:rFonts w:cs="Times New Roman"/>
        </w:rPr>
        <w:t>-</w:t>
      </w:r>
      <w:r w:rsidRPr="00D10BB4">
        <w:rPr>
          <w:rFonts w:cs="Times New Roman"/>
        </w:rPr>
        <w:t>17 at 4, where the court held:</w:t>
      </w:r>
    </w:p>
    <w:p w14:paraId="73E16DA9" w14:textId="77777777" w:rsidR="000C75CB" w:rsidRPr="00B24CCC" w:rsidRDefault="000C75CB" w:rsidP="000C75CB">
      <w:pPr>
        <w:spacing w:line="240" w:lineRule="auto"/>
        <w:ind w:left="720"/>
        <w:rPr>
          <w:rFonts w:cs="Times New Roman"/>
          <w:sz w:val="22"/>
        </w:rPr>
      </w:pPr>
      <w:r w:rsidRPr="00F529E2">
        <w:rPr>
          <w:rFonts w:cs="Times New Roman"/>
        </w:rPr>
        <w:t>“</w:t>
      </w:r>
      <w:r w:rsidRPr="00B24CCC">
        <w:rPr>
          <w:rFonts w:cs="Times New Roman"/>
          <w:sz w:val="22"/>
        </w:rPr>
        <w:t xml:space="preserve">The doctrine on lifting of the corporate veil is most widely used in corporate law to decide when a shareholder or shareholders, will be held liable for obligations of a corporation, or when a </w:t>
      </w:r>
      <w:r w:rsidRPr="00B24CCC">
        <w:rPr>
          <w:rFonts w:cs="Times New Roman"/>
          <w:sz w:val="22"/>
        </w:rPr>
        <w:lastRenderedPageBreak/>
        <w:t>company should not be allowed to hide behind its corporate identity. The purpose of lifting the corporate veil is to avert manifest injustice arising out of fraud, to correct a wrong deliberately created by the company in order to subvert the principles of fair play or to avoid its obligations, or to defeat public convenience, or defend crime.</w:t>
      </w:r>
    </w:p>
    <w:p w14:paraId="2A38D3CC" w14:textId="77777777" w:rsidR="000C75CB" w:rsidRPr="00B24CCC" w:rsidRDefault="000C75CB" w:rsidP="000C75CB">
      <w:pPr>
        <w:spacing w:line="240" w:lineRule="auto"/>
        <w:ind w:left="720"/>
        <w:rPr>
          <w:rFonts w:cs="Times New Roman"/>
          <w:sz w:val="22"/>
        </w:rPr>
      </w:pPr>
      <w:r w:rsidRPr="00B24CCC">
        <w:rPr>
          <w:rFonts w:cs="Times New Roman"/>
          <w:sz w:val="22"/>
        </w:rPr>
        <w:t>There is no hard and fast rule about the court’s discretionary power to lift the corporate veil. Each case depends on its own facts and merits.”</w:t>
      </w:r>
    </w:p>
    <w:p w14:paraId="6122060F" w14:textId="77777777" w:rsidR="000C75CB" w:rsidRDefault="000C75CB" w:rsidP="00605E5C">
      <w:pPr>
        <w:pStyle w:val="NormalWeb"/>
        <w:numPr>
          <w:ilvl w:val="0"/>
          <w:numId w:val="5"/>
        </w:numPr>
        <w:spacing w:line="360" w:lineRule="auto"/>
        <w:ind w:left="426"/>
      </w:pPr>
      <w:r>
        <w:t xml:space="preserve">Even so, the remedy remains exceptional. In </w:t>
      </w:r>
      <w:r>
        <w:rPr>
          <w:rStyle w:val="Emphasis"/>
          <w:rFonts w:eastAsiaTheme="majorEastAsia"/>
        </w:rPr>
        <w:t xml:space="preserve">Mkombachoto </w:t>
      </w:r>
      <w:r w:rsidRPr="001E39DC">
        <w:rPr>
          <w:rStyle w:val="Emphasis"/>
          <w:rFonts w:eastAsiaTheme="majorEastAsia"/>
        </w:rPr>
        <w:t>v</w:t>
      </w:r>
      <w:r>
        <w:rPr>
          <w:rStyle w:val="Emphasis"/>
          <w:rFonts w:eastAsiaTheme="majorEastAsia"/>
        </w:rPr>
        <w:t xml:space="preserve"> Commercial Bank of Zimbabwe &amp; Anor</w:t>
      </w:r>
      <w:r>
        <w:t xml:space="preserve"> 2002 (1) ZLR 31 (H) at 390D, the court held:</w:t>
      </w:r>
    </w:p>
    <w:p w14:paraId="714F5C31" w14:textId="77777777" w:rsidR="000C75CB" w:rsidRPr="00B24CCC" w:rsidRDefault="000C75CB" w:rsidP="000C75CB">
      <w:pPr>
        <w:pStyle w:val="NormalWeb"/>
        <w:ind w:left="720"/>
        <w:rPr>
          <w:sz w:val="22"/>
          <w:szCs w:val="22"/>
        </w:rPr>
      </w:pPr>
      <w:r w:rsidRPr="00B24CCC">
        <w:rPr>
          <w:sz w:val="22"/>
          <w:szCs w:val="22"/>
        </w:rPr>
        <w:t>“In my view the court has no general discretion to disregard the company’s separate legal personality whenever it considers it just to do so. The court may ‘lift the veil’ only where otherwise as a result of its existence fraud would exist or manifest justice would be denied.”</w:t>
      </w:r>
    </w:p>
    <w:p w14:paraId="0C90AF7A" w14:textId="77777777" w:rsidR="000C75CB" w:rsidRPr="00320FF1" w:rsidRDefault="000C75CB" w:rsidP="000C75CB">
      <w:pPr>
        <w:ind w:left="360"/>
        <w:rPr>
          <w:rFonts w:cs="Times New Roman"/>
        </w:rPr>
      </w:pPr>
      <w:r>
        <w:rPr>
          <w:rFonts w:cs="Times New Roman"/>
        </w:rPr>
        <w:t xml:space="preserve">See also </w:t>
      </w:r>
      <w:r>
        <w:rPr>
          <w:rFonts w:cs="Times New Roman"/>
          <w:i/>
          <w:iCs/>
        </w:rPr>
        <w:t xml:space="preserve">Tindwa </w:t>
      </w:r>
      <w:r>
        <w:rPr>
          <w:rFonts w:cs="Times New Roman"/>
        </w:rPr>
        <w:t xml:space="preserve">v </w:t>
      </w:r>
      <w:r>
        <w:rPr>
          <w:rFonts w:cs="Times New Roman"/>
          <w:i/>
          <w:iCs/>
        </w:rPr>
        <w:t xml:space="preserve">Sheriff for Zimbabwe and Anor </w:t>
      </w:r>
      <w:r>
        <w:rPr>
          <w:rFonts w:cs="Times New Roman"/>
        </w:rPr>
        <w:t xml:space="preserve">S-94-22 at p. 8, para 15. </w:t>
      </w:r>
    </w:p>
    <w:p w14:paraId="25A88F8C" w14:textId="77777777" w:rsidR="000C75CB" w:rsidRDefault="000C75CB" w:rsidP="00B77032">
      <w:pPr>
        <w:numPr>
          <w:ilvl w:val="0"/>
          <w:numId w:val="5"/>
        </w:numPr>
        <w:ind w:left="567" w:hanging="567"/>
        <w:rPr>
          <w:rFonts w:cs="Times New Roman"/>
        </w:rPr>
      </w:pPr>
      <w:r w:rsidRPr="00AA6AC3">
        <w:rPr>
          <w:rFonts w:cs="Times New Roman"/>
        </w:rPr>
        <w:t>In that context, the authorities identify several recurring grounds that typify the exceptional circumstances in which the corporate veil will be lifted.</w:t>
      </w:r>
    </w:p>
    <w:p w14:paraId="4E97B87D" w14:textId="09A2A936" w:rsidR="000C75CB" w:rsidRDefault="000C75CB" w:rsidP="00B77032">
      <w:pPr>
        <w:numPr>
          <w:ilvl w:val="0"/>
          <w:numId w:val="5"/>
        </w:numPr>
        <w:ind w:left="426"/>
        <w:rPr>
          <w:rFonts w:cs="Times New Roman"/>
        </w:rPr>
      </w:pPr>
      <w:r w:rsidRPr="00AA6AC3">
        <w:rPr>
          <w:rFonts w:cs="Times New Roman"/>
        </w:rPr>
        <w:t xml:space="preserve">Firstly, the corporate veil will be lifted </w:t>
      </w:r>
      <w:r w:rsidRPr="00711385">
        <w:rPr>
          <w:rFonts w:cs="Times New Roman"/>
        </w:rPr>
        <w:t xml:space="preserve">where the separate corporate personality is abused as a corporate </w:t>
      </w:r>
      <w:r w:rsidR="005A190F">
        <w:rPr>
          <w:rFonts w:cs="Times New Roman"/>
        </w:rPr>
        <w:t>façade</w:t>
      </w:r>
      <w:r w:rsidRPr="00711385">
        <w:rPr>
          <w:rFonts w:cs="Times New Roman"/>
        </w:rPr>
        <w:t>, including the manipulation of limited liability, so that the court is entitled to look at substance rather than form and to attribute liability where it should rightly lie</w:t>
      </w:r>
      <w:r w:rsidRPr="00AA6AC3">
        <w:rPr>
          <w:rFonts w:cs="Times New Roman"/>
        </w:rPr>
        <w:t xml:space="preserve">. The same idea is expressed in decisions that emphasise misuse or abuse of corporate personality. In </w:t>
      </w:r>
      <w:r w:rsidRPr="00AA6AC3">
        <w:rPr>
          <w:rFonts w:cs="Times New Roman"/>
          <w:i/>
          <w:iCs/>
        </w:rPr>
        <w:t xml:space="preserve">Makeh Engineering (Pvt) Ltd </w:t>
      </w:r>
      <w:r w:rsidRPr="00AA6AC3">
        <w:rPr>
          <w:rFonts w:cs="Times New Roman"/>
        </w:rPr>
        <w:t>v</w:t>
      </w:r>
      <w:r w:rsidRPr="00AA6AC3">
        <w:rPr>
          <w:rFonts w:cs="Times New Roman"/>
          <w:i/>
          <w:iCs/>
        </w:rPr>
        <w:t xml:space="preserve"> ZB Financial Holdings</w:t>
      </w:r>
      <w:r w:rsidRPr="00AA6AC3">
        <w:rPr>
          <w:rFonts w:cs="Times New Roman"/>
        </w:rPr>
        <w:t xml:space="preserve"> HB</w:t>
      </w:r>
      <w:r>
        <w:rPr>
          <w:rFonts w:cs="Times New Roman"/>
        </w:rPr>
        <w:t>-</w:t>
      </w:r>
      <w:r w:rsidRPr="00AA6AC3">
        <w:rPr>
          <w:rFonts w:cs="Times New Roman"/>
        </w:rPr>
        <w:t>71</w:t>
      </w:r>
      <w:r>
        <w:rPr>
          <w:rFonts w:cs="Times New Roman"/>
        </w:rPr>
        <w:t>-</w:t>
      </w:r>
      <w:r w:rsidRPr="00AA6AC3">
        <w:rPr>
          <w:rFonts w:cs="Times New Roman"/>
        </w:rPr>
        <w:t xml:space="preserve">19 at </w:t>
      </w:r>
      <w:r>
        <w:rPr>
          <w:rFonts w:cs="Times New Roman"/>
        </w:rPr>
        <w:t>6</w:t>
      </w:r>
      <w:r w:rsidRPr="00AA6AC3">
        <w:rPr>
          <w:rFonts w:cs="Times New Roman"/>
        </w:rPr>
        <w:t>, the court stated:</w:t>
      </w:r>
    </w:p>
    <w:p w14:paraId="2D8D69F4" w14:textId="77777777" w:rsidR="000C75CB" w:rsidRPr="00B24CCC" w:rsidRDefault="000C75CB" w:rsidP="000C75CB">
      <w:pPr>
        <w:spacing w:line="240" w:lineRule="auto"/>
        <w:ind w:left="720"/>
        <w:rPr>
          <w:rFonts w:cs="Times New Roman"/>
          <w:sz w:val="22"/>
        </w:rPr>
      </w:pPr>
      <w:r w:rsidRPr="00B24CCC">
        <w:rPr>
          <w:rFonts w:cs="Times New Roman"/>
          <w:sz w:val="22"/>
        </w:rPr>
        <w:t>“The separate corporate personality can be subjected to abuse because limited liability is capable of manipulation. To adjudicate abuse and disregard limited liability this court can in exceptional cases, ignore the separate juristic personality of the company and pierce the corporate veil. Piercing would be an exclusion to the rule of limited liability and the court would be entitled to look at substance rather than form in order to arrive at the true facts, and if there has been a misuse of corporate personality, to disregard it and attribute its liability where it should rightly lie …”</w:t>
      </w:r>
    </w:p>
    <w:p w14:paraId="2526879D" w14:textId="59CC31E3" w:rsidR="000C75CB" w:rsidRDefault="000C75CB" w:rsidP="000C75CB">
      <w:pPr>
        <w:ind w:left="360"/>
        <w:rPr>
          <w:rFonts w:cs="Times New Roman"/>
        </w:rPr>
      </w:pPr>
      <w:r w:rsidRPr="00EE6223">
        <w:rPr>
          <w:rFonts w:cs="Times New Roman"/>
        </w:rPr>
        <w:t xml:space="preserve">See also </w:t>
      </w:r>
      <w:r w:rsidRPr="00EE6223">
        <w:rPr>
          <w:rFonts w:cs="Times New Roman"/>
          <w:i/>
          <w:iCs/>
        </w:rPr>
        <w:t xml:space="preserve">Pitlochry Estates (Pvt) Ltd </w:t>
      </w:r>
      <w:r w:rsidRPr="00350C27">
        <w:rPr>
          <w:rFonts w:cs="Times New Roman"/>
        </w:rPr>
        <w:t>v</w:t>
      </w:r>
      <w:r w:rsidRPr="00EE6223">
        <w:rPr>
          <w:rFonts w:cs="Times New Roman"/>
          <w:i/>
          <w:iCs/>
        </w:rPr>
        <w:t xml:space="preserve"> Macilwaine</w:t>
      </w:r>
      <w:r w:rsidRPr="00EE6223">
        <w:rPr>
          <w:rFonts w:cs="Times New Roman"/>
        </w:rPr>
        <w:t xml:space="preserve"> HH</w:t>
      </w:r>
      <w:r>
        <w:rPr>
          <w:rFonts w:cs="Times New Roman"/>
        </w:rPr>
        <w:t>-</w:t>
      </w:r>
      <w:r w:rsidRPr="00EE6223">
        <w:rPr>
          <w:rFonts w:cs="Times New Roman"/>
        </w:rPr>
        <w:t>394</w:t>
      </w:r>
      <w:r>
        <w:rPr>
          <w:rFonts w:cs="Times New Roman"/>
        </w:rPr>
        <w:t>-</w:t>
      </w:r>
      <w:r w:rsidRPr="00EE6223">
        <w:rPr>
          <w:rFonts w:cs="Times New Roman"/>
        </w:rPr>
        <w:t>17 at 7</w:t>
      </w:r>
      <w:r w:rsidR="00573CCA">
        <w:rPr>
          <w:rFonts w:cs="Times New Roman"/>
        </w:rPr>
        <w:t xml:space="preserve"> and s62 (3) of the Companies and Other Business Entities Act [</w:t>
      </w:r>
      <w:r w:rsidR="00573CCA" w:rsidRPr="00573CCA">
        <w:rPr>
          <w:rFonts w:cs="Times New Roman"/>
          <w:i/>
          <w:iCs/>
        </w:rPr>
        <w:t>Chapter 24:31</w:t>
      </w:r>
      <w:r w:rsidR="00573CCA">
        <w:rPr>
          <w:rFonts w:cs="Times New Roman"/>
        </w:rPr>
        <w:t xml:space="preserve">]. </w:t>
      </w:r>
    </w:p>
    <w:p w14:paraId="522D60EF" w14:textId="77777777" w:rsidR="000C75CB" w:rsidRDefault="000C75CB" w:rsidP="00B77032">
      <w:pPr>
        <w:numPr>
          <w:ilvl w:val="0"/>
          <w:numId w:val="5"/>
        </w:numPr>
        <w:ind w:left="426"/>
        <w:rPr>
          <w:rFonts w:cs="Times New Roman"/>
        </w:rPr>
      </w:pPr>
      <w:r w:rsidRPr="00635AE5">
        <w:rPr>
          <w:rFonts w:cs="Times New Roman"/>
        </w:rPr>
        <w:t xml:space="preserve">Secondly, the corporate veil will be lifted in limited circumstances where fraud, unjust dealing or other improper conduct is alleged and established. In this context, the courts also employ the alter ego formulation. The authorities, however, are not uniform on whether alter </w:t>
      </w:r>
      <w:r w:rsidRPr="00635AE5">
        <w:rPr>
          <w:rFonts w:cs="Times New Roman"/>
        </w:rPr>
        <w:lastRenderedPageBreak/>
        <w:t xml:space="preserve">ego is treated as sufficient on its own or whether it is ordinarily coupled with fraud, unjust conduct or similar impropriety. In </w:t>
      </w:r>
      <w:r w:rsidRPr="00635AE5">
        <w:rPr>
          <w:rFonts w:cs="Times New Roman"/>
          <w:i/>
          <w:iCs/>
        </w:rPr>
        <w:t xml:space="preserve">Sheriff for Zimbabwe </w:t>
      </w:r>
      <w:r w:rsidRPr="003C2B25">
        <w:rPr>
          <w:rFonts w:cs="Times New Roman"/>
        </w:rPr>
        <w:t>v</w:t>
      </w:r>
      <w:r w:rsidRPr="00635AE5">
        <w:rPr>
          <w:rFonts w:cs="Times New Roman"/>
          <w:i/>
          <w:iCs/>
        </w:rPr>
        <w:t xml:space="preserve"> Manyise</w:t>
      </w:r>
      <w:r>
        <w:rPr>
          <w:rFonts w:cs="Times New Roman"/>
          <w:i/>
          <w:iCs/>
        </w:rPr>
        <w:t xml:space="preserve"> and Anor</w:t>
      </w:r>
      <w:r w:rsidRPr="00635AE5">
        <w:rPr>
          <w:rFonts w:cs="Times New Roman"/>
        </w:rPr>
        <w:t xml:space="preserve"> HH</w:t>
      </w:r>
      <w:r>
        <w:rPr>
          <w:rFonts w:cs="Times New Roman"/>
        </w:rPr>
        <w:t>-</w:t>
      </w:r>
      <w:r w:rsidRPr="00635AE5">
        <w:rPr>
          <w:rFonts w:cs="Times New Roman"/>
        </w:rPr>
        <w:t>64</w:t>
      </w:r>
      <w:r>
        <w:rPr>
          <w:rFonts w:cs="Times New Roman"/>
        </w:rPr>
        <w:t>-</w:t>
      </w:r>
      <w:r w:rsidRPr="00635AE5">
        <w:rPr>
          <w:rFonts w:cs="Times New Roman"/>
        </w:rPr>
        <w:t>19 at 2 para 6, the court stated:</w:t>
      </w:r>
    </w:p>
    <w:p w14:paraId="31EC94EE" w14:textId="77777777" w:rsidR="000C75CB" w:rsidRPr="00B24CCC" w:rsidRDefault="000C75CB" w:rsidP="000C75CB">
      <w:pPr>
        <w:spacing w:line="240" w:lineRule="auto"/>
        <w:ind w:left="1080" w:hanging="360"/>
        <w:rPr>
          <w:rFonts w:cs="Times New Roman"/>
          <w:sz w:val="22"/>
        </w:rPr>
      </w:pPr>
      <w:r w:rsidRPr="00B24CCC">
        <w:rPr>
          <w:rFonts w:cs="Times New Roman"/>
          <w:sz w:val="22"/>
        </w:rPr>
        <w:t>“6.</w:t>
      </w:r>
      <w:r w:rsidRPr="00B24CCC">
        <w:rPr>
          <w:rFonts w:cs="Times New Roman"/>
          <w:sz w:val="22"/>
        </w:rPr>
        <w:tab/>
        <w:t xml:space="preserve"> The alter ego doctrine is used by the courts to ignore the corporate status of a group of directors or a corporation in reference to their limited liability, so that they may be held personally liable for their actions when they have acted fraudulently or unjustly and when to refuse to do so would deprive an innocent party of redress for an injury caused by them.”</w:t>
      </w:r>
    </w:p>
    <w:p w14:paraId="5C1A3BB6" w14:textId="77777777" w:rsidR="000C75CB" w:rsidRPr="002A07EC" w:rsidRDefault="000C75CB" w:rsidP="000C75CB">
      <w:pPr>
        <w:ind w:left="360"/>
        <w:rPr>
          <w:rFonts w:cs="Times New Roman"/>
        </w:rPr>
      </w:pPr>
      <w:r w:rsidRPr="002A07EC">
        <w:rPr>
          <w:rFonts w:cs="Times New Roman"/>
        </w:rPr>
        <w:t>Conversely, where no fraud is alleged</w:t>
      </w:r>
      <w:r>
        <w:rPr>
          <w:rFonts w:cs="Times New Roman"/>
        </w:rPr>
        <w:t>,</w:t>
      </w:r>
      <w:r w:rsidRPr="002A07EC">
        <w:rPr>
          <w:rFonts w:cs="Times New Roman"/>
        </w:rPr>
        <w:t xml:space="preserve"> and there is no suggestion that the corporate form was organised as a device to evade legal obligation or frustrate execution, the separate legal existence will be maintained. In </w:t>
      </w:r>
      <w:r w:rsidRPr="002A07EC">
        <w:rPr>
          <w:rFonts w:cs="Times New Roman"/>
          <w:i/>
          <w:iCs/>
        </w:rPr>
        <w:t xml:space="preserve">Sheriff of Zimbabwe </w:t>
      </w:r>
      <w:r w:rsidRPr="002A07EC">
        <w:rPr>
          <w:rFonts w:cs="Times New Roman"/>
        </w:rPr>
        <w:t>v</w:t>
      </w:r>
      <w:r w:rsidRPr="002A07EC">
        <w:rPr>
          <w:rFonts w:cs="Times New Roman"/>
          <w:i/>
          <w:iCs/>
        </w:rPr>
        <w:t xml:space="preserve"> Senital (Pvt) Ltd </w:t>
      </w:r>
      <w:r w:rsidRPr="002A07EC">
        <w:rPr>
          <w:rFonts w:cs="Times New Roman"/>
        </w:rPr>
        <w:t>HB</w:t>
      </w:r>
      <w:r>
        <w:rPr>
          <w:rFonts w:cs="Times New Roman"/>
        </w:rPr>
        <w:t>-</w:t>
      </w:r>
      <w:r w:rsidRPr="002A07EC">
        <w:rPr>
          <w:rFonts w:cs="Times New Roman"/>
        </w:rPr>
        <w:t>233</w:t>
      </w:r>
      <w:r>
        <w:rPr>
          <w:rFonts w:cs="Times New Roman"/>
        </w:rPr>
        <w:t>-</w:t>
      </w:r>
      <w:r w:rsidRPr="002A07EC">
        <w:rPr>
          <w:rFonts w:cs="Times New Roman"/>
        </w:rPr>
        <w:t>18 at 3, the court held:</w:t>
      </w:r>
    </w:p>
    <w:p w14:paraId="7571995E" w14:textId="77777777" w:rsidR="000C75CB" w:rsidRPr="00B24CCC" w:rsidRDefault="000C75CB" w:rsidP="000C75CB">
      <w:pPr>
        <w:spacing w:line="240" w:lineRule="auto"/>
        <w:ind w:left="720"/>
        <w:rPr>
          <w:rFonts w:cs="Times New Roman"/>
          <w:sz w:val="22"/>
        </w:rPr>
      </w:pPr>
      <w:r w:rsidRPr="00B24CCC">
        <w:rPr>
          <w:rFonts w:cs="Times New Roman"/>
          <w:sz w:val="22"/>
        </w:rPr>
        <w:t>“In the matter before me, no fraud has been alleged. The judgment creditor has not alleged that the claimant was organised as a device to evade an outstanding legal obligation and to frustrate execution. The separate legal existence between Christian Van Wyk and the claimant has to be maintained and observed by this court.”</w:t>
      </w:r>
    </w:p>
    <w:p w14:paraId="2215ACB4" w14:textId="45BAB578" w:rsidR="000C75CB" w:rsidRDefault="000C75CB" w:rsidP="00B77032">
      <w:pPr>
        <w:numPr>
          <w:ilvl w:val="0"/>
          <w:numId w:val="5"/>
        </w:numPr>
        <w:ind w:left="567" w:hanging="567"/>
        <w:rPr>
          <w:rFonts w:cs="Times New Roman"/>
        </w:rPr>
      </w:pPr>
      <w:r w:rsidRPr="006E71BC">
        <w:rPr>
          <w:rFonts w:cs="Times New Roman"/>
        </w:rPr>
        <w:t xml:space="preserve">Thirdly, and most centrally for present purposes, the real dispute </w:t>
      </w:r>
      <w:r w:rsidRPr="006E71BC">
        <w:rPr>
          <w:rFonts w:cs="Times New Roman"/>
          <w:i/>
          <w:iCs/>
        </w:rPr>
        <w:t>in casu</w:t>
      </w:r>
      <w:r w:rsidRPr="006E71BC">
        <w:rPr>
          <w:rFonts w:cs="Times New Roman"/>
        </w:rPr>
        <w:t xml:space="preserve"> appears to be whether the “single economic unit” formulation, without more, constitutes an independent and sufficient basis for lifting the corporate veil. </w:t>
      </w:r>
      <w:r w:rsidRPr="0063480D">
        <w:rPr>
          <w:rFonts w:cs="Times New Roman"/>
        </w:rPr>
        <w:t>A further dimension of this ground is that the exceptions to separate corporate personality are not confined to fraudulent and improper conduct</w:t>
      </w:r>
      <w:r w:rsidR="00882432">
        <w:rPr>
          <w:rFonts w:cs="Times New Roman"/>
        </w:rPr>
        <w:t xml:space="preserve">: </w:t>
      </w:r>
      <w:r w:rsidR="00882432" w:rsidRPr="008A6CF1">
        <w:rPr>
          <w:rFonts w:cs="Times New Roman"/>
          <w:i/>
          <w:iCs/>
          <w:szCs w:val="24"/>
        </w:rPr>
        <w:t>Deputy Sheriff v Trinpac Investments supra</w:t>
      </w:r>
      <w:r w:rsidR="006418C0">
        <w:rPr>
          <w:rFonts w:cs="Times New Roman"/>
        </w:rPr>
        <w:t xml:space="preserve"> at </w:t>
      </w:r>
      <w:r w:rsidR="003A036A">
        <w:rPr>
          <w:rFonts w:cs="Times New Roman"/>
        </w:rPr>
        <w:t xml:space="preserve">552D-G. </w:t>
      </w:r>
      <w:r w:rsidRPr="0063480D">
        <w:rPr>
          <w:rFonts w:cs="Times New Roman"/>
        </w:rPr>
        <w:t xml:space="preserve">In </w:t>
      </w:r>
      <w:r w:rsidRPr="0063480D">
        <w:rPr>
          <w:rFonts w:cs="Times New Roman"/>
          <w:i/>
          <w:iCs/>
        </w:rPr>
        <w:t xml:space="preserve">Deputy Sheriff, Karoi </w:t>
      </w:r>
      <w:r w:rsidRPr="0063480D">
        <w:rPr>
          <w:rFonts w:cs="Times New Roman"/>
        </w:rPr>
        <w:t>v</w:t>
      </w:r>
      <w:r w:rsidRPr="0063480D">
        <w:rPr>
          <w:rFonts w:cs="Times New Roman"/>
          <w:i/>
          <w:iCs/>
        </w:rPr>
        <w:t xml:space="preserve"> Chigango</w:t>
      </w:r>
      <w:r>
        <w:rPr>
          <w:rFonts w:cs="Times New Roman"/>
          <w:i/>
          <w:iCs/>
        </w:rPr>
        <w:t xml:space="preserve"> &amp;</w:t>
      </w:r>
      <w:r w:rsidRPr="0063480D">
        <w:rPr>
          <w:rFonts w:cs="Times New Roman"/>
          <w:i/>
          <w:iCs/>
        </w:rPr>
        <w:t xml:space="preserve"> Ors </w:t>
      </w:r>
      <w:r w:rsidRPr="0063480D">
        <w:rPr>
          <w:rFonts w:cs="Times New Roman"/>
        </w:rPr>
        <w:t>HH</w:t>
      </w:r>
      <w:r>
        <w:rPr>
          <w:rFonts w:cs="Times New Roman"/>
        </w:rPr>
        <w:t>-</w:t>
      </w:r>
      <w:r w:rsidRPr="0063480D">
        <w:rPr>
          <w:rFonts w:cs="Times New Roman"/>
        </w:rPr>
        <w:t>310</w:t>
      </w:r>
      <w:r>
        <w:rPr>
          <w:rFonts w:cs="Times New Roman"/>
        </w:rPr>
        <w:t>-</w:t>
      </w:r>
      <w:r w:rsidRPr="0063480D">
        <w:rPr>
          <w:rFonts w:cs="Times New Roman"/>
        </w:rPr>
        <w:t>14 at 5–6, the court stated:</w:t>
      </w:r>
    </w:p>
    <w:p w14:paraId="348F2B1E" w14:textId="77777777" w:rsidR="000C75CB" w:rsidRDefault="000C75CB" w:rsidP="000C75CB">
      <w:pPr>
        <w:spacing w:line="240" w:lineRule="auto"/>
        <w:ind w:left="720"/>
        <w:rPr>
          <w:rFonts w:cs="Times New Roman"/>
        </w:rPr>
      </w:pPr>
      <w:r w:rsidRPr="00B24CCC">
        <w:rPr>
          <w:rFonts w:cs="Times New Roman"/>
          <w:sz w:val="22"/>
        </w:rPr>
        <w:t>“The exceptions to the general principle have been extended beyond the realm of fraudulent and improper conduct to the situation where a single economic entity owns all the shares in its subsidiaries and controls every aspect of its operation’</w:t>
      </w:r>
      <w:r w:rsidRPr="0063480D">
        <w:rPr>
          <w:rFonts w:cs="Times New Roman"/>
        </w:rPr>
        <w:t>”</w:t>
      </w:r>
    </w:p>
    <w:p w14:paraId="2CD717A4" w14:textId="77777777" w:rsidR="007226BD" w:rsidRDefault="000C75CB" w:rsidP="007226BD">
      <w:pPr>
        <w:numPr>
          <w:ilvl w:val="0"/>
          <w:numId w:val="5"/>
        </w:numPr>
        <w:ind w:left="426"/>
        <w:rPr>
          <w:rFonts w:cs="Times New Roman"/>
        </w:rPr>
      </w:pPr>
      <w:r w:rsidRPr="00711385">
        <w:rPr>
          <w:rFonts w:cs="Times New Roman"/>
        </w:rPr>
        <w:t>The authorities indicate that, in the group-company setting, the enquiry is directed at whether the operations and dealings of the entities are so integrated that insisting on strict separation would perpetuate a corporate fiction and defeat real and substantial justice between parties dealing at arm’s length.</w:t>
      </w:r>
      <w:r w:rsidRPr="006E71BC">
        <w:rPr>
          <w:rFonts w:cs="Times New Roman"/>
        </w:rPr>
        <w:t xml:space="preserve"> In </w:t>
      </w:r>
      <w:r w:rsidRPr="006E71BC">
        <w:rPr>
          <w:rFonts w:cs="Times New Roman"/>
          <w:i/>
          <w:iCs/>
        </w:rPr>
        <w:t xml:space="preserve">Starafrica Ltd </w:t>
      </w:r>
      <w:r w:rsidRPr="00022199">
        <w:rPr>
          <w:rFonts w:cs="Times New Roman"/>
        </w:rPr>
        <w:t>v</w:t>
      </w:r>
      <w:r w:rsidRPr="006E71BC">
        <w:rPr>
          <w:rFonts w:cs="Times New Roman"/>
          <w:i/>
          <w:iCs/>
        </w:rPr>
        <w:t xml:space="preserve"> Zimbabwe Sugar Refinery Workers’ Union</w:t>
      </w:r>
      <w:r w:rsidRPr="006E71BC">
        <w:rPr>
          <w:rFonts w:cs="Times New Roman"/>
        </w:rPr>
        <w:t xml:space="preserve"> S</w:t>
      </w:r>
      <w:r>
        <w:rPr>
          <w:rFonts w:cs="Times New Roman"/>
        </w:rPr>
        <w:t>-</w:t>
      </w:r>
      <w:r w:rsidRPr="006E71BC">
        <w:rPr>
          <w:rFonts w:cs="Times New Roman"/>
        </w:rPr>
        <w:t>65</w:t>
      </w:r>
      <w:r>
        <w:rPr>
          <w:rFonts w:cs="Times New Roman"/>
        </w:rPr>
        <w:t>-</w:t>
      </w:r>
      <w:r w:rsidRPr="006E71BC">
        <w:rPr>
          <w:rFonts w:cs="Times New Roman"/>
        </w:rPr>
        <w:t xml:space="preserve">21 at 5, the </w:t>
      </w:r>
      <w:r>
        <w:rPr>
          <w:rFonts w:cs="Times New Roman"/>
        </w:rPr>
        <w:t>Supreme C</w:t>
      </w:r>
      <w:r w:rsidRPr="006E71BC">
        <w:rPr>
          <w:rFonts w:cs="Times New Roman"/>
        </w:rPr>
        <w:t>ourt stated:</w:t>
      </w:r>
    </w:p>
    <w:p w14:paraId="2D443F20" w14:textId="0419F6D6" w:rsidR="007226BD" w:rsidRPr="007226BD" w:rsidRDefault="007226BD" w:rsidP="007226BD">
      <w:pPr>
        <w:spacing w:line="240" w:lineRule="auto"/>
        <w:ind w:left="720"/>
        <w:rPr>
          <w:rFonts w:cs="Times New Roman"/>
          <w:sz w:val="22"/>
        </w:rPr>
      </w:pPr>
      <w:r w:rsidRPr="00B24CCC">
        <w:rPr>
          <w:rFonts w:cs="Times New Roman"/>
          <w:sz w:val="22"/>
        </w:rPr>
        <w:t xml:space="preserve">“The principle that emerges quite clearly from the </w:t>
      </w:r>
      <w:r w:rsidRPr="00B24CCC">
        <w:rPr>
          <w:rFonts w:cs="Times New Roman"/>
          <w:i/>
          <w:iCs/>
          <w:sz w:val="22"/>
        </w:rPr>
        <w:t xml:space="preserve">DHN Food Distributors </w:t>
      </w:r>
      <w:r w:rsidRPr="00B24CCC">
        <w:rPr>
          <w:rFonts w:cs="Times New Roman"/>
          <w:sz w:val="22"/>
        </w:rPr>
        <w:t>case (</w:t>
      </w:r>
      <w:r w:rsidRPr="00B24CCC">
        <w:rPr>
          <w:rFonts w:cs="Times New Roman"/>
          <w:i/>
          <w:iCs/>
          <w:sz w:val="22"/>
        </w:rPr>
        <w:t>supra</w:t>
      </w:r>
      <w:r w:rsidRPr="00B24CCC">
        <w:rPr>
          <w:rFonts w:cs="Times New Roman"/>
          <w:sz w:val="22"/>
        </w:rPr>
        <w:t xml:space="preserve">) is that in appropriate cases involving group or holding companies and their subsidiaries, the court or tribunal is not strictly bound by the dictates of the doctrine of separate corporate legal personality. </w:t>
      </w:r>
      <w:bookmarkStart w:id="6" w:name="_Hlk218535098"/>
      <w:r w:rsidRPr="00B24CCC">
        <w:rPr>
          <w:rFonts w:cs="Times New Roman"/>
          <w:sz w:val="22"/>
        </w:rPr>
        <w:t xml:space="preserve">This enables them to look at the economic outlook of the whole group in order to do real and </w:t>
      </w:r>
      <w:r w:rsidRPr="00B24CCC">
        <w:rPr>
          <w:rFonts w:cs="Times New Roman"/>
          <w:sz w:val="22"/>
        </w:rPr>
        <w:lastRenderedPageBreak/>
        <w:t>substantial justice between the parties as the economic perspective of the group and its subsidiaries may be intricately interwoven and difficult to unravel unless holistically considered.”</w:t>
      </w:r>
      <w:bookmarkEnd w:id="6"/>
    </w:p>
    <w:p w14:paraId="2ED1DE18" w14:textId="03BAB5A4" w:rsidR="000C75CB" w:rsidRPr="007226BD" w:rsidRDefault="000C75CB" w:rsidP="007226BD">
      <w:pPr>
        <w:numPr>
          <w:ilvl w:val="0"/>
          <w:numId w:val="5"/>
        </w:numPr>
        <w:ind w:left="426"/>
        <w:rPr>
          <w:rFonts w:cs="Times New Roman"/>
        </w:rPr>
      </w:pPr>
      <w:r w:rsidRPr="007226BD">
        <w:rPr>
          <w:rFonts w:cs="Times New Roman"/>
        </w:rPr>
        <w:t xml:space="preserve">Similarly, in </w:t>
      </w:r>
      <w:r w:rsidRPr="007226BD">
        <w:rPr>
          <w:rFonts w:cs="Times New Roman"/>
          <w:i/>
          <w:iCs/>
        </w:rPr>
        <w:t xml:space="preserve">Barnsley </w:t>
      </w:r>
      <w:r w:rsidRPr="007226BD">
        <w:rPr>
          <w:rFonts w:cs="Times New Roman"/>
        </w:rPr>
        <w:t>v</w:t>
      </w:r>
      <w:r w:rsidRPr="007226BD">
        <w:rPr>
          <w:rFonts w:cs="Times New Roman"/>
          <w:i/>
          <w:iCs/>
        </w:rPr>
        <w:t xml:space="preserve"> Harambe Holdings (Pvt) Ltd &amp; Another</w:t>
      </w:r>
      <w:r w:rsidRPr="007226BD">
        <w:rPr>
          <w:rFonts w:cs="Times New Roman"/>
        </w:rPr>
        <w:t xml:space="preserve"> HH-84-12 at 4–5, the court cited the words of </w:t>
      </w:r>
      <w:r w:rsidRPr="007226BD">
        <w:rPr>
          <w:rFonts w:cs="Times New Roman"/>
          <w:smallCaps/>
        </w:rPr>
        <w:t>Lord</w:t>
      </w:r>
      <w:r w:rsidRPr="007226BD">
        <w:rPr>
          <w:rFonts w:cs="Times New Roman"/>
        </w:rPr>
        <w:t xml:space="preserve"> </w:t>
      </w:r>
      <w:r w:rsidRPr="007226BD">
        <w:rPr>
          <w:rFonts w:cs="Times New Roman"/>
          <w:smallCaps/>
        </w:rPr>
        <w:t>Denning</w:t>
      </w:r>
      <w:r w:rsidRPr="007226BD">
        <w:rPr>
          <w:rFonts w:cs="Times New Roman"/>
        </w:rPr>
        <w:t xml:space="preserve"> in </w:t>
      </w:r>
      <w:r w:rsidRPr="007226BD">
        <w:rPr>
          <w:rFonts w:cs="Times New Roman"/>
          <w:i/>
          <w:iCs/>
        </w:rPr>
        <w:t xml:space="preserve">DHN Food Distributors Ltd </w:t>
      </w:r>
      <w:r w:rsidRPr="007226BD">
        <w:rPr>
          <w:rFonts w:cs="Times New Roman"/>
        </w:rPr>
        <w:t>v</w:t>
      </w:r>
      <w:r w:rsidRPr="007226BD">
        <w:rPr>
          <w:rFonts w:cs="Times New Roman"/>
          <w:i/>
          <w:iCs/>
        </w:rPr>
        <w:t xml:space="preserve"> London Borough of Tower Hamlets</w:t>
      </w:r>
      <w:r w:rsidRPr="007226BD">
        <w:rPr>
          <w:rFonts w:cs="Times New Roman"/>
        </w:rPr>
        <w:t xml:space="preserve"> 1976 (3) All ER 462 (CA) at 467 as follows:</w:t>
      </w:r>
    </w:p>
    <w:p w14:paraId="44421AE1" w14:textId="77777777" w:rsidR="000C75CB" w:rsidRPr="00B24CCC" w:rsidRDefault="000C75CB" w:rsidP="000C75CB">
      <w:pPr>
        <w:spacing w:line="240" w:lineRule="auto"/>
        <w:ind w:left="720"/>
        <w:rPr>
          <w:rFonts w:cs="Times New Roman"/>
          <w:sz w:val="22"/>
        </w:rPr>
      </w:pPr>
      <w:r w:rsidRPr="00B24CCC">
        <w:rPr>
          <w:rFonts w:cs="Times New Roman"/>
          <w:sz w:val="22"/>
        </w:rPr>
        <w:t>“Although the companies in a group are separate legal entities, the court have in the mercantile context dealt with the group as an economic entity. This lifting of the corporate veil is indicated especially when a parent company owns all the shares of the subsidiaries so much so that it can control movement of the subsidies.”</w:t>
      </w:r>
    </w:p>
    <w:p w14:paraId="370E139D" w14:textId="77777777" w:rsidR="000C75CB" w:rsidRDefault="000C75CB" w:rsidP="00B77032">
      <w:pPr>
        <w:numPr>
          <w:ilvl w:val="0"/>
          <w:numId w:val="5"/>
        </w:numPr>
        <w:ind w:left="426"/>
        <w:rPr>
          <w:rFonts w:cs="Times New Roman"/>
        </w:rPr>
      </w:pPr>
      <w:r w:rsidRPr="006D5615">
        <w:rPr>
          <w:rFonts w:cs="Times New Roman"/>
        </w:rPr>
        <w:t xml:space="preserve">The same approach has been applied in the banking context. In </w:t>
      </w:r>
      <w:r w:rsidRPr="006D5615">
        <w:rPr>
          <w:rFonts w:cs="Times New Roman"/>
          <w:i/>
          <w:iCs/>
        </w:rPr>
        <w:t xml:space="preserve">Blue Track Investments </w:t>
      </w:r>
      <w:r>
        <w:rPr>
          <w:rFonts w:cs="Times New Roman"/>
          <w:i/>
          <w:iCs/>
        </w:rPr>
        <w:t>&amp; Ors</w:t>
      </w:r>
      <w:r w:rsidRPr="006D5615">
        <w:rPr>
          <w:rFonts w:cs="Times New Roman"/>
          <w:i/>
          <w:iCs/>
        </w:rPr>
        <w:t xml:space="preserve"> </w:t>
      </w:r>
      <w:r w:rsidRPr="00823A91">
        <w:rPr>
          <w:rFonts w:cs="Times New Roman"/>
        </w:rPr>
        <w:t>v</w:t>
      </w:r>
      <w:r w:rsidRPr="006D5615">
        <w:rPr>
          <w:rFonts w:cs="Times New Roman"/>
          <w:i/>
          <w:iCs/>
        </w:rPr>
        <w:t xml:space="preserve"> Nedbank Zimbabwe Limited</w:t>
      </w:r>
      <w:r w:rsidRPr="006D5615">
        <w:rPr>
          <w:rFonts w:cs="Times New Roman"/>
        </w:rPr>
        <w:t xml:space="preserve"> S</w:t>
      </w:r>
      <w:r>
        <w:rPr>
          <w:rFonts w:cs="Times New Roman"/>
        </w:rPr>
        <w:t>-</w:t>
      </w:r>
      <w:r w:rsidRPr="006D5615">
        <w:rPr>
          <w:rFonts w:cs="Times New Roman"/>
        </w:rPr>
        <w:t>53</w:t>
      </w:r>
      <w:r>
        <w:rPr>
          <w:rFonts w:cs="Times New Roman"/>
        </w:rPr>
        <w:t>-</w:t>
      </w:r>
      <w:r w:rsidRPr="006D5615">
        <w:rPr>
          <w:rFonts w:cs="Times New Roman"/>
        </w:rPr>
        <w:t xml:space="preserve">21 at 13–14, the </w:t>
      </w:r>
      <w:r>
        <w:rPr>
          <w:rFonts w:cs="Times New Roman"/>
        </w:rPr>
        <w:t>Supreme Court</w:t>
      </w:r>
      <w:r w:rsidRPr="006D5615">
        <w:rPr>
          <w:rFonts w:cs="Times New Roman"/>
        </w:rPr>
        <w:t xml:space="preserve"> stated:</w:t>
      </w:r>
    </w:p>
    <w:p w14:paraId="32133AC3" w14:textId="77777777" w:rsidR="000C75CB" w:rsidRPr="00B24CCC" w:rsidRDefault="000C75CB" w:rsidP="00F00AB1">
      <w:pPr>
        <w:spacing w:line="240" w:lineRule="auto"/>
        <w:ind w:left="720"/>
        <w:rPr>
          <w:rFonts w:cs="Times New Roman"/>
          <w:sz w:val="22"/>
        </w:rPr>
      </w:pPr>
      <w:r w:rsidRPr="00B24CCC">
        <w:rPr>
          <w:rFonts w:cs="Times New Roman"/>
          <w:sz w:val="22"/>
        </w:rPr>
        <w:t xml:space="preserve">“The basis upon which the court </w:t>
      </w:r>
      <w:r w:rsidRPr="00B24CCC">
        <w:rPr>
          <w:rFonts w:cs="Times New Roman"/>
          <w:i/>
          <w:iCs/>
          <w:sz w:val="22"/>
        </w:rPr>
        <w:t>a quo</w:t>
      </w:r>
      <w:r w:rsidRPr="00B24CCC">
        <w:rPr>
          <w:rFonts w:cs="Times New Roman"/>
          <w:sz w:val="22"/>
        </w:rPr>
        <w:t xml:space="preserve"> lifted the corporate veil was the existence of a single economic entity.  The court </w:t>
      </w:r>
      <w:r w:rsidRPr="00B24CCC">
        <w:rPr>
          <w:rFonts w:cs="Times New Roman"/>
          <w:i/>
          <w:iCs/>
          <w:sz w:val="22"/>
        </w:rPr>
        <w:t>a quo</w:t>
      </w:r>
      <w:r w:rsidRPr="00B24CCC">
        <w:rPr>
          <w:rFonts w:cs="Times New Roman"/>
          <w:sz w:val="22"/>
        </w:rPr>
        <w:t xml:space="preserve"> looked at the substance rather than the form of the corporate fiction. ...</w:t>
      </w:r>
    </w:p>
    <w:p w14:paraId="26C224AE" w14:textId="77777777" w:rsidR="000C75CB" w:rsidRPr="00B24CCC" w:rsidRDefault="000C75CB" w:rsidP="00F00AB1">
      <w:pPr>
        <w:spacing w:line="240" w:lineRule="auto"/>
        <w:ind w:left="720"/>
        <w:rPr>
          <w:rFonts w:cs="Times New Roman"/>
          <w:sz w:val="22"/>
        </w:rPr>
      </w:pPr>
      <w:r w:rsidRPr="00B24CCC">
        <w:rPr>
          <w:rFonts w:cs="Times New Roman"/>
          <w:sz w:val="22"/>
        </w:rPr>
        <w:t xml:space="preserve">In light of this, the court </w:t>
      </w:r>
      <w:r w:rsidRPr="00B24CCC">
        <w:rPr>
          <w:rFonts w:cs="Times New Roman"/>
          <w:i/>
          <w:sz w:val="22"/>
        </w:rPr>
        <w:t>a quo</w:t>
      </w:r>
      <w:r w:rsidRPr="00B24CCC">
        <w:rPr>
          <w:rFonts w:cs="Times New Roman"/>
          <w:sz w:val="22"/>
        </w:rPr>
        <w:t xml:space="preserve"> was correct and cannot be faulted as it is common cause that the appellants are part of an economic unit with common directorship and shareholding. Owing to this and the inter-account transfers amongst the appellants, I perceive that this is a case where any legal separation of the appellants would tend to perpetuate an essentially corporate fiction. Therefore, the fact that there was no application is unimportant as all the parties made extensive submissions on the issue in the court </w:t>
      </w:r>
      <w:r w:rsidRPr="00B24CCC">
        <w:rPr>
          <w:rFonts w:cs="Times New Roman"/>
          <w:i/>
          <w:iCs/>
          <w:sz w:val="22"/>
        </w:rPr>
        <w:t>a quo</w:t>
      </w:r>
      <w:r w:rsidRPr="00B24CCC">
        <w:rPr>
          <w:rFonts w:cs="Times New Roman"/>
          <w:sz w:val="22"/>
        </w:rPr>
        <w:t xml:space="preserve">. The factual framework for the lifting of the corporate veil existed. The court </w:t>
      </w:r>
      <w:r w:rsidRPr="00B24CCC">
        <w:rPr>
          <w:rFonts w:cs="Times New Roman"/>
          <w:i/>
          <w:iCs/>
          <w:sz w:val="22"/>
        </w:rPr>
        <w:t>a quo</w:t>
      </w:r>
      <w:r w:rsidRPr="00B24CCC">
        <w:rPr>
          <w:rFonts w:cs="Times New Roman"/>
          <w:sz w:val="22"/>
        </w:rPr>
        <w:t>’s decision cannot be impugned.  In any event the respondent’s conduct of combining the accounts is provided for in terms of clause 6 referred to above”</w:t>
      </w:r>
    </w:p>
    <w:p w14:paraId="0105F8E3" w14:textId="77777777" w:rsidR="000C75CB" w:rsidRDefault="000C75CB" w:rsidP="00B77032">
      <w:pPr>
        <w:numPr>
          <w:ilvl w:val="0"/>
          <w:numId w:val="5"/>
        </w:numPr>
        <w:ind w:left="426"/>
        <w:rPr>
          <w:rFonts w:cs="Times New Roman"/>
        </w:rPr>
      </w:pPr>
      <w:r w:rsidRPr="005D545D">
        <w:rPr>
          <w:rFonts w:cs="Times New Roman"/>
        </w:rPr>
        <w:t xml:space="preserve">However, </w:t>
      </w:r>
      <w:r>
        <w:rPr>
          <w:rFonts w:cs="Times New Roman"/>
        </w:rPr>
        <w:t>some</w:t>
      </w:r>
      <w:r w:rsidRPr="005D545D">
        <w:rPr>
          <w:rFonts w:cs="Times New Roman"/>
        </w:rPr>
        <w:t xml:space="preserve"> authorities also insist that the </w:t>
      </w:r>
      <w:r>
        <w:rPr>
          <w:rFonts w:cs="Times New Roman"/>
        </w:rPr>
        <w:t xml:space="preserve">allegation of a </w:t>
      </w:r>
      <w:r w:rsidRPr="005D545D">
        <w:rPr>
          <w:rFonts w:cs="Times New Roman"/>
        </w:rPr>
        <w:t xml:space="preserve">single economic unit formulation is not </w:t>
      </w:r>
      <w:r>
        <w:rPr>
          <w:rFonts w:cs="Times New Roman"/>
        </w:rPr>
        <w:t>sufficient on its own</w:t>
      </w:r>
      <w:r w:rsidRPr="005D545D">
        <w:rPr>
          <w:rFonts w:cs="Times New Roman"/>
        </w:rPr>
        <w:t xml:space="preserve">. Proof of ownership, shareholding or control, without more, does not justify the remedy. In </w:t>
      </w:r>
      <w:r w:rsidRPr="005D545D">
        <w:rPr>
          <w:rFonts w:cs="Times New Roman"/>
          <w:i/>
          <w:iCs/>
        </w:rPr>
        <w:t xml:space="preserve">National Foods Ltd </w:t>
      </w:r>
      <w:r w:rsidRPr="008F5834">
        <w:rPr>
          <w:rFonts w:cs="Times New Roman"/>
        </w:rPr>
        <w:t>v</w:t>
      </w:r>
      <w:r w:rsidRPr="005D545D">
        <w:rPr>
          <w:rFonts w:cs="Times New Roman"/>
          <w:i/>
          <w:iCs/>
        </w:rPr>
        <w:t xml:space="preserve"> Knight Frank (Pvt) Ltd</w:t>
      </w:r>
      <w:r w:rsidRPr="005D545D">
        <w:rPr>
          <w:rFonts w:cs="Times New Roman"/>
        </w:rPr>
        <w:t xml:space="preserve"> </w:t>
      </w:r>
      <w:r>
        <w:rPr>
          <w:rFonts w:cs="Times New Roman"/>
          <w:bCs/>
        </w:rPr>
        <w:t xml:space="preserve">2018 (2) ZLR 493 (H) </w:t>
      </w:r>
      <w:r w:rsidRPr="005D545D">
        <w:rPr>
          <w:rFonts w:cs="Times New Roman"/>
        </w:rPr>
        <w:t xml:space="preserve">at </w:t>
      </w:r>
      <w:r>
        <w:rPr>
          <w:rFonts w:cs="Times New Roman"/>
        </w:rPr>
        <w:t>500H-501B</w:t>
      </w:r>
      <w:r w:rsidRPr="005D545D">
        <w:rPr>
          <w:rFonts w:cs="Times New Roman"/>
        </w:rPr>
        <w:t xml:space="preserve">, </w:t>
      </w:r>
      <w:r w:rsidRPr="008F5834">
        <w:rPr>
          <w:rFonts w:cs="Times New Roman"/>
          <w:smallCaps/>
        </w:rPr>
        <w:t>Dube</w:t>
      </w:r>
      <w:r w:rsidRPr="005D545D">
        <w:rPr>
          <w:rFonts w:cs="Times New Roman"/>
        </w:rPr>
        <w:t xml:space="preserve"> J, as she then was, stated:</w:t>
      </w:r>
    </w:p>
    <w:p w14:paraId="5D29CF7D" w14:textId="77777777" w:rsidR="000C75CB" w:rsidRPr="00B24CCC" w:rsidRDefault="000C75CB" w:rsidP="000C75CB">
      <w:pPr>
        <w:spacing w:line="240" w:lineRule="auto"/>
        <w:ind w:left="720"/>
        <w:rPr>
          <w:rFonts w:cs="Times New Roman"/>
          <w:sz w:val="22"/>
        </w:rPr>
      </w:pPr>
      <w:r w:rsidRPr="00B24CCC">
        <w:rPr>
          <w:rFonts w:cs="Times New Roman"/>
          <w:sz w:val="22"/>
        </w:rPr>
        <w:t xml:space="preserve">“It is not good enough for a party relying on the single economic doctrine to simply prove that two or more entities constitute one economic entity. It is the activities and dealings of the two entities that make them one single entity. Proof of ownership of a company is not in itself justification for lifting the corporate veil. It must be shown that the entities are inextricably linked and indivisible. There has to be evidence of impropriety, wrong doing or conduct that is attributes to the entity complained against. The plaintiff does not allege any fraud deceit, </w:t>
      </w:r>
      <w:r w:rsidRPr="00031259">
        <w:rPr>
          <w:rFonts w:cs="Times New Roman"/>
          <w:i/>
          <w:iCs/>
          <w:sz w:val="22"/>
        </w:rPr>
        <w:t>mala fides</w:t>
      </w:r>
      <w:r w:rsidRPr="00B24CCC">
        <w:rPr>
          <w:rFonts w:cs="Times New Roman"/>
          <w:sz w:val="22"/>
        </w:rPr>
        <w:t xml:space="preserve"> or other improper conduct on the part of the defendant or the Partnership in the summons. A party that seeks to rely on fraud is not only required to plead fraud, it must also prove it.”</w:t>
      </w:r>
    </w:p>
    <w:p w14:paraId="2809E300" w14:textId="77777777" w:rsidR="000C75CB" w:rsidRDefault="000C75CB" w:rsidP="00B77032">
      <w:pPr>
        <w:numPr>
          <w:ilvl w:val="0"/>
          <w:numId w:val="5"/>
        </w:numPr>
        <w:ind w:left="284" w:hanging="284"/>
        <w:rPr>
          <w:rFonts w:cs="Times New Roman"/>
        </w:rPr>
      </w:pPr>
      <w:r w:rsidRPr="00D95A10">
        <w:rPr>
          <w:rFonts w:cs="Times New Roman"/>
        </w:rPr>
        <w:t xml:space="preserve">At the same time, the point of departure remains that each company in a group is a separate legal person with its own interests, rights, assets and liabilities and group control, without more, does not convert a subsidiary into an agent of its holding company or justify </w:t>
      </w:r>
      <w:r w:rsidRPr="00D95A10">
        <w:rPr>
          <w:rFonts w:cs="Times New Roman"/>
        </w:rPr>
        <w:lastRenderedPageBreak/>
        <w:t xml:space="preserve">imposing its liabilities on the holding company. In </w:t>
      </w:r>
      <w:r w:rsidRPr="00D95A10">
        <w:rPr>
          <w:rFonts w:cs="Times New Roman"/>
          <w:i/>
          <w:iCs/>
        </w:rPr>
        <w:t xml:space="preserve">Zimnat Life Assurance Ltd </w:t>
      </w:r>
      <w:r w:rsidRPr="00D95A10">
        <w:rPr>
          <w:rFonts w:cs="Times New Roman"/>
        </w:rPr>
        <w:t>v</w:t>
      </w:r>
      <w:r w:rsidRPr="00D95A10">
        <w:rPr>
          <w:rFonts w:cs="Times New Roman"/>
          <w:i/>
          <w:iCs/>
        </w:rPr>
        <w:t xml:space="preserve"> George Dikinya</w:t>
      </w:r>
      <w:r w:rsidRPr="00D95A10">
        <w:rPr>
          <w:rFonts w:cs="Times New Roman"/>
        </w:rPr>
        <w:t xml:space="preserve"> S</w:t>
      </w:r>
      <w:r>
        <w:rPr>
          <w:rFonts w:cs="Times New Roman"/>
        </w:rPr>
        <w:t>-</w:t>
      </w:r>
      <w:r w:rsidRPr="00D95A10">
        <w:rPr>
          <w:rFonts w:cs="Times New Roman"/>
        </w:rPr>
        <w:t>30</w:t>
      </w:r>
      <w:r>
        <w:rPr>
          <w:rFonts w:cs="Times New Roman"/>
        </w:rPr>
        <w:t>-</w:t>
      </w:r>
      <w:r w:rsidRPr="00D95A10">
        <w:rPr>
          <w:rFonts w:cs="Times New Roman"/>
        </w:rPr>
        <w:t xml:space="preserve">10 at 7, </w:t>
      </w:r>
      <w:r w:rsidRPr="00D95A10">
        <w:rPr>
          <w:rFonts w:cs="Times New Roman"/>
          <w:smallCaps/>
        </w:rPr>
        <w:t>Garwe</w:t>
      </w:r>
      <w:r w:rsidRPr="00D95A10">
        <w:rPr>
          <w:rFonts w:cs="Times New Roman"/>
        </w:rPr>
        <w:t xml:space="preserve"> JA</w:t>
      </w:r>
      <w:r>
        <w:rPr>
          <w:rFonts w:cs="Times New Roman"/>
        </w:rPr>
        <w:t>, as he then was,</w:t>
      </w:r>
      <w:r w:rsidRPr="00D95A10">
        <w:rPr>
          <w:rFonts w:cs="Times New Roman"/>
        </w:rPr>
        <w:t xml:space="preserve"> stated:</w:t>
      </w:r>
    </w:p>
    <w:p w14:paraId="1E564E38" w14:textId="77777777" w:rsidR="000C75CB" w:rsidRPr="005E49B1" w:rsidRDefault="000C75CB" w:rsidP="000C75CB">
      <w:pPr>
        <w:spacing w:line="240" w:lineRule="auto"/>
        <w:ind w:left="720"/>
        <w:rPr>
          <w:rFonts w:cs="Times New Roman"/>
          <w:sz w:val="22"/>
        </w:rPr>
      </w:pPr>
      <w:r w:rsidRPr="005E49B1">
        <w:rPr>
          <w:rFonts w:cs="Times New Roman"/>
          <w:sz w:val="22"/>
        </w:rPr>
        <w:t>“However</w:t>
      </w:r>
      <w:r>
        <w:rPr>
          <w:rFonts w:cs="Times New Roman"/>
          <w:sz w:val="22"/>
        </w:rPr>
        <w:t>,</w:t>
      </w:r>
      <w:r w:rsidRPr="005E49B1">
        <w:rPr>
          <w:rFonts w:cs="Times New Roman"/>
          <w:sz w:val="22"/>
        </w:rPr>
        <w:t xml:space="preserve"> a holding company is a separate legal </w:t>
      </w:r>
      <w:r w:rsidRPr="005E49B1">
        <w:rPr>
          <w:rFonts w:cs="Times New Roman"/>
          <w:i/>
          <w:iCs/>
          <w:sz w:val="22"/>
        </w:rPr>
        <w:t>persona</w:t>
      </w:r>
      <w:r w:rsidRPr="005E49B1">
        <w:rPr>
          <w:rFonts w:cs="Times New Roman"/>
          <w:sz w:val="22"/>
        </w:rPr>
        <w:t xml:space="preserve"> possessing its own interests, rights, assets and liabilities. By the same token, the subsidiary will also be a separate legal </w:t>
      </w:r>
      <w:r w:rsidRPr="005E49B1">
        <w:rPr>
          <w:rFonts w:cs="Times New Roman"/>
          <w:i/>
          <w:iCs/>
          <w:sz w:val="22"/>
        </w:rPr>
        <w:t>persona</w:t>
      </w:r>
      <w:r w:rsidRPr="005E49B1">
        <w:rPr>
          <w:rFonts w:cs="Times New Roman"/>
          <w:sz w:val="22"/>
        </w:rPr>
        <w:t xml:space="preserve"> possessing its own interests, rights and liabilities. The mere fact that the holding company is able to control the subsidiary did not constitute the subsidiary its agent.”</w:t>
      </w:r>
    </w:p>
    <w:p w14:paraId="70037E4D" w14:textId="7C3E515A" w:rsidR="000C75CB" w:rsidRPr="005E49B1" w:rsidRDefault="000C75CB" w:rsidP="000C75CB">
      <w:pPr>
        <w:ind w:firstLine="360"/>
        <w:rPr>
          <w:rFonts w:cs="Times New Roman"/>
        </w:rPr>
      </w:pPr>
      <w:r w:rsidRPr="005E49B1">
        <w:rPr>
          <w:rFonts w:cs="Times New Roman"/>
        </w:rPr>
        <w:t xml:space="preserve">See also </w:t>
      </w:r>
      <w:r w:rsidRPr="005E49B1">
        <w:rPr>
          <w:rFonts w:cs="Times New Roman"/>
          <w:i/>
          <w:iCs/>
        </w:rPr>
        <w:t xml:space="preserve">Property World (Pvt) Ltd </w:t>
      </w:r>
      <w:r w:rsidRPr="005E49B1">
        <w:rPr>
          <w:rFonts w:cs="Times New Roman"/>
        </w:rPr>
        <w:t>v</w:t>
      </w:r>
      <w:r w:rsidRPr="005E49B1">
        <w:rPr>
          <w:rFonts w:cs="Times New Roman"/>
          <w:i/>
          <w:iCs/>
        </w:rPr>
        <w:t xml:space="preserve"> NMB Bank Ltd</w:t>
      </w:r>
      <w:r w:rsidRPr="005E49B1">
        <w:rPr>
          <w:rFonts w:cs="Times New Roman"/>
        </w:rPr>
        <w:t xml:space="preserve"> </w:t>
      </w:r>
      <w:r w:rsidR="0036068B" w:rsidRPr="005E49B1">
        <w:rPr>
          <w:rFonts w:cs="Times New Roman"/>
        </w:rPr>
        <w:t>HH</w:t>
      </w:r>
      <w:r w:rsidR="0036068B">
        <w:rPr>
          <w:rFonts w:cs="Times New Roman"/>
        </w:rPr>
        <w:t>-</w:t>
      </w:r>
      <w:r w:rsidRPr="005E49B1">
        <w:rPr>
          <w:rFonts w:cs="Times New Roman"/>
        </w:rPr>
        <w:t>175</w:t>
      </w:r>
      <w:r w:rsidR="0036068B">
        <w:rPr>
          <w:rFonts w:cs="Times New Roman"/>
        </w:rPr>
        <w:t>-</w:t>
      </w:r>
      <w:r w:rsidRPr="005E49B1">
        <w:rPr>
          <w:rFonts w:cs="Times New Roman"/>
        </w:rPr>
        <w:t>18.</w:t>
      </w:r>
    </w:p>
    <w:p w14:paraId="51114682" w14:textId="7DC3ECF7" w:rsidR="000C75CB" w:rsidRDefault="000C75CB" w:rsidP="00B77032">
      <w:pPr>
        <w:numPr>
          <w:ilvl w:val="0"/>
          <w:numId w:val="5"/>
        </w:numPr>
        <w:ind w:left="426" w:hanging="425"/>
        <w:rPr>
          <w:rFonts w:cs="Times New Roman"/>
        </w:rPr>
      </w:pPr>
      <w:r w:rsidRPr="005D4CEE">
        <w:rPr>
          <w:rFonts w:cs="Times New Roman"/>
        </w:rPr>
        <w:t>It follows from the foregoing that, where a litigant seeks to rely on any of the</w:t>
      </w:r>
      <w:r>
        <w:rPr>
          <w:rFonts w:cs="Times New Roman"/>
        </w:rPr>
        <w:t xml:space="preserve"> accepted</w:t>
      </w:r>
      <w:r w:rsidRPr="005D4CEE">
        <w:rPr>
          <w:rFonts w:cs="Times New Roman"/>
        </w:rPr>
        <w:t xml:space="preserve"> grounds</w:t>
      </w:r>
      <w:r>
        <w:rPr>
          <w:rFonts w:cs="Times New Roman"/>
        </w:rPr>
        <w:t xml:space="preserve"> for lifting or piercing the corporate veil</w:t>
      </w:r>
      <w:r w:rsidRPr="005D4CEE">
        <w:rPr>
          <w:rFonts w:cs="Times New Roman"/>
        </w:rPr>
        <w:t xml:space="preserve">, </w:t>
      </w:r>
      <w:bookmarkStart w:id="7" w:name="_Hlk218604250"/>
      <w:r w:rsidRPr="005D4CEE">
        <w:rPr>
          <w:rFonts w:cs="Times New Roman"/>
        </w:rPr>
        <w:t>the material facts said to bring the case within the recognised exceptional circumstances must be pleaded with sufficient particularity to show the alleged abuse, impropriety or operational indivisibility relied upon.</w:t>
      </w:r>
      <w:r>
        <w:rPr>
          <w:rFonts w:cs="Times New Roman"/>
        </w:rPr>
        <w:t xml:space="preserve"> </w:t>
      </w:r>
      <w:bookmarkEnd w:id="7"/>
      <w:r>
        <w:rPr>
          <w:rFonts w:cs="Times New Roman"/>
        </w:rPr>
        <w:t>In</w:t>
      </w:r>
      <w:r w:rsidRPr="00635AE5">
        <w:rPr>
          <w:rFonts w:cs="Times New Roman"/>
        </w:rPr>
        <w:t xml:space="preserve"> </w:t>
      </w:r>
      <w:r w:rsidRPr="00D10BB4">
        <w:rPr>
          <w:rFonts w:cs="Times New Roman"/>
          <w:i/>
          <w:iCs/>
        </w:rPr>
        <w:t xml:space="preserve">Sheriff for Zimbabwe and </w:t>
      </w:r>
      <w:r>
        <w:rPr>
          <w:rFonts w:cs="Times New Roman"/>
          <w:i/>
          <w:iCs/>
        </w:rPr>
        <w:t xml:space="preserve">Anor </w:t>
      </w:r>
      <w:r>
        <w:rPr>
          <w:rFonts w:cs="Times New Roman"/>
        </w:rPr>
        <w:t xml:space="preserve">v </w:t>
      </w:r>
      <w:r>
        <w:rPr>
          <w:rFonts w:cs="Times New Roman"/>
          <w:i/>
          <w:iCs/>
        </w:rPr>
        <w:t>Nenhowe</w:t>
      </w:r>
      <w:r w:rsidRPr="00D10BB4">
        <w:rPr>
          <w:rFonts w:cs="Times New Roman"/>
          <w:i/>
          <w:iCs/>
        </w:rPr>
        <w:t xml:space="preserve"> and Others</w:t>
      </w:r>
      <w:r w:rsidR="009449DD">
        <w:rPr>
          <w:rFonts w:cs="Times New Roman"/>
        </w:rPr>
        <w:t xml:space="preserve"> </w:t>
      </w:r>
      <w:r w:rsidR="009449DD" w:rsidRPr="009449DD">
        <w:rPr>
          <w:rFonts w:cs="Times New Roman"/>
          <w:i/>
          <w:iCs/>
        </w:rPr>
        <w:t>supra</w:t>
      </w:r>
      <w:r w:rsidRPr="00D10BB4">
        <w:rPr>
          <w:rFonts w:cs="Times New Roman"/>
        </w:rPr>
        <w:t xml:space="preserve"> at 4</w:t>
      </w:r>
      <w:r w:rsidRPr="00635AE5">
        <w:rPr>
          <w:rFonts w:cs="Times New Roman"/>
        </w:rPr>
        <w:t>, the court stated:</w:t>
      </w:r>
    </w:p>
    <w:p w14:paraId="1ECAD0DB" w14:textId="77777777" w:rsidR="000C75CB" w:rsidRPr="0053424D" w:rsidRDefault="000C75CB" w:rsidP="000C75CB">
      <w:pPr>
        <w:spacing w:line="240" w:lineRule="auto"/>
        <w:ind w:left="1440"/>
        <w:rPr>
          <w:rFonts w:cs="Times New Roman"/>
          <w:sz w:val="22"/>
        </w:rPr>
      </w:pPr>
      <w:r>
        <w:rPr>
          <w:rFonts w:cs="Times New Roman"/>
          <w:sz w:val="22"/>
        </w:rPr>
        <w:t>“</w:t>
      </w:r>
      <w:r w:rsidRPr="0053424D">
        <w:rPr>
          <w:rFonts w:cs="Times New Roman"/>
          <w:sz w:val="22"/>
        </w:rPr>
        <w:t>The difficulty with the judgment creditor’s position is that he has not alleged that the judgment debtor deliberately ceased to operate in order to avoid paying him his dues. He has not even put the court into his confidence as to whether or not the judgment debtor is under liquidation and whether or not he has lodged a claim with the liquidator. Nor has he led evidence that the claimant was created for the dissipation of the judgment debtor’s assets or that during his 25 years of employment with the judgment debtor he was also considered an employee of the claimant.”</w:t>
      </w:r>
    </w:p>
    <w:p w14:paraId="7F303CBC" w14:textId="77777777" w:rsidR="00605E5C" w:rsidRDefault="000C75CB" w:rsidP="00605E5C">
      <w:pPr>
        <w:numPr>
          <w:ilvl w:val="0"/>
          <w:numId w:val="5"/>
        </w:numPr>
        <w:ind w:left="426" w:hanging="426"/>
        <w:rPr>
          <w:rFonts w:cs="Times New Roman"/>
        </w:rPr>
      </w:pPr>
      <w:bookmarkStart w:id="8" w:name="_Hlk218578083"/>
      <w:r w:rsidRPr="0053424D">
        <w:rPr>
          <w:rFonts w:cs="Times New Roman"/>
        </w:rPr>
        <w:t xml:space="preserve">Against that legal background, the issue for determination is whether the summons and declaration alleged facts which, if proved, bring the case within one or more of the recognised exceptional circumstances so as to justify imposing liability for the liquidated debt upon the defendant in the manner contended for by the plaintiff. </w:t>
      </w:r>
      <w:bookmarkEnd w:id="8"/>
    </w:p>
    <w:p w14:paraId="6FB53F70" w14:textId="77777777" w:rsidR="00605E5C" w:rsidRDefault="000C75CB" w:rsidP="00605E5C">
      <w:pPr>
        <w:numPr>
          <w:ilvl w:val="0"/>
          <w:numId w:val="5"/>
        </w:numPr>
        <w:ind w:left="426" w:hanging="426"/>
        <w:rPr>
          <w:rFonts w:cs="Times New Roman"/>
        </w:rPr>
      </w:pPr>
      <w:r w:rsidRPr="00605E5C">
        <w:rPr>
          <w:rFonts w:cs="Times New Roman"/>
        </w:rPr>
        <w:t xml:space="preserve">The material allegations made by the plaintiff to justify imposing liability upon the defendant are that- the defendant is liable to pay that debt because Safari Connect (which is unable to pay the debt and is insolvent) is a subsidiary of the defendant and that the defendant is the parent company. It is alleged Safari Connect was established for the purposes of conducting defendant’s business and at all material times, its operations were wholly in connection with Iganyana tent camp in Zimbabwe. It is further alleged that the defendant and Safari Connect have or had common directors and shareholders at all material times and that Safari Connect assumed the debt for no consideration. It also alleged that Safari Connect does not have any independent business separate from the defendant and that </w:t>
      </w:r>
      <w:r w:rsidRPr="00605E5C">
        <w:rPr>
          <w:rFonts w:cs="Times New Roman"/>
        </w:rPr>
        <w:lastRenderedPageBreak/>
        <w:t xml:space="preserve">at all material times, Safari Connect was bound hand and foot with the defendant. Finally, it is alleged that Safari Connect and the defendant are a single economic entity and therefore, it is just and equitable that the corporate veil be lifted and the two entities be treated as one company. </w:t>
      </w:r>
    </w:p>
    <w:p w14:paraId="54BC4782" w14:textId="0B8A56AF" w:rsidR="00605E5C" w:rsidRDefault="000C75CB" w:rsidP="00605E5C">
      <w:pPr>
        <w:numPr>
          <w:ilvl w:val="0"/>
          <w:numId w:val="5"/>
        </w:numPr>
        <w:ind w:left="426" w:hanging="426"/>
        <w:rPr>
          <w:rFonts w:cs="Times New Roman"/>
        </w:rPr>
      </w:pPr>
      <w:r w:rsidRPr="00605E5C">
        <w:rPr>
          <w:rFonts w:cs="Times New Roman"/>
        </w:rPr>
        <w:t>On a consideration of the written and oral submissions before the court, the basis upon which the plaintiff seeks to pin liability on the defendant is that Safari Connect and the defendant are inextricably linked and indivisible</w:t>
      </w:r>
      <w:r w:rsidR="005F21AC">
        <w:rPr>
          <w:rFonts w:cs="Times New Roman"/>
        </w:rPr>
        <w:t>,</w:t>
      </w:r>
      <w:r w:rsidRPr="00605E5C">
        <w:rPr>
          <w:rFonts w:cs="Times New Roman"/>
        </w:rPr>
        <w:t xml:space="preserve"> therefore </w:t>
      </w:r>
      <w:r w:rsidR="00B63605">
        <w:rPr>
          <w:rFonts w:cs="Times New Roman"/>
        </w:rPr>
        <w:t xml:space="preserve">the defendant </w:t>
      </w:r>
      <w:r w:rsidRPr="00605E5C">
        <w:rPr>
          <w:rFonts w:cs="Times New Roman"/>
        </w:rPr>
        <w:t xml:space="preserve">should not be allowed to hide behind its corporate identity to evade its obligations to the plaintiff. It is the plaintiff’s case that on the basis of the inextricable and indivisible link between the two entities, </w:t>
      </w:r>
      <w:r w:rsidR="006A41C3">
        <w:rPr>
          <w:rFonts w:cs="Times New Roman"/>
        </w:rPr>
        <w:t xml:space="preserve">it is just and equitable that </w:t>
      </w:r>
      <w:r w:rsidRPr="00605E5C">
        <w:rPr>
          <w:rFonts w:cs="Times New Roman"/>
        </w:rPr>
        <w:t xml:space="preserve">the defendant should be held liable for Safari Connect’s obligations. </w:t>
      </w:r>
      <w:r w:rsidR="00B63605">
        <w:rPr>
          <w:rFonts w:cs="Times New Roman"/>
        </w:rPr>
        <w:t xml:space="preserve">Crisply put, the </w:t>
      </w:r>
      <w:r w:rsidR="00457437">
        <w:rPr>
          <w:rFonts w:cs="Times New Roman"/>
        </w:rPr>
        <w:t xml:space="preserve">plaintiff has pleaded a claim for a liquidated debt, relying on the single economic unit </w:t>
      </w:r>
      <w:r w:rsidR="005F21AC">
        <w:rPr>
          <w:rFonts w:cs="Times New Roman"/>
        </w:rPr>
        <w:t xml:space="preserve">principle </w:t>
      </w:r>
      <w:r w:rsidR="00457437">
        <w:rPr>
          <w:rFonts w:cs="Times New Roman"/>
        </w:rPr>
        <w:t xml:space="preserve">as the basis for piercing the corporate veil so as to impose liability on the defendant as Safari Connect’s associated company. </w:t>
      </w:r>
    </w:p>
    <w:p w14:paraId="6991CC42" w14:textId="7FEB54B9" w:rsidR="000C75CB" w:rsidRDefault="00B02C27" w:rsidP="006D093E">
      <w:pPr>
        <w:numPr>
          <w:ilvl w:val="0"/>
          <w:numId w:val="5"/>
        </w:numPr>
        <w:ind w:left="426" w:hanging="426"/>
        <w:rPr>
          <w:rFonts w:cs="Times New Roman"/>
        </w:rPr>
      </w:pPr>
      <w:r>
        <w:rPr>
          <w:rFonts w:cs="Times New Roman"/>
        </w:rPr>
        <w:t>On the basis of the</w:t>
      </w:r>
      <w:r w:rsidR="00457437">
        <w:rPr>
          <w:rFonts w:cs="Times New Roman"/>
        </w:rPr>
        <w:t xml:space="preserve"> above</w:t>
      </w:r>
      <w:r>
        <w:rPr>
          <w:rFonts w:cs="Times New Roman"/>
        </w:rPr>
        <w:t xml:space="preserve">, </w:t>
      </w:r>
      <w:r w:rsidR="000C75CB" w:rsidRPr="00605E5C">
        <w:rPr>
          <w:rFonts w:cs="Times New Roman"/>
        </w:rPr>
        <w:t>I am satisfied that the summons and declaration have</w:t>
      </w:r>
      <w:r w:rsidR="00B41316">
        <w:rPr>
          <w:rFonts w:cs="Times New Roman"/>
        </w:rPr>
        <w:t>, with sufficient particularity,</w:t>
      </w:r>
      <w:r w:rsidR="000C75CB" w:rsidRPr="00605E5C">
        <w:rPr>
          <w:rFonts w:cs="Times New Roman"/>
        </w:rPr>
        <w:t xml:space="preserve"> alleged facts which, if proved, would bring this case within the recognised exceptional cases</w:t>
      </w:r>
      <w:r w:rsidR="005F21AC">
        <w:rPr>
          <w:rFonts w:cs="Times New Roman"/>
        </w:rPr>
        <w:t xml:space="preserve"> </w:t>
      </w:r>
      <w:r w:rsidR="000C75CB" w:rsidRPr="00605E5C">
        <w:rPr>
          <w:rFonts w:cs="Times New Roman"/>
        </w:rPr>
        <w:t xml:space="preserve">justifying the imposition of liability on the </w:t>
      </w:r>
      <w:r w:rsidR="00B97585" w:rsidRPr="00605E5C">
        <w:rPr>
          <w:rFonts w:cs="Times New Roman"/>
        </w:rPr>
        <w:t>defendant</w:t>
      </w:r>
      <w:r w:rsidR="00B97585">
        <w:rPr>
          <w:rFonts w:cs="Times New Roman"/>
        </w:rPr>
        <w:t xml:space="preserve"> </w:t>
      </w:r>
      <w:r w:rsidR="00B97585" w:rsidRPr="00605E5C">
        <w:rPr>
          <w:rFonts w:cs="Times New Roman"/>
        </w:rPr>
        <w:t>in</w:t>
      </w:r>
      <w:r w:rsidR="000C75CB" w:rsidRPr="00605E5C">
        <w:rPr>
          <w:rFonts w:cs="Times New Roman"/>
        </w:rPr>
        <w:t xml:space="preserve"> the manner the plaintiff seeks to do. </w:t>
      </w:r>
      <w:r w:rsidR="006A41C3">
        <w:rPr>
          <w:rFonts w:cs="Times New Roman"/>
        </w:rPr>
        <w:t xml:space="preserve">For the foregoing reasons, </w:t>
      </w:r>
      <w:r w:rsidR="000C75CB" w:rsidRPr="00605E5C">
        <w:rPr>
          <w:rFonts w:cs="Times New Roman"/>
        </w:rPr>
        <w:t>I find that the summons and declaration disclose a cause of action.</w:t>
      </w:r>
      <w:bookmarkEnd w:id="5"/>
    </w:p>
    <w:p w14:paraId="6410B8B5" w14:textId="6DFFD826" w:rsidR="00136D03" w:rsidRPr="00B77032" w:rsidRDefault="00136D03" w:rsidP="00B77032">
      <w:pPr>
        <w:ind w:left="426"/>
        <w:rPr>
          <w:rFonts w:cs="Times New Roman"/>
          <w:b/>
          <w:bCs/>
          <w:u w:val="single"/>
        </w:rPr>
      </w:pPr>
      <w:r w:rsidRPr="00B77032">
        <w:rPr>
          <w:rFonts w:cs="Times New Roman"/>
          <w:b/>
          <w:bCs/>
          <w:szCs w:val="24"/>
          <w:u w:val="single"/>
        </w:rPr>
        <w:t>WHETHER THERE HAS BEEN A MATERIAL NON-JOINDER OF A PARTY?</w:t>
      </w:r>
    </w:p>
    <w:p w14:paraId="1300F445" w14:textId="2261ECD5" w:rsidR="00B77032" w:rsidRPr="005A2846" w:rsidRDefault="00B77032" w:rsidP="00B77032">
      <w:pPr>
        <w:pStyle w:val="ListParagraph"/>
        <w:numPr>
          <w:ilvl w:val="0"/>
          <w:numId w:val="5"/>
        </w:numPr>
        <w:rPr>
          <w:rFonts w:cs="Times New Roman"/>
          <w:szCs w:val="24"/>
        </w:rPr>
      </w:pPr>
      <w:r>
        <w:rPr>
          <w:rFonts w:cs="Times New Roman"/>
          <w:szCs w:val="24"/>
        </w:rPr>
        <w:t xml:space="preserve">The </w:t>
      </w:r>
      <w:r w:rsidRPr="004B4473">
        <w:t xml:space="preserve">factors that are considered in deciding whether or not a party should be joined to proceedings were established in the case of </w:t>
      </w:r>
      <w:r w:rsidRPr="005A2846">
        <w:rPr>
          <w:i/>
          <w:iCs/>
        </w:rPr>
        <w:t xml:space="preserve">Marai &amp; Anor </w:t>
      </w:r>
      <w:r w:rsidRPr="004B4473">
        <w:t>v</w:t>
      </w:r>
      <w:r w:rsidRPr="005A2846">
        <w:rPr>
          <w:i/>
          <w:iCs/>
        </w:rPr>
        <w:t xml:space="preserve"> Pongola Sugar Milling Co. &amp; Ors</w:t>
      </w:r>
      <w:r w:rsidRPr="004B4473">
        <w:t xml:space="preserve"> 1961 (2) SA 698 (N), wherein the court employed a two-tier approach to determine the application for joinder. The considerations established from the aforementioned case are that:</w:t>
      </w:r>
    </w:p>
    <w:p w14:paraId="26A7B703" w14:textId="77777777" w:rsidR="00B77032" w:rsidRPr="00EA0A5F" w:rsidRDefault="00B77032" w:rsidP="00EA0A5F">
      <w:pPr>
        <w:spacing w:line="240" w:lineRule="auto"/>
        <w:ind w:left="2160" w:hanging="720"/>
        <w:rPr>
          <w:sz w:val="22"/>
          <w:szCs w:val="20"/>
        </w:rPr>
      </w:pPr>
      <w:r w:rsidRPr="00EA0A5F">
        <w:rPr>
          <w:sz w:val="22"/>
          <w:szCs w:val="20"/>
        </w:rPr>
        <w:t>“1.</w:t>
      </w:r>
      <w:r w:rsidRPr="00EA0A5F">
        <w:rPr>
          <w:sz w:val="22"/>
          <w:szCs w:val="20"/>
        </w:rPr>
        <w:tab/>
        <w:t xml:space="preserve">a party must have a direct and substantial interest in the issues raised in the proceedings. </w:t>
      </w:r>
    </w:p>
    <w:p w14:paraId="0B24AD8F" w14:textId="77777777" w:rsidR="00B77032" w:rsidRPr="00EA0A5F" w:rsidRDefault="00B77032" w:rsidP="00EA0A5F">
      <w:pPr>
        <w:spacing w:line="240" w:lineRule="auto"/>
        <w:ind w:left="1440"/>
        <w:rPr>
          <w:sz w:val="22"/>
          <w:szCs w:val="20"/>
        </w:rPr>
      </w:pPr>
      <w:r w:rsidRPr="00EA0A5F">
        <w:rPr>
          <w:sz w:val="22"/>
          <w:szCs w:val="20"/>
        </w:rPr>
        <w:t>2.</w:t>
      </w:r>
      <w:r w:rsidRPr="00EA0A5F">
        <w:rPr>
          <w:sz w:val="22"/>
          <w:szCs w:val="20"/>
        </w:rPr>
        <w:tab/>
        <w:t>his right may be affected by the judgment of the court.”</w:t>
      </w:r>
    </w:p>
    <w:p w14:paraId="1922F4A8" w14:textId="77777777" w:rsidR="00B77032" w:rsidRPr="004B4473" w:rsidRDefault="00B77032" w:rsidP="00B77032">
      <w:pPr>
        <w:numPr>
          <w:ilvl w:val="0"/>
          <w:numId w:val="5"/>
        </w:numPr>
      </w:pPr>
      <w:r w:rsidRPr="004B4473">
        <w:t xml:space="preserve">In this jurisdiction, the above was also set out in </w:t>
      </w:r>
      <w:bookmarkStart w:id="9" w:name="_Hlk218768857"/>
      <w:r w:rsidRPr="004B4473">
        <w:rPr>
          <w:i/>
          <w:iCs/>
        </w:rPr>
        <w:t xml:space="preserve">Gonese </w:t>
      </w:r>
      <w:r w:rsidRPr="004B4473">
        <w:t>v</w:t>
      </w:r>
      <w:r w:rsidRPr="004B4473">
        <w:rPr>
          <w:i/>
          <w:iCs/>
        </w:rPr>
        <w:t xml:space="preserve"> Minister of Finance and Economic Development</w:t>
      </w:r>
      <w:r w:rsidRPr="004B4473">
        <w:t xml:space="preserve"> CCZ-11-23</w:t>
      </w:r>
      <w:bookmarkEnd w:id="9"/>
      <w:r w:rsidRPr="004B4473">
        <w:t xml:space="preserve"> on p. 17 as follows: </w:t>
      </w:r>
    </w:p>
    <w:p w14:paraId="6D10A33A" w14:textId="77777777" w:rsidR="00B77032" w:rsidRPr="005A2846" w:rsidRDefault="00B77032" w:rsidP="00B77032">
      <w:pPr>
        <w:spacing w:line="240" w:lineRule="auto"/>
        <w:ind w:left="720"/>
        <w:rPr>
          <w:sz w:val="22"/>
          <w:szCs w:val="20"/>
        </w:rPr>
      </w:pPr>
      <w:r w:rsidRPr="005A2846">
        <w:rPr>
          <w:sz w:val="22"/>
          <w:szCs w:val="20"/>
        </w:rPr>
        <w:lastRenderedPageBreak/>
        <w:t xml:space="preserve">“The imperative of joining all interested parties to ongoing proceedings has been underscored in a plethora of cases.  The authors Cilliers AC, Loots C and Nel HC, Herbstein and van Winsen, </w:t>
      </w:r>
      <w:r w:rsidRPr="005A2846">
        <w:rPr>
          <w:i/>
          <w:iCs/>
          <w:sz w:val="22"/>
          <w:szCs w:val="20"/>
        </w:rPr>
        <w:t>The Civil Practice of the High Courts and Supreme Court of Appeal of South Africa</w:t>
      </w:r>
      <w:r w:rsidRPr="005A2846">
        <w:rPr>
          <w:sz w:val="22"/>
          <w:szCs w:val="20"/>
        </w:rPr>
        <w:t>, 5</w:t>
      </w:r>
      <w:r w:rsidRPr="005A2846">
        <w:rPr>
          <w:sz w:val="22"/>
          <w:szCs w:val="20"/>
          <w:vertAlign w:val="superscript"/>
        </w:rPr>
        <w:t>th</w:t>
      </w:r>
      <w:r w:rsidRPr="005A2846">
        <w:rPr>
          <w:sz w:val="22"/>
          <w:szCs w:val="20"/>
        </w:rPr>
        <w:t xml:space="preserve"> edition, Juta &amp; Co Ltd, Cape Town, 2009) Vol 1 state at p 215:</w:t>
      </w:r>
    </w:p>
    <w:p w14:paraId="3252CBE0" w14:textId="77777777" w:rsidR="00B77032" w:rsidRPr="005A2846" w:rsidRDefault="00B77032" w:rsidP="00B77032">
      <w:pPr>
        <w:spacing w:line="240" w:lineRule="auto"/>
        <w:ind w:left="1080"/>
        <w:rPr>
          <w:sz w:val="20"/>
          <w:szCs w:val="18"/>
        </w:rPr>
      </w:pPr>
      <w:r w:rsidRPr="005A2846">
        <w:rPr>
          <w:sz w:val="20"/>
          <w:szCs w:val="18"/>
        </w:rPr>
        <w:t>‘A third party who has, or may have a direct and substantial interest in any order the court might make in proceedings or if such an order cannot be sustained or carried into effect without prejudicing that party, is a necessary party and should be joined in the proceedings, unless the court is satisfied that such person has waived the right to be joined</w:t>
      </w:r>
      <w:r>
        <w:rPr>
          <w:sz w:val="20"/>
          <w:szCs w:val="18"/>
        </w:rPr>
        <w:t>.</w:t>
      </w:r>
      <w:r w:rsidRPr="005A2846">
        <w:rPr>
          <w:sz w:val="20"/>
          <w:szCs w:val="18"/>
        </w:rPr>
        <w:t>’”</w:t>
      </w:r>
    </w:p>
    <w:p w14:paraId="2D64281E" w14:textId="77777777" w:rsidR="00B77032" w:rsidRPr="004B4473" w:rsidRDefault="00B77032" w:rsidP="00B77032">
      <w:pPr>
        <w:numPr>
          <w:ilvl w:val="0"/>
          <w:numId w:val="5"/>
        </w:numPr>
      </w:pPr>
      <w:r w:rsidRPr="004B4473">
        <w:t xml:space="preserve">In </w:t>
      </w:r>
      <w:r w:rsidRPr="004B4473">
        <w:rPr>
          <w:i/>
          <w:iCs/>
        </w:rPr>
        <w:t xml:space="preserve">Bamu </w:t>
      </w:r>
      <w:r w:rsidRPr="004B4473">
        <w:t>v</w:t>
      </w:r>
      <w:r w:rsidRPr="004B4473">
        <w:rPr>
          <w:i/>
          <w:iCs/>
        </w:rPr>
        <w:t xml:space="preserve"> Mwonzora &amp; Ors</w:t>
      </w:r>
      <w:r w:rsidRPr="004B4473">
        <w:t xml:space="preserve"> CCZ-14-23, what constitutes direct and substantial interest was explained on pp.11 – 12 as follows:</w:t>
      </w:r>
    </w:p>
    <w:p w14:paraId="7663D545" w14:textId="77777777" w:rsidR="00B77032" w:rsidRDefault="00B77032" w:rsidP="00B77032">
      <w:pPr>
        <w:spacing w:line="240" w:lineRule="auto"/>
        <w:ind w:left="1134"/>
        <w:rPr>
          <w:sz w:val="22"/>
          <w:szCs w:val="20"/>
        </w:rPr>
      </w:pPr>
      <w:r w:rsidRPr="005A2846">
        <w:rPr>
          <w:sz w:val="22"/>
          <w:szCs w:val="20"/>
        </w:rPr>
        <w:t xml:space="preserve">“It is trite that a person seeking to be joined as a party to proceedings must establish to the satisfaction of the court the existence of a direct and substantial interest in the matter. … The above passage places the question beyond doubt that a direct and substantial interest in the subject matter and outcome of pending proceedings is the </w:t>
      </w:r>
      <w:r w:rsidRPr="00B60B9C">
        <w:rPr>
          <w:i/>
          <w:iCs/>
          <w:sz w:val="22"/>
          <w:szCs w:val="20"/>
        </w:rPr>
        <w:t>sui generis</w:t>
      </w:r>
      <w:r w:rsidRPr="005A2846">
        <w:rPr>
          <w:sz w:val="22"/>
          <w:szCs w:val="20"/>
        </w:rPr>
        <w:t xml:space="preserve"> characteristic necessitating the joinder of a third–party to ongoing proceedings. </w:t>
      </w:r>
      <w:r w:rsidRPr="005A2846">
        <w:rPr>
          <w:i/>
          <w:iCs/>
          <w:sz w:val="22"/>
          <w:szCs w:val="20"/>
        </w:rPr>
        <w:t>It is an interest specifically recognised by the law in accordance with considerations of procedural justice and fairness to ensure that all parties who may potentially be prejudiced by the outcome of litigation are given an opportunity to be heard.</w:t>
      </w:r>
      <w:r w:rsidRPr="005A2846">
        <w:rPr>
          <w:sz w:val="22"/>
          <w:szCs w:val="20"/>
        </w:rPr>
        <w:t xml:space="preserve"> It accords with good law and common sense that a party exhibiting such an interest in pending proceedings must be joined as such.” [Emphasis is mine]</w:t>
      </w:r>
    </w:p>
    <w:p w14:paraId="6EF9B81E" w14:textId="3CE2263B" w:rsidR="00B77032" w:rsidRPr="005A2846" w:rsidRDefault="00B77032" w:rsidP="00B77032">
      <w:pPr>
        <w:spacing w:line="240" w:lineRule="auto"/>
        <w:ind w:left="502"/>
        <w:rPr>
          <w:sz w:val="22"/>
          <w:szCs w:val="20"/>
        </w:rPr>
      </w:pPr>
      <w:r w:rsidRPr="00BF77D3">
        <w:rPr>
          <w:rFonts w:cs="Times New Roman"/>
          <w:szCs w:val="24"/>
        </w:rPr>
        <w:t xml:space="preserve">See also </w:t>
      </w:r>
      <w:r w:rsidRPr="00BF77D3">
        <w:rPr>
          <w:rFonts w:cs="Times New Roman"/>
          <w:i/>
          <w:szCs w:val="24"/>
        </w:rPr>
        <w:t xml:space="preserve">Matsvimbo </w:t>
      </w:r>
      <w:r w:rsidRPr="00BF77D3">
        <w:rPr>
          <w:rFonts w:cs="Times New Roman"/>
          <w:iCs/>
          <w:szCs w:val="24"/>
        </w:rPr>
        <w:t>v</w:t>
      </w:r>
      <w:r w:rsidRPr="00BF77D3">
        <w:rPr>
          <w:rFonts w:cs="Times New Roman"/>
          <w:i/>
          <w:szCs w:val="24"/>
        </w:rPr>
        <w:t xml:space="preserve"> Stevenson</w:t>
      </w:r>
      <w:r w:rsidRPr="00BF77D3">
        <w:rPr>
          <w:rFonts w:cs="Times New Roman"/>
          <w:szCs w:val="24"/>
        </w:rPr>
        <w:t xml:space="preserve"> </w:t>
      </w:r>
      <w:r w:rsidRPr="00BF77D3">
        <w:rPr>
          <w:rFonts w:cs="Times New Roman"/>
          <w:i/>
          <w:szCs w:val="24"/>
        </w:rPr>
        <w:t>&amp; Ors</w:t>
      </w:r>
      <w:r w:rsidRPr="00BF77D3">
        <w:rPr>
          <w:rFonts w:cs="Times New Roman"/>
          <w:szCs w:val="24"/>
        </w:rPr>
        <w:t xml:space="preserve"> S–123–20</w:t>
      </w:r>
      <w:r>
        <w:rPr>
          <w:rFonts w:cs="Times New Roman"/>
          <w:szCs w:val="24"/>
        </w:rPr>
        <w:t xml:space="preserve"> and </w:t>
      </w:r>
      <w:r w:rsidRPr="00BF77D3">
        <w:rPr>
          <w:rFonts w:cs="Times New Roman"/>
          <w:i/>
          <w:szCs w:val="24"/>
        </w:rPr>
        <w:t xml:space="preserve">Zimbabwe Teachers Association &amp; Ors </w:t>
      </w:r>
      <w:r w:rsidRPr="00BF77D3">
        <w:rPr>
          <w:rFonts w:cs="Times New Roman"/>
          <w:iCs/>
          <w:szCs w:val="24"/>
        </w:rPr>
        <w:t>v</w:t>
      </w:r>
      <w:r w:rsidRPr="00BF77D3">
        <w:rPr>
          <w:rFonts w:cs="Times New Roman"/>
          <w:i/>
          <w:szCs w:val="24"/>
        </w:rPr>
        <w:t xml:space="preserve"> Minister of Education and Culture</w:t>
      </w:r>
      <w:r w:rsidRPr="00BF77D3">
        <w:rPr>
          <w:rFonts w:cs="Times New Roman"/>
          <w:szCs w:val="24"/>
        </w:rPr>
        <w:t xml:space="preserve"> 1990 (2) ZLR 48 (HC)</w:t>
      </w:r>
      <w:r>
        <w:rPr>
          <w:rFonts w:cs="Times New Roman"/>
          <w:szCs w:val="24"/>
        </w:rPr>
        <w:t xml:space="preserve">. </w:t>
      </w:r>
    </w:p>
    <w:p w14:paraId="7D194112" w14:textId="77777777" w:rsidR="00B77032" w:rsidRDefault="00B77032" w:rsidP="00B77032">
      <w:pPr>
        <w:numPr>
          <w:ilvl w:val="0"/>
          <w:numId w:val="5"/>
        </w:numPr>
      </w:pPr>
      <w:r>
        <w:rPr>
          <w:rFonts w:cs="Times New Roman"/>
          <w:szCs w:val="24"/>
        </w:rPr>
        <w:t xml:space="preserve">In </w:t>
      </w:r>
      <w:r w:rsidRPr="00265CE9">
        <w:rPr>
          <w:rFonts w:cs="Times New Roman"/>
          <w:i/>
          <w:iCs/>
          <w:szCs w:val="24"/>
        </w:rPr>
        <w:t xml:space="preserve">Tour Operators Business Association of Zimbabwe </w:t>
      </w:r>
      <w:r w:rsidRPr="002E1904">
        <w:rPr>
          <w:rFonts w:cs="Times New Roman"/>
          <w:szCs w:val="24"/>
        </w:rPr>
        <w:t>v</w:t>
      </w:r>
      <w:r w:rsidRPr="00265CE9">
        <w:rPr>
          <w:rFonts w:cs="Times New Roman"/>
          <w:i/>
          <w:iCs/>
          <w:szCs w:val="24"/>
        </w:rPr>
        <w:t xml:space="preserve"> Motor Insurance Pool &amp; Ors</w:t>
      </w:r>
      <w:r>
        <w:rPr>
          <w:rFonts w:cs="Times New Roman"/>
          <w:szCs w:val="24"/>
        </w:rPr>
        <w:t xml:space="preserve"> 2015 (1) ZLR 965 (CC) at 970H, the court said that, as a matter of procedure, it is trite that a party instituting legal proceedings must cite every person who has a direct and substantial interest in the matter or who is likely to be prejudicially affected by the relief sought therein.</w:t>
      </w:r>
    </w:p>
    <w:p w14:paraId="24BBD236" w14:textId="143CDD9F" w:rsidR="0044258B" w:rsidRPr="002D4B1F" w:rsidRDefault="0044258B" w:rsidP="0044258B">
      <w:pPr>
        <w:numPr>
          <w:ilvl w:val="0"/>
          <w:numId w:val="5"/>
        </w:numPr>
        <w:rPr>
          <w:b/>
          <w:lang w:val="en-ZW"/>
        </w:rPr>
      </w:pPr>
      <w:r>
        <w:t>While it is accepted as</w:t>
      </w:r>
      <w:r w:rsidRPr="004B4473">
        <w:t xml:space="preserve"> a settled and cardinal principle of company law that a company is a juristic person, separate and distinct from its members, as authoritatively established in </w:t>
      </w:r>
      <w:r w:rsidRPr="00DF6598">
        <w:rPr>
          <w:i/>
          <w:iCs/>
        </w:rPr>
        <w:t xml:space="preserve">Salomon </w:t>
      </w:r>
      <w:r w:rsidRPr="004B4473">
        <w:t>v</w:t>
      </w:r>
      <w:r w:rsidRPr="00DF6598">
        <w:rPr>
          <w:i/>
          <w:iCs/>
        </w:rPr>
        <w:t xml:space="preserve"> Salomon &amp; Co Ltd</w:t>
      </w:r>
      <w:r w:rsidRPr="004B4473">
        <w:t xml:space="preserve"> (1897) AC 22 (HL)</w:t>
      </w:r>
      <w:r>
        <w:t>,</w:t>
      </w:r>
      <w:r w:rsidR="00652AFD">
        <w:t xml:space="preserve"> this </w:t>
      </w:r>
      <w:r>
        <w:t xml:space="preserve">rule is not cast in stone. </w:t>
      </w:r>
      <w:r w:rsidR="00652AFD">
        <w:t xml:space="preserve">The circumstances under which the courts </w:t>
      </w:r>
      <w:r>
        <w:t>generally have a tendency to ignore the separate legal entities of various companies within a group and instead look at those companies as a single economic entity</w:t>
      </w:r>
      <w:r w:rsidR="00652AFD">
        <w:t xml:space="preserve"> have been discussed at length</w:t>
      </w:r>
      <w:r w:rsidR="002D4B1F">
        <w:t xml:space="preserve"> in the preceding paragraphs</w:t>
      </w:r>
      <w:r w:rsidR="0092053D">
        <w:t xml:space="preserve"> of this judgment</w:t>
      </w:r>
      <w:r w:rsidR="002D4B1F">
        <w:t xml:space="preserve">. </w:t>
      </w:r>
    </w:p>
    <w:p w14:paraId="6B089A53" w14:textId="152EA932" w:rsidR="002D4B1F" w:rsidRPr="00843135" w:rsidRDefault="002D4B1F" w:rsidP="0044258B">
      <w:pPr>
        <w:numPr>
          <w:ilvl w:val="0"/>
          <w:numId w:val="5"/>
        </w:numPr>
        <w:rPr>
          <w:b/>
          <w:lang w:val="en-ZW"/>
        </w:rPr>
      </w:pPr>
      <w:r>
        <w:t xml:space="preserve">In my view, the question whether Safari Connect is a necessary party to the current proceedings is logically antecedent to the question of whether this matter may properly </w:t>
      </w:r>
      <w:r>
        <w:lastRenderedPageBreak/>
        <w:t>proceed in its absence. Put differently, the court must first be satisfied, on the papers and on the submissions of the parties</w:t>
      </w:r>
      <w:r w:rsidR="00843135">
        <w:t xml:space="preserve">, that Safari Connect has, or may have a direct and substantial interest in the order sought. This process involves a threshold assessment of whether the relief sought may affect Safari Connect in the legally relevant way. </w:t>
      </w:r>
    </w:p>
    <w:p w14:paraId="2B9080B7" w14:textId="77777777" w:rsidR="008B2768" w:rsidRPr="008B2768" w:rsidRDefault="00843135" w:rsidP="00843135">
      <w:pPr>
        <w:numPr>
          <w:ilvl w:val="0"/>
          <w:numId w:val="5"/>
        </w:numPr>
        <w:rPr>
          <w:b/>
          <w:lang w:val="en-ZW"/>
        </w:rPr>
      </w:pPr>
      <w:r>
        <w:rPr>
          <w:lang w:val="en-ZW"/>
        </w:rPr>
        <w:t xml:space="preserve">What the plaintiff is essentially seeking is an order for the defendant to pay a liquidated debt which in the ordinary scheme of things should have been paid by Safari Connect. The plaintiff is attributing Safari Connect’s liability to the defendant </w:t>
      </w:r>
      <w:r w:rsidR="00E06426">
        <w:t>as another member of the same economic unit</w:t>
      </w:r>
      <w:r w:rsidR="00F12084">
        <w:t xml:space="preserve"> as Safari Connect</w:t>
      </w:r>
      <w:r w:rsidR="00E06426">
        <w:t>.</w:t>
      </w:r>
      <w:r>
        <w:t xml:space="preserve"> </w:t>
      </w:r>
      <w:r w:rsidR="001D65B7">
        <w:t xml:space="preserve">The plaintiff wants the actions of Safari Connect and the defendant to be judged as actions of a single </w:t>
      </w:r>
      <w:r w:rsidR="00F71F96">
        <w:t>economic entity</w:t>
      </w:r>
      <w:r w:rsidR="001D65B7">
        <w:t xml:space="preserve">. </w:t>
      </w:r>
    </w:p>
    <w:p w14:paraId="765A0D14" w14:textId="77777777" w:rsidR="008B2768" w:rsidRPr="008B2768" w:rsidRDefault="00F12084" w:rsidP="00843135">
      <w:pPr>
        <w:numPr>
          <w:ilvl w:val="0"/>
          <w:numId w:val="5"/>
        </w:numPr>
        <w:rPr>
          <w:b/>
          <w:lang w:val="en-ZW"/>
        </w:rPr>
      </w:pPr>
      <w:r>
        <w:t xml:space="preserve">From the most basic premise, </w:t>
      </w:r>
      <w:r w:rsidR="001D65B7">
        <w:t>the consequence of taking such a position</w:t>
      </w:r>
      <w:r w:rsidR="008B2768">
        <w:t xml:space="preserve">, subject to the legally established safeguards being satisfied, would be that </w:t>
      </w:r>
      <w:r w:rsidR="001D65B7">
        <w:t xml:space="preserve">the defendant can </w:t>
      </w:r>
      <w:r w:rsidR="008B2768">
        <w:t xml:space="preserve">properly </w:t>
      </w:r>
      <w:r w:rsidR="001D65B7">
        <w:t>be found liable for Safari Connect’s debt</w:t>
      </w:r>
      <w:r w:rsidR="008B2768">
        <w:t xml:space="preserve">. </w:t>
      </w:r>
      <w:r w:rsidR="00843135">
        <w:t xml:space="preserve">I am of the view that if anyone is to </w:t>
      </w:r>
      <w:r w:rsidR="00F71F96">
        <w:t xml:space="preserve">suffer profound consequences from the relief sought by the plaintiff in </w:t>
      </w:r>
      <w:r w:rsidR="00F71F96" w:rsidRPr="00F71F96">
        <w:rPr>
          <w:i/>
          <w:iCs/>
        </w:rPr>
        <w:t>casu</w:t>
      </w:r>
      <w:r w:rsidR="00F71F96">
        <w:t xml:space="preserve">, </w:t>
      </w:r>
      <w:r w:rsidR="00843135">
        <w:t xml:space="preserve">it is the defendant. </w:t>
      </w:r>
      <w:r>
        <w:t>Further, if anyone is to have a direct and substantial interest in the current proceedings, it would be the defendant because</w:t>
      </w:r>
      <w:r w:rsidR="00F71F96">
        <w:t xml:space="preserve"> the plaintiff has motivated this court to disregard Safari Connect’s separate legal personality and pin liability on the defendant. </w:t>
      </w:r>
      <w:r w:rsidR="008B2768">
        <w:t xml:space="preserve">Logically, such </w:t>
      </w:r>
      <w:r w:rsidR="00F71F96">
        <w:t xml:space="preserve">an order would have critical implications on the defendant. </w:t>
      </w:r>
    </w:p>
    <w:p w14:paraId="5E35FF2B" w14:textId="361B049A" w:rsidR="00861459" w:rsidRPr="006E6815" w:rsidRDefault="008B2768" w:rsidP="00843135">
      <w:pPr>
        <w:numPr>
          <w:ilvl w:val="0"/>
          <w:numId w:val="5"/>
        </w:numPr>
        <w:rPr>
          <w:b/>
          <w:lang w:val="en-ZW"/>
        </w:rPr>
      </w:pPr>
      <w:r>
        <w:rPr>
          <w:lang w:val="en-ZW"/>
        </w:rPr>
        <w:t xml:space="preserve">From my assessment of the real issue to be determined by this court, </w:t>
      </w:r>
      <w:r w:rsidR="00F12084">
        <w:t xml:space="preserve">the </w:t>
      </w:r>
      <w:r w:rsidR="00843135">
        <w:t>defendant is the necessary party in these proceedings</w:t>
      </w:r>
      <w:r w:rsidR="001470B7">
        <w:t>. An order for the defendant to pay the plaintiff Safari Connect’s debt would prejudicially affect the defendant</w:t>
      </w:r>
      <w:r w:rsidR="00861459">
        <w:t xml:space="preserve">, </w:t>
      </w:r>
      <w:r w:rsidR="008304A4">
        <w:t>and</w:t>
      </w:r>
      <w:r w:rsidR="00861459">
        <w:t xml:space="preserve"> it may be carried into effect without affecting Safari Connect. </w:t>
      </w:r>
      <w:r w:rsidR="006E6815">
        <w:t xml:space="preserve">In the premises, I am not persuaded by the defendant’s argument that there has been material non-joinder of Safari Connect. I conclude that </w:t>
      </w:r>
      <w:r w:rsidR="001470B7">
        <w:t>this matter may properly proceed in Safari Connect’s absence</w:t>
      </w:r>
      <w:r w:rsidR="006E6815">
        <w:t xml:space="preserve">. </w:t>
      </w:r>
    </w:p>
    <w:p w14:paraId="0F49F472" w14:textId="6DBA2A61" w:rsidR="006E6815" w:rsidRPr="006E6815" w:rsidRDefault="006E6815" w:rsidP="006E6815">
      <w:pPr>
        <w:rPr>
          <w:rFonts w:cs="Times New Roman"/>
          <w:b/>
          <w:bCs/>
          <w:u w:val="single"/>
        </w:rPr>
      </w:pPr>
      <w:r w:rsidRPr="006E6815">
        <w:rPr>
          <w:rFonts w:cs="Times New Roman"/>
          <w:b/>
          <w:bCs/>
          <w:szCs w:val="24"/>
          <w:u w:val="single"/>
        </w:rPr>
        <w:t>WHETHER THE DEFENDANT IS LIABLE TO PAY THE DEBT?</w:t>
      </w:r>
    </w:p>
    <w:p w14:paraId="046950AB" w14:textId="499F0447" w:rsidR="006E6815" w:rsidRDefault="000464F3" w:rsidP="00843135">
      <w:pPr>
        <w:numPr>
          <w:ilvl w:val="0"/>
          <w:numId w:val="5"/>
        </w:numPr>
        <w:rPr>
          <w:bCs/>
          <w:lang w:val="en-ZW"/>
        </w:rPr>
      </w:pPr>
      <w:r>
        <w:rPr>
          <w:bCs/>
          <w:lang w:val="en-ZW"/>
        </w:rPr>
        <w:t xml:space="preserve">In </w:t>
      </w:r>
      <w:r w:rsidRPr="000464F3">
        <w:rPr>
          <w:bCs/>
          <w:i/>
          <w:iCs/>
          <w:lang w:val="en-ZW"/>
        </w:rPr>
        <w:t xml:space="preserve">Deputy Sheriff </w:t>
      </w:r>
      <w:r w:rsidRPr="000464F3">
        <w:rPr>
          <w:bCs/>
          <w:lang w:val="en-ZW"/>
        </w:rPr>
        <w:t>v</w:t>
      </w:r>
      <w:r w:rsidRPr="000464F3">
        <w:rPr>
          <w:bCs/>
          <w:i/>
          <w:iCs/>
          <w:lang w:val="en-ZW"/>
        </w:rPr>
        <w:t xml:space="preserve"> Trinpac Investments supra</w:t>
      </w:r>
      <w:r>
        <w:rPr>
          <w:bCs/>
          <w:lang w:val="en-ZW"/>
        </w:rPr>
        <w:t xml:space="preserve"> the court</w:t>
      </w:r>
      <w:r w:rsidR="0076634B">
        <w:rPr>
          <w:bCs/>
          <w:lang w:val="en-ZW"/>
        </w:rPr>
        <w:t>, relating to the single economic entity principle,</w:t>
      </w:r>
      <w:r>
        <w:rPr>
          <w:bCs/>
          <w:lang w:val="en-ZW"/>
        </w:rPr>
        <w:t xml:space="preserve"> </w:t>
      </w:r>
      <w:r w:rsidR="0076634B">
        <w:rPr>
          <w:bCs/>
          <w:lang w:val="en-ZW"/>
        </w:rPr>
        <w:t>noted</w:t>
      </w:r>
      <w:r>
        <w:rPr>
          <w:bCs/>
          <w:lang w:val="en-ZW"/>
        </w:rPr>
        <w:t xml:space="preserve"> at 552D-G that </w:t>
      </w:r>
    </w:p>
    <w:p w14:paraId="0B7F7B58" w14:textId="7F4BD023" w:rsidR="000464F3" w:rsidRPr="000464F3" w:rsidRDefault="000464F3" w:rsidP="0076634B">
      <w:pPr>
        <w:autoSpaceDE w:val="0"/>
        <w:autoSpaceDN w:val="0"/>
        <w:adjustRightInd w:val="0"/>
        <w:spacing w:after="0" w:line="240" w:lineRule="auto"/>
        <w:ind w:left="1440"/>
        <w:rPr>
          <w:rFonts w:cs="Times New Roman"/>
          <w:sz w:val="22"/>
          <w:lang w:val="en-ZW"/>
          <w14:ligatures w14:val="standardContextual"/>
        </w:rPr>
      </w:pPr>
      <w:r w:rsidRPr="000464F3">
        <w:rPr>
          <w:rFonts w:cs="Times New Roman"/>
          <w:sz w:val="22"/>
          <w:lang w:val="en-ZW"/>
          <w14:ligatures w14:val="standardContextual"/>
        </w:rPr>
        <w:t>The exceptions to the general principle have been extended beyond the realm</w:t>
      </w:r>
      <w:r>
        <w:rPr>
          <w:rFonts w:cs="Times New Roman"/>
          <w:sz w:val="22"/>
          <w:lang w:val="en-ZW"/>
          <w14:ligatures w14:val="standardContextual"/>
        </w:rPr>
        <w:t xml:space="preserve"> </w:t>
      </w:r>
      <w:r w:rsidRPr="000464F3">
        <w:rPr>
          <w:rFonts w:cs="Times New Roman"/>
          <w:sz w:val="22"/>
          <w:lang w:val="en-ZW"/>
          <w14:ligatures w14:val="standardContextual"/>
        </w:rPr>
        <w:t>of fraudulent or improper conduct to the situation where a single economic</w:t>
      </w:r>
      <w:r>
        <w:rPr>
          <w:rFonts w:cs="Times New Roman"/>
          <w:sz w:val="22"/>
          <w:lang w:val="en-ZW"/>
          <w14:ligatures w14:val="standardContextual"/>
        </w:rPr>
        <w:t xml:space="preserve"> </w:t>
      </w:r>
      <w:r w:rsidRPr="000464F3">
        <w:rPr>
          <w:rFonts w:cs="Times New Roman"/>
          <w:sz w:val="22"/>
          <w:lang w:val="en-ZW"/>
          <w14:ligatures w14:val="standardContextual"/>
        </w:rPr>
        <w:t>entity owns all the shares in its subsidiaries and controls every aspect of</w:t>
      </w:r>
      <w:r>
        <w:rPr>
          <w:rFonts w:cs="Times New Roman"/>
          <w:sz w:val="22"/>
          <w:lang w:val="en-ZW"/>
          <w14:ligatures w14:val="standardContextual"/>
        </w:rPr>
        <w:t xml:space="preserve"> </w:t>
      </w:r>
      <w:r w:rsidRPr="000464F3">
        <w:rPr>
          <w:rFonts w:cs="Times New Roman"/>
          <w:sz w:val="22"/>
          <w:lang w:val="en-ZW"/>
          <w14:ligatures w14:val="standardContextual"/>
        </w:rPr>
        <w:t xml:space="preserve">their operations. Thus, in </w:t>
      </w:r>
      <w:r w:rsidRPr="000464F3">
        <w:rPr>
          <w:rFonts w:cs="Times New Roman"/>
          <w:i/>
          <w:iCs/>
          <w:sz w:val="22"/>
          <w:lang w:val="en-ZW"/>
          <w14:ligatures w14:val="standardContextual"/>
        </w:rPr>
        <w:t xml:space="preserve">DHN </w:t>
      </w:r>
      <w:r w:rsidRPr="000464F3">
        <w:rPr>
          <w:rFonts w:cs="Times New Roman"/>
          <w:i/>
          <w:iCs/>
          <w:sz w:val="22"/>
          <w:lang w:val="en-ZW"/>
          <w14:ligatures w14:val="standardContextual"/>
        </w:rPr>
        <w:lastRenderedPageBreak/>
        <w:t xml:space="preserve">Food Distributors Ltd </w:t>
      </w:r>
      <w:r w:rsidRPr="000464F3">
        <w:rPr>
          <w:rFonts w:cs="Times New Roman"/>
          <w:sz w:val="22"/>
          <w:lang w:val="en-ZW"/>
          <w14:ligatures w14:val="standardContextual"/>
        </w:rPr>
        <w:t xml:space="preserve">v </w:t>
      </w:r>
      <w:r w:rsidRPr="000464F3">
        <w:rPr>
          <w:rFonts w:cs="Times New Roman"/>
          <w:i/>
          <w:iCs/>
          <w:sz w:val="22"/>
          <w:lang w:val="en-ZW"/>
          <w14:ligatures w14:val="standardContextual"/>
        </w:rPr>
        <w:t>London Borough of</w:t>
      </w:r>
      <w:r>
        <w:rPr>
          <w:rFonts w:cs="Times New Roman"/>
          <w:sz w:val="22"/>
          <w:lang w:val="en-ZW"/>
          <w14:ligatures w14:val="standardContextual"/>
        </w:rPr>
        <w:t xml:space="preserve"> </w:t>
      </w:r>
      <w:r w:rsidRPr="000464F3">
        <w:rPr>
          <w:rFonts w:cs="Times New Roman"/>
          <w:i/>
          <w:iCs/>
          <w:sz w:val="22"/>
          <w:lang w:val="en-ZW"/>
          <w14:ligatures w14:val="standardContextual"/>
        </w:rPr>
        <w:t xml:space="preserve">Tower Hamlets </w:t>
      </w:r>
      <w:r w:rsidRPr="000464F3">
        <w:rPr>
          <w:rFonts w:cs="Times New Roman"/>
          <w:sz w:val="22"/>
          <w:lang w:val="en-ZW"/>
          <w14:ligatures w14:val="standardContextual"/>
        </w:rPr>
        <w:t>[1976] 3 All ER 462 (CA) at 467, it was stated as follows:</w:t>
      </w:r>
    </w:p>
    <w:p w14:paraId="262C630D" w14:textId="3281F2B7" w:rsidR="000464F3" w:rsidRPr="000464F3" w:rsidRDefault="00B97585" w:rsidP="0076634B">
      <w:pPr>
        <w:autoSpaceDE w:val="0"/>
        <w:autoSpaceDN w:val="0"/>
        <w:adjustRightInd w:val="0"/>
        <w:spacing w:after="0" w:line="240" w:lineRule="auto"/>
        <w:ind w:left="2160"/>
        <w:rPr>
          <w:rFonts w:cs="Times New Roman"/>
          <w:sz w:val="20"/>
          <w:szCs w:val="20"/>
          <w:lang w:val="en-ZW"/>
          <w14:ligatures w14:val="standardContextual"/>
        </w:rPr>
      </w:pPr>
      <w:r w:rsidRPr="000464F3">
        <w:rPr>
          <w:rFonts w:cs="Times New Roman"/>
          <w:sz w:val="20"/>
          <w:szCs w:val="20"/>
          <w:lang w:val="en-ZW"/>
          <w14:ligatures w14:val="standardContextual"/>
        </w:rPr>
        <w:t>“Professor</w:t>
      </w:r>
      <w:r w:rsidR="000464F3" w:rsidRPr="000464F3">
        <w:rPr>
          <w:rFonts w:cs="Times New Roman"/>
          <w:sz w:val="20"/>
          <w:szCs w:val="20"/>
          <w:lang w:val="en-ZW"/>
          <w14:ligatures w14:val="standardContextual"/>
        </w:rPr>
        <w:t xml:space="preserve"> Gower in his book on company law says</w:t>
      </w:r>
      <w:r w:rsidRPr="000464F3">
        <w:rPr>
          <w:rFonts w:cs="Times New Roman"/>
          <w:sz w:val="20"/>
          <w:szCs w:val="20"/>
          <w:lang w:val="en-ZW"/>
          <w14:ligatures w14:val="standardContextual"/>
        </w:rPr>
        <w:t>: ‘</w:t>
      </w:r>
      <w:r w:rsidR="000464F3" w:rsidRPr="000464F3">
        <w:rPr>
          <w:rFonts w:cs="Times New Roman"/>
          <w:sz w:val="20"/>
          <w:szCs w:val="20"/>
          <w:lang w:val="en-ZW"/>
          <w14:ligatures w14:val="standardContextual"/>
        </w:rPr>
        <w:t>there is evidence of a general tendency to ignore the separate legal entities of various companies within a group, and to look instead at the economic entity of the whole group’. This is especially the case when a parent company owns all the shares of the</w:t>
      </w:r>
      <w:r w:rsidR="000464F3">
        <w:rPr>
          <w:rFonts w:cs="Times New Roman"/>
          <w:sz w:val="20"/>
          <w:szCs w:val="20"/>
          <w:lang w:val="en-ZW"/>
          <w14:ligatures w14:val="standardContextual"/>
        </w:rPr>
        <w:t xml:space="preserve"> </w:t>
      </w:r>
      <w:r w:rsidR="000464F3" w:rsidRPr="000464F3">
        <w:rPr>
          <w:rFonts w:cs="Times New Roman"/>
          <w:sz w:val="20"/>
          <w:szCs w:val="20"/>
          <w:lang w:val="en-ZW"/>
          <w14:ligatures w14:val="standardContextual"/>
        </w:rPr>
        <w:t>subsidiaries, so much so that it can control every movement of the subsidiaries. These subsidiaries are bound hand and foot to the parent company and must do just what the parent company says. …This group is virtually the same as a partnership in which all the three companies are partners. …The three companies should, for present purposes, be treated as one, and the parent company, DHN, should be treated as that one.”</w:t>
      </w:r>
    </w:p>
    <w:p w14:paraId="17722169" w14:textId="4AE181E5" w:rsidR="00A02359" w:rsidRDefault="0076634B" w:rsidP="005652D6">
      <w:pPr>
        <w:numPr>
          <w:ilvl w:val="0"/>
          <w:numId w:val="5"/>
        </w:numPr>
        <w:rPr>
          <w:rFonts w:cs="Times New Roman"/>
          <w:lang w:val="en-ZW"/>
        </w:rPr>
      </w:pPr>
      <w:r>
        <w:rPr>
          <w:rFonts w:cs="Times New Roman"/>
          <w:lang w:val="en-ZW"/>
        </w:rPr>
        <w:t xml:space="preserve">Coming to the facts of the present case, it is common cause that </w:t>
      </w:r>
      <w:r w:rsidR="00A02359">
        <w:rPr>
          <w:rFonts w:cs="Times New Roman"/>
          <w:lang w:val="en-ZW"/>
        </w:rPr>
        <w:t xml:space="preserve">paragraph 16 of Safari Connect’s </w:t>
      </w:r>
      <w:r w:rsidR="00122917">
        <w:rPr>
          <w:rFonts w:cs="Times New Roman"/>
          <w:lang w:val="en-ZW"/>
        </w:rPr>
        <w:t>n</w:t>
      </w:r>
      <w:r w:rsidR="00A02359">
        <w:rPr>
          <w:rFonts w:cs="Times New Roman"/>
          <w:lang w:val="en-ZW"/>
        </w:rPr>
        <w:t>otes to the Financial Statements for the year ended 31 December 2022</w:t>
      </w:r>
      <w:r w:rsidR="004033CC">
        <w:rPr>
          <w:rFonts w:cs="Times New Roman"/>
          <w:lang w:val="en-ZW"/>
        </w:rPr>
        <w:t xml:space="preserve"> (‘the Financial Statement’) </w:t>
      </w:r>
      <w:r w:rsidR="00A02359">
        <w:rPr>
          <w:rFonts w:cs="Times New Roman"/>
          <w:lang w:val="en-ZW"/>
        </w:rPr>
        <w:t>states that</w:t>
      </w:r>
    </w:p>
    <w:p w14:paraId="75BB2F24" w14:textId="78F891AD" w:rsidR="00A02359" w:rsidRPr="00A02359" w:rsidRDefault="00A02359" w:rsidP="00A02359">
      <w:pPr>
        <w:spacing w:line="240" w:lineRule="auto"/>
        <w:ind w:left="1440"/>
        <w:rPr>
          <w:rFonts w:cs="Times New Roman"/>
          <w:sz w:val="22"/>
          <w:szCs w:val="20"/>
          <w:lang w:val="en-ZW"/>
        </w:rPr>
      </w:pPr>
      <w:r>
        <w:rPr>
          <w:rFonts w:cs="Times New Roman"/>
          <w:sz w:val="22"/>
          <w:szCs w:val="20"/>
          <w:lang w:val="en-ZW"/>
        </w:rPr>
        <w:t>“</w:t>
      </w:r>
      <w:r w:rsidRPr="00A02359">
        <w:rPr>
          <w:rFonts w:cs="Times New Roman"/>
          <w:sz w:val="22"/>
          <w:szCs w:val="20"/>
          <w:lang w:val="en-ZW"/>
        </w:rPr>
        <w:t>The directors consider Forever African (Pvt) Ltd, a company incorporated in Zimbabwe, as the holding Company.</w:t>
      </w:r>
      <w:r>
        <w:rPr>
          <w:rFonts w:cs="Times New Roman"/>
          <w:sz w:val="22"/>
          <w:szCs w:val="20"/>
          <w:lang w:val="en-ZW"/>
        </w:rPr>
        <w:t>”</w:t>
      </w:r>
    </w:p>
    <w:p w14:paraId="1A6EB515" w14:textId="428C15E4" w:rsidR="00122917" w:rsidRPr="00146EB9" w:rsidRDefault="00122917" w:rsidP="00122917">
      <w:pPr>
        <w:numPr>
          <w:ilvl w:val="0"/>
          <w:numId w:val="5"/>
        </w:numPr>
      </w:pPr>
      <w:r w:rsidRPr="00122917">
        <w:t xml:space="preserve">A holding company is defined under </w:t>
      </w:r>
      <w:r w:rsidR="00705EDC">
        <w:t xml:space="preserve">s </w:t>
      </w:r>
      <w:r w:rsidR="00146EB9">
        <w:t>3</w:t>
      </w:r>
      <w:r w:rsidR="00705EDC">
        <w:t>(2)</w:t>
      </w:r>
      <w:r>
        <w:t xml:space="preserve"> </w:t>
      </w:r>
      <w:r w:rsidRPr="00122917">
        <w:t>of the Mauritius Companies Act</w:t>
      </w:r>
      <w:r>
        <w:t xml:space="preserve">, </w:t>
      </w:r>
      <w:r w:rsidRPr="00122917">
        <w:rPr>
          <w:rFonts w:cs="Times New Roman"/>
          <w:lang w:val="en-ZW"/>
        </w:rPr>
        <w:t>2001 as follows:</w:t>
      </w:r>
    </w:p>
    <w:p w14:paraId="24259948" w14:textId="4CC35D9F" w:rsidR="00122917" w:rsidRPr="00122917" w:rsidRDefault="00C66267" w:rsidP="00705EDC">
      <w:pPr>
        <w:spacing w:line="240" w:lineRule="auto"/>
        <w:ind w:left="1440"/>
        <w:rPr>
          <w:rFonts w:cs="Times New Roman"/>
          <w:sz w:val="22"/>
          <w:szCs w:val="20"/>
          <w:lang w:val="en-ZW"/>
        </w:rPr>
      </w:pPr>
      <w:r>
        <w:rPr>
          <w:rFonts w:cs="Times New Roman"/>
          <w:sz w:val="22"/>
          <w:szCs w:val="20"/>
        </w:rPr>
        <w:t>“</w:t>
      </w:r>
      <w:r w:rsidR="00122917" w:rsidRPr="00122917">
        <w:rPr>
          <w:rFonts w:cs="Times New Roman"/>
          <w:sz w:val="22"/>
          <w:szCs w:val="20"/>
          <w:lang w:val="en-ZW"/>
        </w:rPr>
        <w:t>(3) For the purposes of this Act, a company shall be another company’s holding company only where that other company is its subsidiary.</w:t>
      </w:r>
      <w:r>
        <w:rPr>
          <w:rFonts w:cs="Times New Roman"/>
          <w:sz w:val="22"/>
          <w:szCs w:val="20"/>
          <w:lang w:val="en-ZW"/>
        </w:rPr>
        <w:t>”</w:t>
      </w:r>
      <w:r w:rsidR="008F5392">
        <w:rPr>
          <w:rStyle w:val="FootnoteReference"/>
          <w:rFonts w:cs="Times New Roman"/>
          <w:lang w:val="en-ZW"/>
        </w:rPr>
        <w:footnoteReference w:id="1"/>
      </w:r>
    </w:p>
    <w:p w14:paraId="286A7760" w14:textId="77777777" w:rsidR="000F691D" w:rsidRPr="000F691D" w:rsidRDefault="000F691D" w:rsidP="00122917">
      <w:pPr>
        <w:numPr>
          <w:ilvl w:val="0"/>
          <w:numId w:val="5"/>
        </w:numPr>
        <w:rPr>
          <w:rFonts w:cs="Times New Roman"/>
          <w:lang w:val="en-ZW"/>
        </w:rPr>
      </w:pPr>
      <w:r w:rsidRPr="000F691D">
        <w:rPr>
          <w:rFonts w:cs="Times New Roman"/>
        </w:rPr>
        <w:t>The statutory definition makes it clear that a holding company is not a distinct type of company created by registration, but rather a status that arises from its relationship with another company. A company is regarded as a holding company only where it exercises control over another company that qualifies as its subsidiary under the Companies Act.</w:t>
      </w:r>
    </w:p>
    <w:p w14:paraId="0030A875" w14:textId="4B6B980D" w:rsidR="00122917" w:rsidRDefault="00B855E8" w:rsidP="00122917">
      <w:pPr>
        <w:numPr>
          <w:ilvl w:val="0"/>
          <w:numId w:val="5"/>
        </w:numPr>
        <w:rPr>
          <w:rFonts w:cs="Times New Roman"/>
          <w:lang w:val="en-ZW"/>
        </w:rPr>
      </w:pPr>
      <w:r>
        <w:rPr>
          <w:rFonts w:cs="Times New Roman"/>
          <w:lang w:val="en-ZW"/>
        </w:rPr>
        <w:t xml:space="preserve">I </w:t>
      </w:r>
      <w:r w:rsidR="00C66267">
        <w:rPr>
          <w:rFonts w:cs="Times New Roman"/>
          <w:lang w:val="en-ZW"/>
        </w:rPr>
        <w:t>note</w:t>
      </w:r>
      <w:r>
        <w:rPr>
          <w:rFonts w:cs="Times New Roman"/>
          <w:lang w:val="en-ZW"/>
        </w:rPr>
        <w:t xml:space="preserve"> that the </w:t>
      </w:r>
      <w:r w:rsidR="00122917">
        <w:rPr>
          <w:rFonts w:cs="Times New Roman"/>
          <w:lang w:val="en-ZW"/>
        </w:rPr>
        <w:t xml:space="preserve">definition </w:t>
      </w:r>
      <w:r>
        <w:rPr>
          <w:rFonts w:cs="Times New Roman"/>
          <w:lang w:val="en-ZW"/>
        </w:rPr>
        <w:t xml:space="preserve">of a holding company under the Mauritian law </w:t>
      </w:r>
      <w:r w:rsidR="00785DE1">
        <w:rPr>
          <w:rFonts w:cs="Times New Roman"/>
          <w:lang w:val="en-ZW"/>
        </w:rPr>
        <w:t xml:space="preserve">is largely similar to </w:t>
      </w:r>
      <w:r w:rsidR="00122917">
        <w:rPr>
          <w:rFonts w:cs="Times New Roman"/>
          <w:lang w:val="en-ZW"/>
        </w:rPr>
        <w:t>the definition of a holding company in the Zimbabwean context. In terms of s</w:t>
      </w:r>
      <w:r w:rsidR="00705EDC">
        <w:rPr>
          <w:rFonts w:cs="Times New Roman"/>
          <w:lang w:val="en-ZW"/>
        </w:rPr>
        <w:t xml:space="preserve"> </w:t>
      </w:r>
      <w:r w:rsidR="00122917">
        <w:rPr>
          <w:rFonts w:cs="Times New Roman"/>
          <w:lang w:val="en-ZW"/>
        </w:rPr>
        <w:t>185(</w:t>
      </w:r>
      <w:r w:rsidR="00122917" w:rsidRPr="00122917">
        <w:rPr>
          <w:rFonts w:cs="Times New Roman"/>
          <w:lang w:val="en-ZW"/>
        </w:rPr>
        <w:t>5</w:t>
      </w:r>
      <w:r w:rsidR="00122917">
        <w:rPr>
          <w:rFonts w:cs="Times New Roman"/>
          <w:lang w:val="en-ZW"/>
        </w:rPr>
        <w:t>) of the Companies and Other Business Entities Act</w:t>
      </w:r>
      <w:r w:rsidR="00705EDC">
        <w:rPr>
          <w:rFonts w:cs="Times New Roman"/>
          <w:lang w:val="en-ZW"/>
        </w:rPr>
        <w:t xml:space="preserve">: </w:t>
      </w:r>
    </w:p>
    <w:p w14:paraId="42529874" w14:textId="2DC20AA1" w:rsidR="00122917" w:rsidRPr="00122917" w:rsidRDefault="00C66267" w:rsidP="000F691D">
      <w:pPr>
        <w:ind w:left="720"/>
        <w:rPr>
          <w:rFonts w:cs="Times New Roman"/>
          <w:lang w:val="en-ZW"/>
        </w:rPr>
      </w:pPr>
      <w:r>
        <w:rPr>
          <w:sz w:val="21"/>
          <w:szCs w:val="21"/>
        </w:rPr>
        <w:t>“</w:t>
      </w:r>
      <w:r w:rsidR="00122917">
        <w:rPr>
          <w:sz w:val="21"/>
          <w:szCs w:val="21"/>
        </w:rPr>
        <w:t>(5) A company shall be deemed to be another’s holding company if that other is its subsidiary.</w:t>
      </w:r>
      <w:r>
        <w:rPr>
          <w:sz w:val="21"/>
          <w:szCs w:val="21"/>
        </w:rPr>
        <w:t>”</w:t>
      </w:r>
      <w:r w:rsidR="00122917">
        <w:rPr>
          <w:sz w:val="21"/>
          <w:szCs w:val="21"/>
        </w:rPr>
        <w:t xml:space="preserve"> </w:t>
      </w:r>
    </w:p>
    <w:p w14:paraId="024CEB4D" w14:textId="79B5030F" w:rsidR="0066069F" w:rsidRPr="0066069F" w:rsidRDefault="00B855E8" w:rsidP="009864AB">
      <w:pPr>
        <w:numPr>
          <w:ilvl w:val="0"/>
          <w:numId w:val="5"/>
        </w:numPr>
        <w:ind w:left="720"/>
        <w:rPr>
          <w:rFonts w:cs="Times New Roman"/>
        </w:rPr>
      </w:pPr>
      <w:r w:rsidRPr="0066069F">
        <w:rPr>
          <w:rFonts w:cs="Times New Roman"/>
          <w:lang w:val="en-ZW"/>
        </w:rPr>
        <w:t xml:space="preserve">On the basis of the notes on the financial statements that have been placed before this court, it can be accepted that the defendant is indeed Safari Connect’s holding company. However, the mere fact that a company is another company’s holding company does not automatically mean that Safari Connect and the defendant are a single economic </w:t>
      </w:r>
      <w:r w:rsidRPr="0066069F">
        <w:rPr>
          <w:rFonts w:cs="Times New Roman"/>
          <w:lang w:val="en-ZW"/>
        </w:rPr>
        <w:lastRenderedPageBreak/>
        <w:t xml:space="preserve">entity. </w:t>
      </w:r>
      <w:r w:rsidR="0066069F">
        <w:rPr>
          <w:rFonts w:cs="Times New Roman"/>
          <w:lang w:val="en-ZW"/>
        </w:rPr>
        <w:t xml:space="preserve">Both the </w:t>
      </w:r>
      <w:r w:rsidR="00A07615" w:rsidRPr="0066069F">
        <w:rPr>
          <w:rFonts w:cs="Times New Roman"/>
          <w:lang w:val="en-ZW"/>
        </w:rPr>
        <w:t>Zimbabwe</w:t>
      </w:r>
      <w:r w:rsidR="0066069F">
        <w:rPr>
          <w:rFonts w:cs="Times New Roman"/>
          <w:lang w:val="en-ZW"/>
        </w:rPr>
        <w:t>an and</w:t>
      </w:r>
      <w:r w:rsidR="00A07615" w:rsidRPr="0066069F">
        <w:rPr>
          <w:rFonts w:cs="Times New Roman"/>
          <w:lang w:val="en-ZW"/>
        </w:rPr>
        <w:t xml:space="preserve"> the Mauritian company law recognise the separate legal personality of a company</w:t>
      </w:r>
      <w:r w:rsidR="00F31108">
        <w:rPr>
          <w:rFonts w:cs="Times New Roman"/>
          <w:lang w:val="en-ZW"/>
        </w:rPr>
        <w:t>.</w:t>
      </w:r>
      <w:r w:rsidR="00A07615">
        <w:rPr>
          <w:rStyle w:val="FootnoteReference"/>
          <w:rFonts w:cs="Times New Roman"/>
          <w:lang w:val="en-ZW"/>
        </w:rPr>
        <w:footnoteReference w:id="2"/>
      </w:r>
      <w:r w:rsidR="00A07615" w:rsidRPr="0066069F">
        <w:rPr>
          <w:rFonts w:cs="Times New Roman"/>
          <w:lang w:val="en-ZW"/>
        </w:rPr>
        <w:t xml:space="preserve"> </w:t>
      </w:r>
      <w:r w:rsidRPr="0066069F">
        <w:rPr>
          <w:rFonts w:cs="Times New Roman"/>
          <w:lang w:val="en-ZW"/>
        </w:rPr>
        <w:t xml:space="preserve">In </w:t>
      </w:r>
      <w:r w:rsidRPr="0066069F">
        <w:rPr>
          <w:rFonts w:cs="Times New Roman"/>
          <w:i/>
          <w:iCs/>
          <w:lang w:val="en-ZW"/>
        </w:rPr>
        <w:t>Mahlaba</w:t>
      </w:r>
      <w:r w:rsidRPr="0066069F">
        <w:rPr>
          <w:rFonts w:cs="Times New Roman"/>
          <w:lang w:val="en-ZW"/>
        </w:rPr>
        <w:t xml:space="preserve"> v</w:t>
      </w:r>
      <w:r w:rsidRPr="0066069F">
        <w:rPr>
          <w:rFonts w:cs="Times New Roman"/>
          <w:i/>
          <w:iCs/>
          <w:lang w:val="en-ZW"/>
        </w:rPr>
        <w:t xml:space="preserve"> Matingende Holdings (Pvt) Ltd</w:t>
      </w:r>
      <w:r w:rsidRPr="0066069F">
        <w:rPr>
          <w:rFonts w:cs="Times New Roman"/>
          <w:lang w:val="en-ZW"/>
        </w:rPr>
        <w:t xml:space="preserve"> 2018 (1) 368 (H)</w:t>
      </w:r>
      <w:r w:rsidR="0066069F" w:rsidRPr="0066069F">
        <w:rPr>
          <w:rFonts w:cs="Times New Roman"/>
          <w:lang w:val="en-ZW"/>
        </w:rPr>
        <w:t xml:space="preserve"> at 374C</w:t>
      </w:r>
      <w:r w:rsidRPr="0066069F">
        <w:rPr>
          <w:rFonts w:cs="Times New Roman"/>
          <w:lang w:val="en-ZW"/>
        </w:rPr>
        <w:t xml:space="preserve">, the court referred to an earlier decision in </w:t>
      </w:r>
      <w:r w:rsidRPr="0066069F">
        <w:rPr>
          <w:rFonts w:cs="Times New Roman"/>
          <w:i/>
          <w:iCs/>
          <w:lang w:val="en-ZW"/>
        </w:rPr>
        <w:t xml:space="preserve">Gumbo </w:t>
      </w:r>
      <w:r w:rsidRPr="007226BD">
        <w:rPr>
          <w:rFonts w:cs="Times New Roman"/>
          <w:lang w:val="en-ZW"/>
        </w:rPr>
        <w:t>v</w:t>
      </w:r>
      <w:r w:rsidRPr="0066069F">
        <w:rPr>
          <w:rFonts w:cs="Times New Roman"/>
          <w:i/>
          <w:iCs/>
          <w:lang w:val="en-ZW"/>
        </w:rPr>
        <w:t xml:space="preserve"> Steelnet (Zimbabwe) (Pvt) Ltd &amp; Anor </w:t>
      </w:r>
      <w:r w:rsidRPr="0066069F">
        <w:rPr>
          <w:rFonts w:cs="Times New Roman"/>
          <w:lang w:val="en-ZW"/>
        </w:rPr>
        <w:t>HB</w:t>
      </w:r>
      <w:r w:rsidR="00464BEE">
        <w:rPr>
          <w:rFonts w:cs="Times New Roman"/>
          <w:lang w:val="en-ZW"/>
        </w:rPr>
        <w:t>-</w:t>
      </w:r>
      <w:r w:rsidRPr="0066069F">
        <w:rPr>
          <w:rFonts w:cs="Times New Roman"/>
          <w:lang w:val="en-ZW"/>
        </w:rPr>
        <w:t>84-13</w:t>
      </w:r>
      <w:r w:rsidR="0066069F" w:rsidRPr="0066069F">
        <w:rPr>
          <w:rFonts w:cs="Times New Roman"/>
          <w:lang w:val="en-ZW"/>
        </w:rPr>
        <w:t xml:space="preserve"> wherein it was held that: </w:t>
      </w:r>
      <w:r w:rsidRPr="0066069F">
        <w:rPr>
          <w:rFonts w:cs="Times New Roman"/>
          <w:lang w:val="en-ZW"/>
        </w:rPr>
        <w:t xml:space="preserve"> </w:t>
      </w:r>
    </w:p>
    <w:p w14:paraId="5021B3A9" w14:textId="30435C92" w:rsidR="00A07615" w:rsidRDefault="009864AB" w:rsidP="0066069F">
      <w:pPr>
        <w:spacing w:line="240" w:lineRule="auto"/>
        <w:ind w:left="1440"/>
        <w:rPr>
          <w:rFonts w:cs="Times New Roman"/>
          <w:sz w:val="22"/>
          <w:szCs w:val="20"/>
        </w:rPr>
      </w:pPr>
      <w:r w:rsidRPr="0066069F">
        <w:rPr>
          <w:rFonts w:cs="Times New Roman"/>
          <w:sz w:val="22"/>
          <w:szCs w:val="20"/>
        </w:rPr>
        <w:t xml:space="preserve">“As regards liability of a holding company for the debts of a subsidiary, the legal principle is clear: “the separate legal existence of the constituent companies of the group has to be respected” per Lord Wilberforce in </w:t>
      </w:r>
      <w:r w:rsidRPr="0066069F">
        <w:rPr>
          <w:rFonts w:cs="Times New Roman"/>
          <w:sz w:val="22"/>
          <w:szCs w:val="20"/>
          <w:u w:val="single"/>
        </w:rPr>
        <w:t>Ford &amp; Carter Ltd v Midland Bank Ltd</w:t>
      </w:r>
      <w:r w:rsidRPr="0066069F">
        <w:rPr>
          <w:rFonts w:cs="Times New Roman"/>
          <w:sz w:val="22"/>
          <w:szCs w:val="20"/>
        </w:rPr>
        <w:t xml:space="preserve"> (1979) 129 N L J 543, 544.  The rule in </w:t>
      </w:r>
      <w:r w:rsidRPr="0066069F">
        <w:rPr>
          <w:rFonts w:cs="Times New Roman"/>
          <w:i/>
          <w:sz w:val="22"/>
          <w:szCs w:val="20"/>
        </w:rPr>
        <w:t>Salomon v Salomon &amp; Co. Ltd supra</w:t>
      </w:r>
      <w:r w:rsidRPr="0066069F">
        <w:rPr>
          <w:rFonts w:cs="Times New Roman"/>
          <w:sz w:val="22"/>
          <w:szCs w:val="20"/>
        </w:rPr>
        <w:t xml:space="preserve"> thus prevails.”</w:t>
      </w:r>
    </w:p>
    <w:p w14:paraId="17520BDB" w14:textId="23432C46" w:rsidR="00C66267" w:rsidRPr="00C66267" w:rsidRDefault="00C66267" w:rsidP="007226BD">
      <w:pPr>
        <w:ind w:left="502"/>
        <w:rPr>
          <w:rFonts w:cs="Times New Roman"/>
        </w:rPr>
      </w:pPr>
      <w:r w:rsidRPr="00C66267">
        <w:rPr>
          <w:rFonts w:cs="Times New Roman"/>
        </w:rPr>
        <w:t xml:space="preserve">See also </w:t>
      </w:r>
      <w:r w:rsidRPr="00C66267">
        <w:rPr>
          <w:rFonts w:cs="Times New Roman"/>
          <w:i/>
          <w:iCs/>
        </w:rPr>
        <w:t xml:space="preserve">Zimnat </w:t>
      </w:r>
      <w:r w:rsidRPr="00C66267">
        <w:rPr>
          <w:rFonts w:cs="Times New Roman"/>
        </w:rPr>
        <w:t>v</w:t>
      </w:r>
      <w:r w:rsidRPr="00C66267">
        <w:rPr>
          <w:rFonts w:cs="Times New Roman"/>
          <w:i/>
          <w:iCs/>
        </w:rPr>
        <w:t xml:space="preserve"> Dikinya supra</w:t>
      </w:r>
      <w:r>
        <w:rPr>
          <w:rFonts w:cs="Times New Roman"/>
          <w:i/>
          <w:iCs/>
        </w:rPr>
        <w:t>.</w:t>
      </w:r>
    </w:p>
    <w:p w14:paraId="032CFDBB" w14:textId="02661C1F" w:rsidR="00810294" w:rsidRPr="00810294" w:rsidRDefault="004033CC" w:rsidP="00122917">
      <w:pPr>
        <w:numPr>
          <w:ilvl w:val="0"/>
          <w:numId w:val="5"/>
        </w:numPr>
        <w:rPr>
          <w:rFonts w:cs="Times New Roman"/>
          <w:lang w:val="en-ZW"/>
        </w:rPr>
      </w:pPr>
      <w:r w:rsidRPr="00E67DDE">
        <w:rPr>
          <w:rFonts w:cs="Times New Roman"/>
        </w:rPr>
        <w:t xml:space="preserve">It </w:t>
      </w:r>
      <w:r w:rsidR="00D664F9">
        <w:rPr>
          <w:rFonts w:cs="Times New Roman"/>
        </w:rPr>
        <w:t xml:space="preserve">was </w:t>
      </w:r>
      <w:r w:rsidR="00C66267">
        <w:rPr>
          <w:rFonts w:cs="Times New Roman"/>
        </w:rPr>
        <w:t>alleged</w:t>
      </w:r>
      <w:r w:rsidRPr="00E67DDE">
        <w:rPr>
          <w:rFonts w:cs="Times New Roman"/>
        </w:rPr>
        <w:t xml:space="preserve"> that the defendant and Safari Connect are one because the same financial statements which declare the defendant as Safari Connect’s holding company show that Safari Connect is owed more than half a million dollars by the defendant and that that loan is unsecured, interest free and will not be recalled for the next twelve months. </w:t>
      </w:r>
      <w:r w:rsidR="008D2CA0">
        <w:rPr>
          <w:rFonts w:cs="Times New Roman"/>
        </w:rPr>
        <w:t xml:space="preserve">It was </w:t>
      </w:r>
      <w:r w:rsidR="00C66267">
        <w:rPr>
          <w:rFonts w:cs="Times New Roman"/>
        </w:rPr>
        <w:t>alleged</w:t>
      </w:r>
      <w:r w:rsidR="008D2CA0">
        <w:rPr>
          <w:rFonts w:cs="Times New Roman"/>
        </w:rPr>
        <w:t>, further, that this was not a commercial arrangement because Safari Connect sells the defendant’s camping space</w:t>
      </w:r>
      <w:r w:rsidR="00810294">
        <w:rPr>
          <w:rFonts w:cs="Times New Roman"/>
        </w:rPr>
        <w:t xml:space="preserve"> so it could not advance the plaintiff a loan under those conditions. According to the plaintiff, the issue was further compounded by the fact that Safari Connect went under but before it did, the defendant transferred its debts to it. </w:t>
      </w:r>
    </w:p>
    <w:p w14:paraId="57A6B4C0" w14:textId="03EEF8AA" w:rsidR="002624D2" w:rsidRPr="002624D2" w:rsidRDefault="00810294" w:rsidP="002624D2">
      <w:pPr>
        <w:numPr>
          <w:ilvl w:val="0"/>
          <w:numId w:val="5"/>
        </w:numPr>
        <w:rPr>
          <w:rFonts w:cs="Times New Roman"/>
          <w:lang w:val="en-ZW"/>
        </w:rPr>
      </w:pPr>
      <w:r>
        <w:rPr>
          <w:rFonts w:cs="Times New Roman"/>
        </w:rPr>
        <w:t>I</w:t>
      </w:r>
      <w:r w:rsidR="00841535">
        <w:rPr>
          <w:rFonts w:cs="Times New Roman"/>
        </w:rPr>
        <w:t xml:space="preserve">t is on these facts that the plaintiff argued that </w:t>
      </w:r>
      <w:r>
        <w:rPr>
          <w:rFonts w:cs="Times New Roman"/>
        </w:rPr>
        <w:t xml:space="preserve">this is a most blatant stratagem to confound creditors. </w:t>
      </w:r>
      <w:r w:rsidR="00C264E8">
        <w:rPr>
          <w:rFonts w:cs="Times New Roman"/>
        </w:rPr>
        <w:t xml:space="preserve">In my view, that </w:t>
      </w:r>
      <w:r w:rsidR="002624D2">
        <w:rPr>
          <w:rFonts w:cs="Times New Roman"/>
        </w:rPr>
        <w:t xml:space="preserve">Safari Connect was selling the defendant’s camping space cannot be a bar to it legitimately advancing a loan to the defendant. </w:t>
      </w:r>
      <w:r w:rsidR="00841535" w:rsidRPr="002624D2">
        <w:rPr>
          <w:rFonts w:cs="Times New Roman"/>
        </w:rPr>
        <w:t xml:space="preserve">In my </w:t>
      </w:r>
      <w:r w:rsidR="00C264E8">
        <w:rPr>
          <w:rFonts w:cs="Times New Roman"/>
        </w:rPr>
        <w:t xml:space="preserve">further </w:t>
      </w:r>
      <w:r w:rsidR="00841535" w:rsidRPr="002624D2">
        <w:rPr>
          <w:rFonts w:cs="Times New Roman"/>
        </w:rPr>
        <w:t xml:space="preserve">view, the fact that </w:t>
      </w:r>
      <w:r w:rsidR="00FA306D" w:rsidRPr="002624D2">
        <w:rPr>
          <w:rFonts w:cs="Times New Roman"/>
        </w:rPr>
        <w:t xml:space="preserve">Safari Connect made a decision to advance </w:t>
      </w:r>
      <w:r w:rsidR="00203141" w:rsidRPr="002624D2">
        <w:rPr>
          <w:rFonts w:cs="Times New Roman"/>
        </w:rPr>
        <w:t xml:space="preserve">to the defendant </w:t>
      </w:r>
      <w:r w:rsidR="00FA306D" w:rsidRPr="002624D2">
        <w:rPr>
          <w:rFonts w:cs="Times New Roman"/>
        </w:rPr>
        <w:t>a</w:t>
      </w:r>
      <w:r w:rsidR="00203141" w:rsidRPr="002624D2">
        <w:rPr>
          <w:rFonts w:cs="Times New Roman"/>
        </w:rPr>
        <w:t xml:space="preserve">n </w:t>
      </w:r>
      <w:r w:rsidR="00464BEE">
        <w:rPr>
          <w:rFonts w:cs="Times New Roman"/>
        </w:rPr>
        <w:t>interest-free</w:t>
      </w:r>
      <w:r w:rsidR="00203141" w:rsidRPr="002624D2">
        <w:rPr>
          <w:rFonts w:cs="Times New Roman"/>
        </w:rPr>
        <w:t xml:space="preserve">, unsecured </w:t>
      </w:r>
      <w:r w:rsidR="00FA306D" w:rsidRPr="002624D2">
        <w:rPr>
          <w:rFonts w:cs="Times New Roman"/>
        </w:rPr>
        <w:t>loan</w:t>
      </w:r>
      <w:r w:rsidR="00203141" w:rsidRPr="002624D2">
        <w:rPr>
          <w:rFonts w:cs="Times New Roman"/>
        </w:rPr>
        <w:t xml:space="preserve"> which would not be recalled within the next twelve months</w:t>
      </w:r>
      <w:r w:rsidR="00FA306D" w:rsidRPr="002624D2">
        <w:rPr>
          <w:rFonts w:cs="Times New Roman"/>
        </w:rPr>
        <w:t xml:space="preserve">, standing alone, cannot be a basis to find that this was not a commercial arrangement. According to the </w:t>
      </w:r>
      <w:r w:rsidR="00203141" w:rsidRPr="002624D2">
        <w:rPr>
          <w:rFonts w:cs="Times New Roman"/>
        </w:rPr>
        <w:t>financial statement</w:t>
      </w:r>
      <w:r w:rsidR="00FA306D" w:rsidRPr="002624D2">
        <w:rPr>
          <w:rFonts w:cs="Times New Roman"/>
        </w:rPr>
        <w:t xml:space="preserve">, this loan was </w:t>
      </w:r>
      <w:r w:rsidR="00203141" w:rsidRPr="002624D2">
        <w:rPr>
          <w:rFonts w:cs="Times New Roman"/>
        </w:rPr>
        <w:t>amortised, hence, the arrangement between the parties was that the loan would be repaid</w:t>
      </w:r>
      <w:r w:rsidR="00F57530">
        <w:rPr>
          <w:rFonts w:cs="Times New Roman"/>
        </w:rPr>
        <w:t xml:space="preserve"> from a certain date, at a certain sum over a </w:t>
      </w:r>
      <w:r w:rsidR="00203141" w:rsidRPr="002624D2">
        <w:rPr>
          <w:rFonts w:cs="Times New Roman"/>
        </w:rPr>
        <w:t xml:space="preserve">certain </w:t>
      </w:r>
      <w:r w:rsidR="00F57530">
        <w:rPr>
          <w:rFonts w:cs="Times New Roman"/>
        </w:rPr>
        <w:t>period</w:t>
      </w:r>
      <w:r w:rsidR="00203141" w:rsidRPr="002624D2">
        <w:rPr>
          <w:rFonts w:cs="Times New Roman"/>
        </w:rPr>
        <w:t xml:space="preserve">. The plaintiff has not </w:t>
      </w:r>
      <w:r w:rsidR="002624D2">
        <w:rPr>
          <w:rFonts w:cs="Times New Roman"/>
        </w:rPr>
        <w:t xml:space="preserve">placed anything before this court to show that </w:t>
      </w:r>
      <w:r w:rsidR="00203141" w:rsidRPr="002624D2">
        <w:rPr>
          <w:rFonts w:cs="Times New Roman"/>
        </w:rPr>
        <w:t>this loan was not repaid when it became due for payment</w:t>
      </w:r>
      <w:r w:rsidR="00F57530">
        <w:rPr>
          <w:rFonts w:cs="Times New Roman"/>
        </w:rPr>
        <w:t xml:space="preserve"> on the terms agreed to by the parties. The court notes that </w:t>
      </w:r>
      <w:r w:rsidR="00203141" w:rsidRPr="002624D2">
        <w:rPr>
          <w:rFonts w:cs="Times New Roman"/>
        </w:rPr>
        <w:t xml:space="preserve">the financial statement </w:t>
      </w:r>
      <w:r w:rsidR="00F57530">
        <w:rPr>
          <w:rFonts w:cs="Times New Roman"/>
        </w:rPr>
        <w:t xml:space="preserve">placed before it </w:t>
      </w:r>
      <w:r w:rsidR="00203141" w:rsidRPr="002624D2">
        <w:rPr>
          <w:rFonts w:cs="Times New Roman"/>
        </w:rPr>
        <w:t xml:space="preserve">was for the period ending 31 December 2022. The </w:t>
      </w:r>
      <w:r w:rsidR="00203141" w:rsidRPr="002624D2">
        <w:rPr>
          <w:rFonts w:cs="Times New Roman"/>
        </w:rPr>
        <w:lastRenderedPageBreak/>
        <w:t xml:space="preserve">summons in this matter </w:t>
      </w:r>
      <w:r w:rsidR="002624D2" w:rsidRPr="002624D2">
        <w:rPr>
          <w:rFonts w:cs="Times New Roman"/>
        </w:rPr>
        <w:t>was</w:t>
      </w:r>
      <w:r w:rsidR="00203141" w:rsidRPr="002624D2">
        <w:rPr>
          <w:rFonts w:cs="Times New Roman"/>
        </w:rPr>
        <w:t xml:space="preserve"> only issued on 19 March 2025, a little over two years outside the financial statement’s reporting period.</w:t>
      </w:r>
      <w:r w:rsidR="002624D2">
        <w:rPr>
          <w:rFonts w:cs="Times New Roman"/>
        </w:rPr>
        <w:t xml:space="preserve"> Such information would have been useful to prove that in</w:t>
      </w:r>
      <w:r w:rsidR="00CA74D9">
        <w:rPr>
          <w:rFonts w:cs="Times New Roman"/>
        </w:rPr>
        <w:t xml:space="preserve"> fact, Safari Connect was just a shell and a shape</w:t>
      </w:r>
      <w:r w:rsidR="00C66267">
        <w:rPr>
          <w:rFonts w:cs="Times New Roman"/>
        </w:rPr>
        <w:t xml:space="preserve"> </w:t>
      </w:r>
      <w:r w:rsidR="00CA74D9">
        <w:rPr>
          <w:rFonts w:cs="Times New Roman"/>
        </w:rPr>
        <w:t xml:space="preserve">at the defendant’s </w:t>
      </w:r>
      <w:r w:rsidR="00C66267">
        <w:rPr>
          <w:rFonts w:cs="Times New Roman"/>
        </w:rPr>
        <w:t>disposal</w:t>
      </w:r>
      <w:r w:rsidR="00CA74D9">
        <w:rPr>
          <w:rFonts w:cs="Times New Roman"/>
        </w:rPr>
        <w:t xml:space="preserve">. </w:t>
      </w:r>
      <w:r w:rsidR="00203141" w:rsidRPr="002624D2">
        <w:rPr>
          <w:rFonts w:cs="Times New Roman"/>
        </w:rPr>
        <w:t xml:space="preserve"> </w:t>
      </w:r>
    </w:p>
    <w:p w14:paraId="1890928B" w14:textId="4A4B2D2F" w:rsidR="00577CC7" w:rsidRDefault="002624D2" w:rsidP="002624D2">
      <w:pPr>
        <w:numPr>
          <w:ilvl w:val="0"/>
          <w:numId w:val="5"/>
        </w:numPr>
        <w:rPr>
          <w:rFonts w:cs="Times New Roman"/>
          <w:lang w:val="en-ZW"/>
        </w:rPr>
      </w:pPr>
      <w:r>
        <w:rPr>
          <w:rFonts w:cs="Times New Roman"/>
          <w:lang w:val="en-ZW"/>
        </w:rPr>
        <w:t xml:space="preserve">From a reading of the plaintiff’s </w:t>
      </w:r>
      <w:r w:rsidR="0061329D">
        <w:rPr>
          <w:rFonts w:cs="Times New Roman"/>
          <w:lang w:val="en-ZW"/>
        </w:rPr>
        <w:t>submissions</w:t>
      </w:r>
      <w:r>
        <w:rPr>
          <w:rFonts w:cs="Times New Roman"/>
          <w:lang w:val="en-ZW"/>
        </w:rPr>
        <w:t>, there appears to be a subtle suggestion that there were manoeuvres to encumber Safari Connect with the</w:t>
      </w:r>
      <w:r w:rsidR="000F5844">
        <w:rPr>
          <w:rFonts w:cs="Times New Roman"/>
          <w:lang w:val="en-ZW"/>
        </w:rPr>
        <w:t xml:space="preserve"> </w:t>
      </w:r>
      <w:r>
        <w:rPr>
          <w:rFonts w:cs="Times New Roman"/>
          <w:lang w:val="en-ZW"/>
        </w:rPr>
        <w:t>defendant</w:t>
      </w:r>
      <w:r w:rsidR="000F5844">
        <w:rPr>
          <w:rFonts w:cs="Times New Roman"/>
          <w:lang w:val="en-ZW"/>
        </w:rPr>
        <w:t>’s debt</w:t>
      </w:r>
      <w:r>
        <w:rPr>
          <w:rFonts w:cs="Times New Roman"/>
          <w:lang w:val="en-ZW"/>
        </w:rPr>
        <w:t xml:space="preserve"> before it went under. The documents placed before the court do not seem to support that suggestion. </w:t>
      </w:r>
      <w:r w:rsidR="00CA74D9">
        <w:rPr>
          <w:rFonts w:cs="Times New Roman"/>
          <w:lang w:val="en-ZW"/>
        </w:rPr>
        <w:t xml:space="preserve"> I have already related to the loan advanced to the defendant in the preceding paragraph. With regards Safari Connect being assigned the defendant’s debt for no consideration, </w:t>
      </w:r>
      <w:r w:rsidR="00C03AE3">
        <w:rPr>
          <w:rFonts w:cs="Times New Roman"/>
          <w:lang w:val="en-ZW"/>
        </w:rPr>
        <w:t xml:space="preserve">the Deed of Novation and Assignment records that the original lender, Vantage, assigned all of its rights, title, benefit and interest in respect of the loan to the plaintiff while at the same time, the original borrower, that is the defendant, novated all of its rights and obligations to Safari Connect. </w:t>
      </w:r>
      <w:r w:rsidR="0050162C">
        <w:rPr>
          <w:rFonts w:cs="Times New Roman"/>
          <w:lang w:val="en-ZW"/>
        </w:rPr>
        <w:t xml:space="preserve">Both parties took over rights and obligations respectively. The </w:t>
      </w:r>
      <w:r w:rsidR="00BC5465">
        <w:rPr>
          <w:rFonts w:cs="Times New Roman"/>
          <w:lang w:val="en-ZW"/>
        </w:rPr>
        <w:t>d</w:t>
      </w:r>
      <w:r w:rsidR="0050162C">
        <w:rPr>
          <w:rFonts w:cs="Times New Roman"/>
          <w:lang w:val="en-ZW"/>
        </w:rPr>
        <w:t>eed does not speak to any consideration being given to any of the parties</w:t>
      </w:r>
      <w:r w:rsidR="00C66267">
        <w:rPr>
          <w:rFonts w:cs="Times New Roman"/>
          <w:lang w:val="en-ZW"/>
        </w:rPr>
        <w:t xml:space="preserve">. Besides that </w:t>
      </w:r>
      <w:r w:rsidR="00534FA3">
        <w:rPr>
          <w:rFonts w:cs="Times New Roman"/>
          <w:lang w:val="en-ZW"/>
        </w:rPr>
        <w:t>any suggestion of untoward conduct would be applicable to both parties</w:t>
      </w:r>
      <w:r w:rsidR="00C66267">
        <w:rPr>
          <w:rFonts w:cs="Times New Roman"/>
          <w:lang w:val="en-ZW"/>
        </w:rPr>
        <w:t>, it would appear that this was a mutual arrangement</w:t>
      </w:r>
      <w:r w:rsidR="00B01BFD">
        <w:rPr>
          <w:rFonts w:cs="Times New Roman"/>
          <w:lang w:val="en-ZW"/>
        </w:rPr>
        <w:t xml:space="preserve"> based on a mutual understanding among the parties involved. </w:t>
      </w:r>
    </w:p>
    <w:p w14:paraId="39515E22" w14:textId="75BC593F" w:rsidR="00534FA3" w:rsidRPr="00AD26BD" w:rsidRDefault="00577CC7" w:rsidP="00AD26BD">
      <w:pPr>
        <w:numPr>
          <w:ilvl w:val="0"/>
          <w:numId w:val="5"/>
        </w:numPr>
        <w:rPr>
          <w:rFonts w:cs="Times New Roman"/>
          <w:lang w:val="en-ZW"/>
        </w:rPr>
      </w:pPr>
      <w:r>
        <w:rPr>
          <w:rFonts w:cs="Times New Roman"/>
          <w:lang w:val="en-ZW"/>
        </w:rPr>
        <w:t>Even more pertinent to note are the contents of the preamble to the Memorandum of Understanding</w:t>
      </w:r>
      <w:r w:rsidR="0048356E">
        <w:rPr>
          <w:rFonts w:cs="Times New Roman"/>
          <w:lang w:val="en-ZW"/>
        </w:rPr>
        <w:t xml:space="preserve"> (MoU)</w:t>
      </w:r>
      <w:r>
        <w:rPr>
          <w:rFonts w:cs="Times New Roman"/>
          <w:lang w:val="en-ZW"/>
        </w:rPr>
        <w:t xml:space="preserve"> on the strength of which Vantage inject</w:t>
      </w:r>
      <w:r w:rsidR="00534FA3">
        <w:rPr>
          <w:rFonts w:cs="Times New Roman"/>
          <w:lang w:val="en-ZW"/>
        </w:rPr>
        <w:t>ed</w:t>
      </w:r>
      <w:r>
        <w:rPr>
          <w:rFonts w:cs="Times New Roman"/>
          <w:lang w:val="en-ZW"/>
        </w:rPr>
        <w:t xml:space="preserve"> funding into </w:t>
      </w:r>
      <w:r w:rsidR="00C66267">
        <w:rPr>
          <w:rFonts w:cs="Times New Roman"/>
          <w:lang w:val="en-ZW"/>
        </w:rPr>
        <w:t xml:space="preserve">the </w:t>
      </w:r>
      <w:r>
        <w:rPr>
          <w:rFonts w:cs="Times New Roman"/>
          <w:lang w:val="en-ZW"/>
        </w:rPr>
        <w:t>Iganyana camp. The M</w:t>
      </w:r>
      <w:r w:rsidR="0048356E">
        <w:rPr>
          <w:rFonts w:cs="Times New Roman"/>
          <w:lang w:val="en-ZW"/>
        </w:rPr>
        <w:t>o</w:t>
      </w:r>
      <w:r>
        <w:rPr>
          <w:rFonts w:cs="Times New Roman"/>
          <w:lang w:val="en-ZW"/>
        </w:rPr>
        <w:t>U recor</w:t>
      </w:r>
      <w:r w:rsidR="0048356E">
        <w:rPr>
          <w:rFonts w:cs="Times New Roman"/>
          <w:lang w:val="en-ZW"/>
        </w:rPr>
        <w:t xml:space="preserve">ds that Vantage and the defendant agreed to establish a </w:t>
      </w:r>
      <w:r>
        <w:rPr>
          <w:rFonts w:cs="Times New Roman"/>
          <w:lang w:val="en-ZW"/>
        </w:rPr>
        <w:t>mutually-advantageous business relationship regarding the construction and operation of the Iganyana Camp</w:t>
      </w:r>
      <w:r w:rsidR="0048356E">
        <w:rPr>
          <w:rFonts w:cs="Times New Roman"/>
          <w:lang w:val="en-ZW"/>
        </w:rPr>
        <w:t xml:space="preserve"> (‘the project’)</w:t>
      </w:r>
      <w:r>
        <w:rPr>
          <w:rFonts w:cs="Times New Roman"/>
          <w:lang w:val="en-ZW"/>
        </w:rPr>
        <w:t xml:space="preserve">. </w:t>
      </w:r>
      <w:r w:rsidR="0048356E">
        <w:rPr>
          <w:rFonts w:cs="Times New Roman"/>
          <w:lang w:val="en-ZW"/>
        </w:rPr>
        <w:t xml:space="preserve">The MoU further records that Vantage would provide an interest free loan funding to establish the project. Further, Vantage and the defendant would share in the economic returns generated by Iganyana camp and Vantage would be granted bed nights at the camp to be utilised by its clients. </w:t>
      </w:r>
      <w:r w:rsidR="00534FA3">
        <w:rPr>
          <w:rFonts w:cs="Times New Roman"/>
          <w:lang w:val="en-ZW"/>
        </w:rPr>
        <w:t>It is these rights, obligations and benefits that are novated and assigned through the Deed of Novation and Assignment</w:t>
      </w:r>
      <w:r w:rsidR="0078079B">
        <w:rPr>
          <w:rFonts w:cs="Times New Roman"/>
          <w:lang w:val="en-ZW"/>
        </w:rPr>
        <w:t>.</w:t>
      </w:r>
      <w:r w:rsidR="0061329D">
        <w:rPr>
          <w:rFonts w:cs="Times New Roman"/>
          <w:lang w:val="en-ZW"/>
        </w:rPr>
        <w:t xml:space="preserve"> </w:t>
      </w:r>
      <w:r w:rsidR="0061329D" w:rsidRPr="00AD26BD">
        <w:rPr>
          <w:rFonts w:cs="Times New Roman"/>
          <w:lang w:val="en-ZW"/>
        </w:rPr>
        <w:t xml:space="preserve">Under the circumstances, it cannot therefore be strenuously argued that Safari Connect assumed the debt for no consideration. </w:t>
      </w:r>
    </w:p>
    <w:p w14:paraId="0C59A474" w14:textId="196AC47B" w:rsidR="00822092" w:rsidRDefault="00B97585" w:rsidP="002624D2">
      <w:pPr>
        <w:numPr>
          <w:ilvl w:val="0"/>
          <w:numId w:val="5"/>
        </w:numPr>
        <w:rPr>
          <w:rFonts w:cs="Times New Roman"/>
          <w:lang w:val="en-ZW"/>
        </w:rPr>
      </w:pPr>
      <w:r>
        <w:rPr>
          <w:rFonts w:cs="Times New Roman"/>
          <w:lang w:val="en-ZW"/>
        </w:rPr>
        <w:t>Notably, the</w:t>
      </w:r>
      <w:r w:rsidR="0078079B">
        <w:rPr>
          <w:rFonts w:cs="Times New Roman"/>
          <w:lang w:val="en-ZW"/>
        </w:rPr>
        <w:t xml:space="preserve"> loan in </w:t>
      </w:r>
      <w:r w:rsidR="0078079B" w:rsidRPr="0078079B">
        <w:rPr>
          <w:rFonts w:cs="Times New Roman"/>
          <w:i/>
          <w:iCs/>
          <w:lang w:val="en-ZW"/>
        </w:rPr>
        <w:t>casu</w:t>
      </w:r>
      <w:r w:rsidR="00AD26BD">
        <w:rPr>
          <w:rFonts w:cs="Times New Roman"/>
          <w:lang w:val="en-ZW"/>
        </w:rPr>
        <w:t xml:space="preserve"> </w:t>
      </w:r>
      <w:r w:rsidR="0078079B">
        <w:rPr>
          <w:rFonts w:cs="Times New Roman"/>
          <w:lang w:val="en-ZW"/>
        </w:rPr>
        <w:t xml:space="preserve">is also </w:t>
      </w:r>
      <w:r w:rsidR="006A3007">
        <w:rPr>
          <w:rFonts w:cs="Times New Roman"/>
          <w:lang w:val="en-ZW"/>
        </w:rPr>
        <w:t xml:space="preserve">unsecured, </w:t>
      </w:r>
      <w:r w:rsidR="005C11B1">
        <w:rPr>
          <w:rFonts w:cs="Times New Roman"/>
          <w:lang w:val="en-ZW"/>
        </w:rPr>
        <w:t>interest-free</w:t>
      </w:r>
      <w:r w:rsidR="006A3007">
        <w:rPr>
          <w:rFonts w:cs="Times New Roman"/>
          <w:lang w:val="en-ZW"/>
        </w:rPr>
        <w:t xml:space="preserve"> and amortised. The recor</w:t>
      </w:r>
      <w:r w:rsidR="0078079B">
        <w:rPr>
          <w:rFonts w:cs="Times New Roman"/>
          <w:lang w:val="en-ZW"/>
        </w:rPr>
        <w:t>d</w:t>
      </w:r>
      <w:r w:rsidR="006A3007">
        <w:rPr>
          <w:rFonts w:cs="Times New Roman"/>
          <w:lang w:val="en-ZW"/>
        </w:rPr>
        <w:t xml:space="preserve"> show</w:t>
      </w:r>
      <w:r w:rsidR="0078079B">
        <w:rPr>
          <w:rFonts w:cs="Times New Roman"/>
          <w:lang w:val="en-ZW"/>
        </w:rPr>
        <w:t xml:space="preserve">s </w:t>
      </w:r>
      <w:r w:rsidR="006A3007">
        <w:rPr>
          <w:rFonts w:cs="Times New Roman"/>
          <w:lang w:val="en-ZW"/>
        </w:rPr>
        <w:t>that the loan was repayable in monthly instalments of US$8</w:t>
      </w:r>
      <w:r w:rsidR="002147FE">
        <w:rPr>
          <w:rFonts w:cs="Times New Roman"/>
          <w:lang w:val="en-ZW"/>
        </w:rPr>
        <w:t xml:space="preserve"> </w:t>
      </w:r>
      <w:r w:rsidR="006A3007">
        <w:rPr>
          <w:rFonts w:cs="Times New Roman"/>
          <w:lang w:val="en-ZW"/>
        </w:rPr>
        <w:t xml:space="preserve">583. </w:t>
      </w:r>
      <w:r w:rsidR="00F91353">
        <w:rPr>
          <w:rFonts w:cs="Times New Roman"/>
          <w:lang w:val="en-ZW"/>
        </w:rPr>
        <w:t xml:space="preserve"> Th</w:t>
      </w:r>
      <w:r w:rsidR="00341A06">
        <w:rPr>
          <w:rFonts w:cs="Times New Roman"/>
          <w:lang w:val="en-ZW"/>
        </w:rPr>
        <w:t xml:space="preserve">e repayment conditions were </w:t>
      </w:r>
      <w:r w:rsidR="00F91353">
        <w:rPr>
          <w:rFonts w:cs="Times New Roman"/>
          <w:lang w:val="en-ZW"/>
        </w:rPr>
        <w:t xml:space="preserve">in terms of the Deed of Indebtedness between the plaintiff and Safari Connect. Interest </w:t>
      </w:r>
      <w:r w:rsidR="00F91353">
        <w:rPr>
          <w:rFonts w:cs="Times New Roman"/>
          <w:lang w:val="en-ZW"/>
        </w:rPr>
        <w:lastRenderedPageBreak/>
        <w:t xml:space="preserve">would only accrue when Safari Connect failed to pay any amount owing when due. </w:t>
      </w:r>
      <w:r w:rsidR="006A3007">
        <w:rPr>
          <w:rFonts w:cs="Times New Roman"/>
          <w:lang w:val="en-ZW"/>
        </w:rPr>
        <w:t xml:space="preserve">The Deed of Novation and Assignment </w:t>
      </w:r>
      <w:r w:rsidR="00F91353">
        <w:rPr>
          <w:rFonts w:cs="Times New Roman"/>
          <w:lang w:val="en-ZW"/>
        </w:rPr>
        <w:t xml:space="preserve">and the Deed of Indebtedness are </w:t>
      </w:r>
      <w:r w:rsidR="006A3007">
        <w:rPr>
          <w:rFonts w:cs="Times New Roman"/>
          <w:lang w:val="en-ZW"/>
        </w:rPr>
        <w:t>dated 17 April 2019</w:t>
      </w:r>
      <w:r w:rsidR="00822092">
        <w:rPr>
          <w:rFonts w:cs="Times New Roman"/>
          <w:lang w:val="en-ZW"/>
        </w:rPr>
        <w:t>. T</w:t>
      </w:r>
      <w:r w:rsidR="00341A06">
        <w:rPr>
          <w:rFonts w:cs="Times New Roman"/>
          <w:lang w:val="en-ZW"/>
        </w:rPr>
        <w:t>he</w:t>
      </w:r>
      <w:r w:rsidR="00822092">
        <w:rPr>
          <w:rFonts w:cs="Times New Roman"/>
          <w:lang w:val="en-ZW"/>
        </w:rPr>
        <w:t xml:space="preserve">refore, </w:t>
      </w:r>
      <w:r w:rsidR="00AD26BD">
        <w:rPr>
          <w:rFonts w:cs="Times New Roman"/>
          <w:lang w:val="en-ZW"/>
        </w:rPr>
        <w:t xml:space="preserve">by 2022, the </w:t>
      </w:r>
      <w:r w:rsidR="00341A06">
        <w:rPr>
          <w:rFonts w:cs="Times New Roman"/>
          <w:lang w:val="en-ZW"/>
        </w:rPr>
        <w:t>debt was</w:t>
      </w:r>
      <w:r w:rsidR="007E58B8">
        <w:rPr>
          <w:rFonts w:cs="Times New Roman"/>
          <w:lang w:val="en-ZW"/>
        </w:rPr>
        <w:t xml:space="preserve"> </w:t>
      </w:r>
      <w:r w:rsidR="00341A06">
        <w:rPr>
          <w:rFonts w:cs="Times New Roman"/>
          <w:lang w:val="en-ZW"/>
        </w:rPr>
        <w:t>assigned to Safari Connect</w:t>
      </w:r>
      <w:r w:rsidR="007E58B8">
        <w:rPr>
          <w:rFonts w:cs="Times New Roman"/>
          <w:lang w:val="en-ZW"/>
        </w:rPr>
        <w:t xml:space="preserve"> way before the financial statement’s reporting period.</w:t>
      </w:r>
      <w:r w:rsidR="00AD26BD">
        <w:rPr>
          <w:rFonts w:cs="Times New Roman"/>
          <w:lang w:val="en-ZW"/>
        </w:rPr>
        <w:t xml:space="preserve"> </w:t>
      </w:r>
      <w:r w:rsidR="000E59F6">
        <w:rPr>
          <w:rFonts w:cs="Times New Roman"/>
          <w:lang w:val="en-ZW"/>
        </w:rPr>
        <w:t xml:space="preserve">In my view, the similarity in the conditions of the assigned loan and the loan advanced to the defendant by Safari Connect shows that there was nothing out of the ordinary or untoward in Safari Connect advancing an unsecured and </w:t>
      </w:r>
      <w:r w:rsidR="00B56381">
        <w:rPr>
          <w:rFonts w:cs="Times New Roman"/>
          <w:lang w:val="en-ZW"/>
        </w:rPr>
        <w:t>interest-free</w:t>
      </w:r>
      <w:r w:rsidR="000E59F6">
        <w:rPr>
          <w:rFonts w:cs="Times New Roman"/>
          <w:lang w:val="en-ZW"/>
        </w:rPr>
        <w:t xml:space="preserve"> loan to the defendant. This seems to have been a common business arrangement between all the parties involved. </w:t>
      </w:r>
    </w:p>
    <w:p w14:paraId="319370D1" w14:textId="77777777" w:rsidR="00C17038" w:rsidRDefault="000E59F6" w:rsidP="002624D2">
      <w:pPr>
        <w:numPr>
          <w:ilvl w:val="0"/>
          <w:numId w:val="5"/>
        </w:numPr>
        <w:rPr>
          <w:rFonts w:cs="Times New Roman"/>
          <w:lang w:val="en-ZW"/>
        </w:rPr>
      </w:pPr>
      <w:r>
        <w:rPr>
          <w:rFonts w:cs="Times New Roman"/>
          <w:lang w:val="en-ZW"/>
        </w:rPr>
        <w:t xml:space="preserve">Before Safari Connect purportedly went under, efforts to service the assigned debt were made over a period of approximately four years from 2019 to April 2023. The </w:t>
      </w:r>
      <w:r w:rsidR="00B5630D">
        <w:rPr>
          <w:rFonts w:cs="Times New Roman"/>
          <w:lang w:val="en-ZW"/>
        </w:rPr>
        <w:t>plaintiff</w:t>
      </w:r>
      <w:r w:rsidR="000E539B">
        <w:rPr>
          <w:rFonts w:cs="Times New Roman"/>
          <w:lang w:val="en-ZW"/>
        </w:rPr>
        <w:t xml:space="preserve"> </w:t>
      </w:r>
      <w:r w:rsidR="00B5630D">
        <w:rPr>
          <w:rFonts w:cs="Times New Roman"/>
          <w:lang w:val="en-ZW"/>
        </w:rPr>
        <w:t>placed</w:t>
      </w:r>
      <w:r w:rsidR="000E539B">
        <w:rPr>
          <w:rFonts w:cs="Times New Roman"/>
          <w:lang w:val="en-ZW"/>
        </w:rPr>
        <w:t xml:space="preserve"> before the court </w:t>
      </w:r>
      <w:r w:rsidR="00B5630D">
        <w:rPr>
          <w:rFonts w:cs="Times New Roman"/>
          <w:lang w:val="en-ZW"/>
        </w:rPr>
        <w:t xml:space="preserve">two documents detailing </w:t>
      </w:r>
      <w:r w:rsidR="006A3007">
        <w:rPr>
          <w:rFonts w:cs="Times New Roman"/>
          <w:lang w:val="en-ZW"/>
        </w:rPr>
        <w:t>Safari Connect</w:t>
      </w:r>
      <w:r w:rsidR="00B5630D">
        <w:rPr>
          <w:rFonts w:cs="Times New Roman"/>
          <w:lang w:val="en-ZW"/>
        </w:rPr>
        <w:t xml:space="preserve">’s loan repayments, one which shows that Safari </w:t>
      </w:r>
      <w:r w:rsidR="00DD1418">
        <w:rPr>
          <w:rFonts w:cs="Times New Roman"/>
          <w:lang w:val="en-ZW"/>
        </w:rPr>
        <w:t>Connect paid</w:t>
      </w:r>
      <w:r w:rsidR="006A3007">
        <w:rPr>
          <w:rFonts w:cs="Times New Roman"/>
          <w:lang w:val="en-ZW"/>
        </w:rPr>
        <w:t xml:space="preserve"> seven instalments of US$8 583.33 from 27 June 2019 up to 25 February 2020</w:t>
      </w:r>
      <w:r w:rsidR="00B5630D">
        <w:rPr>
          <w:rFonts w:cs="Times New Roman"/>
          <w:lang w:val="en-ZW"/>
        </w:rPr>
        <w:t>, as well as several other payments in tranches of US$500 (twice), US$1</w:t>
      </w:r>
      <w:r w:rsidR="002147FE">
        <w:rPr>
          <w:rFonts w:cs="Times New Roman"/>
          <w:lang w:val="en-ZW"/>
        </w:rPr>
        <w:t xml:space="preserve"> </w:t>
      </w:r>
      <w:r w:rsidR="00B5630D">
        <w:rPr>
          <w:rFonts w:cs="Times New Roman"/>
          <w:lang w:val="en-ZW"/>
        </w:rPr>
        <w:t>000 (four times), US$1</w:t>
      </w:r>
      <w:r w:rsidR="002147FE">
        <w:rPr>
          <w:rFonts w:cs="Times New Roman"/>
          <w:lang w:val="en-ZW"/>
        </w:rPr>
        <w:t xml:space="preserve"> </w:t>
      </w:r>
      <w:r w:rsidR="00B5630D">
        <w:rPr>
          <w:rFonts w:cs="Times New Roman"/>
          <w:lang w:val="en-ZW"/>
        </w:rPr>
        <w:t>500 (once), US$2</w:t>
      </w:r>
      <w:r w:rsidR="002147FE">
        <w:rPr>
          <w:rFonts w:cs="Times New Roman"/>
          <w:lang w:val="en-ZW"/>
        </w:rPr>
        <w:t xml:space="preserve"> </w:t>
      </w:r>
      <w:r w:rsidR="00B5630D">
        <w:rPr>
          <w:rFonts w:cs="Times New Roman"/>
          <w:lang w:val="en-ZW"/>
        </w:rPr>
        <w:t>000 (once) and US$2</w:t>
      </w:r>
      <w:r w:rsidR="002147FE">
        <w:rPr>
          <w:rFonts w:cs="Times New Roman"/>
          <w:lang w:val="en-ZW"/>
        </w:rPr>
        <w:t xml:space="preserve"> </w:t>
      </w:r>
      <w:r w:rsidR="00B5630D">
        <w:rPr>
          <w:rFonts w:cs="Times New Roman"/>
          <w:lang w:val="en-ZW"/>
        </w:rPr>
        <w:t xml:space="preserve">500 (eleven times). The second document shows that Safari Connect paid US$8 583.33 nine times, US$500 twice, </w:t>
      </w:r>
      <w:r w:rsidR="00DD1418">
        <w:rPr>
          <w:rFonts w:cs="Times New Roman"/>
          <w:lang w:val="en-ZW"/>
        </w:rPr>
        <w:t>US</w:t>
      </w:r>
      <w:r w:rsidR="00B5630D">
        <w:rPr>
          <w:rFonts w:cs="Times New Roman"/>
          <w:lang w:val="en-ZW"/>
        </w:rPr>
        <w:t>$1000 thrice, US$1500 once, US$2000, US$2500 five times and US$5000 twice</w:t>
      </w:r>
      <w:r w:rsidR="00DD1418">
        <w:rPr>
          <w:rFonts w:cs="Times New Roman"/>
          <w:lang w:val="en-ZW"/>
        </w:rPr>
        <w:t xml:space="preserve">. </w:t>
      </w:r>
    </w:p>
    <w:p w14:paraId="4C629141" w14:textId="49B3C658" w:rsidR="00DD1418" w:rsidRDefault="000E539B" w:rsidP="002624D2">
      <w:pPr>
        <w:numPr>
          <w:ilvl w:val="0"/>
          <w:numId w:val="5"/>
        </w:numPr>
        <w:rPr>
          <w:rFonts w:cs="Times New Roman"/>
          <w:lang w:val="en-ZW"/>
        </w:rPr>
      </w:pPr>
      <w:r>
        <w:rPr>
          <w:rFonts w:cs="Times New Roman"/>
          <w:lang w:val="en-ZW"/>
        </w:rPr>
        <w:t xml:space="preserve">Despite the </w:t>
      </w:r>
      <w:r w:rsidR="00DD1418">
        <w:rPr>
          <w:rFonts w:cs="Times New Roman"/>
          <w:lang w:val="en-ZW"/>
        </w:rPr>
        <w:t>incongruency in terms of the figures</w:t>
      </w:r>
      <w:r>
        <w:rPr>
          <w:rFonts w:cs="Times New Roman"/>
          <w:lang w:val="en-ZW"/>
        </w:rPr>
        <w:t xml:space="preserve"> paid</w:t>
      </w:r>
      <w:r w:rsidR="00DD1418">
        <w:rPr>
          <w:rFonts w:cs="Times New Roman"/>
          <w:lang w:val="en-ZW"/>
        </w:rPr>
        <w:t>, what is clear is that</w:t>
      </w:r>
      <w:r>
        <w:rPr>
          <w:rFonts w:cs="Times New Roman"/>
          <w:lang w:val="en-ZW"/>
        </w:rPr>
        <w:t xml:space="preserve"> </w:t>
      </w:r>
      <w:r w:rsidR="00DD1418">
        <w:rPr>
          <w:rFonts w:cs="Times New Roman"/>
          <w:lang w:val="en-ZW"/>
        </w:rPr>
        <w:t xml:space="preserve">Safari Connect was servicing the debt over a period of time </w:t>
      </w:r>
      <w:r>
        <w:rPr>
          <w:rFonts w:cs="Times New Roman"/>
          <w:lang w:val="en-ZW"/>
        </w:rPr>
        <w:t>until such a time it failed to service the loan</w:t>
      </w:r>
      <w:r w:rsidR="002147FE">
        <w:rPr>
          <w:rFonts w:cs="Times New Roman"/>
          <w:lang w:val="en-ZW"/>
        </w:rPr>
        <w:t xml:space="preserve">. </w:t>
      </w:r>
      <w:r w:rsidR="00DD1418">
        <w:rPr>
          <w:rFonts w:cs="Times New Roman"/>
          <w:lang w:val="en-ZW"/>
        </w:rPr>
        <w:t xml:space="preserve">The </w:t>
      </w:r>
      <w:r w:rsidR="00822092">
        <w:rPr>
          <w:rFonts w:cs="Times New Roman"/>
          <w:lang w:val="en-ZW"/>
        </w:rPr>
        <w:t xml:space="preserve">facts before the court </w:t>
      </w:r>
      <w:r w:rsidR="00DD1418">
        <w:rPr>
          <w:rFonts w:cs="Times New Roman"/>
          <w:lang w:val="en-ZW"/>
        </w:rPr>
        <w:t>do not hint</w:t>
      </w:r>
      <w:r w:rsidR="00822092">
        <w:rPr>
          <w:rFonts w:cs="Times New Roman"/>
          <w:lang w:val="en-ZW"/>
        </w:rPr>
        <w:t xml:space="preserve"> </w:t>
      </w:r>
      <w:r w:rsidR="002147FE">
        <w:rPr>
          <w:rFonts w:cs="Times New Roman"/>
          <w:lang w:val="en-ZW"/>
        </w:rPr>
        <w:t xml:space="preserve">a </w:t>
      </w:r>
      <w:r w:rsidR="00DD1418">
        <w:rPr>
          <w:rFonts w:cs="Times New Roman"/>
          <w:lang w:val="en-ZW"/>
        </w:rPr>
        <w:t>systematic and deliberate</w:t>
      </w:r>
      <w:r w:rsidR="002147FE">
        <w:rPr>
          <w:rFonts w:cs="Times New Roman"/>
          <w:lang w:val="en-ZW"/>
        </w:rPr>
        <w:t xml:space="preserve"> process </w:t>
      </w:r>
      <w:r w:rsidR="007B2498">
        <w:rPr>
          <w:rFonts w:cs="Times New Roman"/>
          <w:lang w:val="en-ZW"/>
        </w:rPr>
        <w:t xml:space="preserve">of the </w:t>
      </w:r>
      <w:r w:rsidR="00163A00">
        <w:rPr>
          <w:rFonts w:cs="Times New Roman"/>
          <w:lang w:val="en-ZW"/>
        </w:rPr>
        <w:t xml:space="preserve">defendant borrowing money from Safari Connect, assigning its debt to Safari Connect then Safari Connect going under. </w:t>
      </w:r>
      <w:r w:rsidR="007B2498">
        <w:rPr>
          <w:rFonts w:cs="Times New Roman"/>
          <w:lang w:val="en-ZW"/>
        </w:rPr>
        <w:t xml:space="preserve">In fact, the emails placed before the court by the plaintiff show that communication relating to the challenges Safari Connect faced and its possible collapse was made by Sheona Anders, a director in Safari Connect from September 2023 when Vantage went into liquidation. The emails show that Safari Connect’s collapse is not something that was sprung upon the plaintiff, but communication on the impact of Vantage’s demise on Safari Connect considering that Safari Connect </w:t>
      </w:r>
      <w:r w:rsidR="007B2498">
        <w:t>did not have any international sales office resource or representation to assist with international marketing and reservations outside Vantage</w:t>
      </w:r>
      <w:r w:rsidR="00C17038">
        <w:t xml:space="preserve"> was being made by Safari Connect</w:t>
      </w:r>
      <w:r w:rsidR="00725E9A">
        <w:t xml:space="preserve">. The negative impact was </w:t>
      </w:r>
      <w:r w:rsidR="00C17038">
        <w:t xml:space="preserve">acknowledged by the plaintiff. </w:t>
      </w:r>
      <w:r w:rsidR="00725E9A">
        <w:t>The potential demise of Safari Connect due to Vantage’s liquidation hav</w:t>
      </w:r>
      <w:r w:rsidR="00821E37">
        <w:t>ing</w:t>
      </w:r>
      <w:r w:rsidR="00725E9A">
        <w:t xml:space="preserve"> been </w:t>
      </w:r>
      <w:r w:rsidR="00725E9A">
        <w:lastRenderedPageBreak/>
        <w:t xml:space="preserve">brought up to the plaintiff’s attention several times, </w:t>
      </w:r>
      <w:r w:rsidR="00821E37">
        <w:t xml:space="preserve">it </w:t>
      </w:r>
      <w:r w:rsidR="00725E9A">
        <w:t>cannot be said to have been part of a grand scheme by the defendant to literally get away with</w:t>
      </w:r>
      <w:r w:rsidR="00B01BFD">
        <w:t>out meeting its dues</w:t>
      </w:r>
      <w:r w:rsidR="00725E9A">
        <w:t xml:space="preserve">. It was a </w:t>
      </w:r>
      <w:r w:rsidR="00821E37">
        <w:t xml:space="preserve">well communicated </w:t>
      </w:r>
      <w:r w:rsidR="00725E9A">
        <w:t>consequence of Vantage</w:t>
      </w:r>
      <w:r w:rsidR="00821E37">
        <w:t xml:space="preserve">’s </w:t>
      </w:r>
      <w:r w:rsidR="00725E9A">
        <w:t xml:space="preserve">folding leaving Safari Connect high and dry. </w:t>
      </w:r>
    </w:p>
    <w:p w14:paraId="4CB7BF1B" w14:textId="07385303" w:rsidR="007B423E" w:rsidRDefault="00CF27DE" w:rsidP="007B423E">
      <w:pPr>
        <w:numPr>
          <w:ilvl w:val="0"/>
          <w:numId w:val="5"/>
        </w:numPr>
      </w:pPr>
      <w:r>
        <w:rPr>
          <w:rFonts w:cs="Times New Roman"/>
          <w:lang w:val="en-ZW"/>
        </w:rPr>
        <w:t xml:space="preserve">On the plaintiff’s allegation that the personnel of Safari Connect and the defendant intersects, </w:t>
      </w:r>
      <w:r w:rsidR="007B423E">
        <w:t xml:space="preserve">Sheona Anders is the only common director between the two entities. </w:t>
      </w:r>
      <w:r>
        <w:t>P</w:t>
      </w:r>
      <w:r w:rsidR="007B423E">
        <w:t>er the parties’ statement of agreed facts, the</w:t>
      </w:r>
      <w:r w:rsidR="007B423E" w:rsidRPr="007B423E">
        <w:t xml:space="preserve"> directors of Safari Connect are Sheona Anders, Bavita Jankee Persand, Mohamed Dilshad, Noel Colin Kersley Vinay, Pieter Enright, and Moya Cosaleggio</w:t>
      </w:r>
      <w:r w:rsidR="007B423E">
        <w:t xml:space="preserve">. The statement of agreed facts shows that </w:t>
      </w:r>
      <w:r w:rsidR="007B423E" w:rsidRPr="007B423E">
        <w:t>Sheona Anders is also an executive director and shareholder of the defendant.</w:t>
      </w:r>
      <w:r w:rsidR="007B423E">
        <w:t xml:space="preserve"> I accept that as fact. </w:t>
      </w:r>
    </w:p>
    <w:p w14:paraId="3931B94F" w14:textId="77777777" w:rsidR="007B423E" w:rsidRDefault="00D2562A" w:rsidP="007B423E">
      <w:pPr>
        <w:numPr>
          <w:ilvl w:val="0"/>
          <w:numId w:val="5"/>
        </w:numPr>
      </w:pPr>
      <w:r>
        <w:t xml:space="preserve">The fact that Sheona Anders is a common director in the defendant and Safari Connect cannot be the basis to find that the companies are bound hand and foot. It </w:t>
      </w:r>
      <w:r w:rsidR="002147FE">
        <w:t xml:space="preserve">is </w:t>
      </w:r>
      <w:r>
        <w:t xml:space="preserve">not unusual for a person to be a director in several companies but that does not speak to a connection between the companies. </w:t>
      </w:r>
    </w:p>
    <w:p w14:paraId="5DE66235" w14:textId="4852B557" w:rsidR="00E32E5D" w:rsidRDefault="009F4317" w:rsidP="007B423E">
      <w:pPr>
        <w:numPr>
          <w:ilvl w:val="0"/>
          <w:numId w:val="5"/>
        </w:numPr>
      </w:pPr>
      <w:r>
        <w:t xml:space="preserve">The plaintiff argued that in writing correspondence relating to Safari Connect’s debt, Sheona Anders spoke in the first person. </w:t>
      </w:r>
      <w:r w:rsidR="00E32E5D">
        <w:t xml:space="preserve">The emails attached show that Sheona </w:t>
      </w:r>
      <w:r w:rsidR="001D04DA">
        <w:t>Anders, while</w:t>
      </w:r>
      <w:r w:rsidR="00E32E5D">
        <w:t xml:space="preserve"> responding to emails, wa</w:t>
      </w:r>
      <w:r w:rsidR="001D04DA">
        <w:t xml:space="preserve">s mostly </w:t>
      </w:r>
      <w:r w:rsidR="00E32E5D">
        <w:t xml:space="preserve">writing in the </w:t>
      </w:r>
      <w:r w:rsidR="001D04DA">
        <w:t>first-person</w:t>
      </w:r>
      <w:r w:rsidR="00E32E5D">
        <w:t xml:space="preserve"> plural, ‘we’</w:t>
      </w:r>
      <w:r w:rsidR="001D04DA">
        <w:t xml:space="preserve">, or would clearly identify Safari Connect in the third person narrative. In some instances, she would write in the first-person narrative.  </w:t>
      </w:r>
      <w:r w:rsidR="00E32E5D">
        <w:t xml:space="preserve">Sheona Anders is a director </w:t>
      </w:r>
      <w:r w:rsidR="001D04DA">
        <w:t xml:space="preserve">in </w:t>
      </w:r>
      <w:r w:rsidR="00E32E5D">
        <w:t>Safari Connect.</w:t>
      </w:r>
      <w:r w:rsidR="001D04DA">
        <w:t xml:space="preserve"> </w:t>
      </w:r>
      <w:r w:rsidR="00E32E5D">
        <w:t xml:space="preserve"> I</w:t>
      </w:r>
      <w:r w:rsidR="001D04DA">
        <w:t xml:space="preserve"> </w:t>
      </w:r>
      <w:r w:rsidR="00E32E5D">
        <w:t xml:space="preserve">do not see how Sheona writing emails on behalf of Safari Connect and referring to ‘we’ </w:t>
      </w:r>
      <w:r w:rsidR="001D04DA">
        <w:t xml:space="preserve">or ‘I’ </w:t>
      </w:r>
      <w:r w:rsidR="00E32E5D">
        <w:t xml:space="preserve">would translate to Safari Connect and the defendant being a single economic entity. </w:t>
      </w:r>
    </w:p>
    <w:p w14:paraId="00A8DDB6" w14:textId="4D0A3EB5" w:rsidR="007B423E" w:rsidRDefault="00C17038" w:rsidP="007B423E">
      <w:pPr>
        <w:numPr>
          <w:ilvl w:val="0"/>
          <w:numId w:val="5"/>
        </w:numPr>
      </w:pPr>
      <w:r>
        <w:t xml:space="preserve">With regards the defendant’s and Safari Connect’s shareholding, it </w:t>
      </w:r>
      <w:r w:rsidR="00322821">
        <w:t xml:space="preserve">is not disputed that </w:t>
      </w:r>
      <w:r w:rsidR="00163A00">
        <w:t xml:space="preserve">BTG </w:t>
      </w:r>
      <w:r w:rsidR="00322821">
        <w:t>Management</w:t>
      </w:r>
      <w:r w:rsidR="00163A00">
        <w:t xml:space="preserve"> Services (Mauritius)</w:t>
      </w:r>
      <w:r w:rsidR="00322821">
        <w:t xml:space="preserve"> holds one hundred percent shareholding in Safari Connect</w:t>
      </w:r>
      <w:r>
        <w:t>. N</w:t>
      </w:r>
      <w:r w:rsidR="00322821">
        <w:t xml:space="preserve">either the defendant nor the defendant’s shareholders hold shares in Safari Connect. </w:t>
      </w:r>
      <w:r w:rsidR="007B423E">
        <w:t>The plaintiff argued that Sheona Anders and her husb</w:t>
      </w:r>
      <w:r>
        <w:t xml:space="preserve">and, Terry </w:t>
      </w:r>
      <w:r w:rsidR="00CC1EDE">
        <w:t>Anders, are</w:t>
      </w:r>
      <w:r w:rsidR="007B423E">
        <w:t xml:space="preserve"> shareholders in the defendant. In my view, this does not advance their case. If anything, it shows that Safari Connect and the defendant do not have common shareholders. </w:t>
      </w:r>
      <w:r w:rsidR="00B01BFD">
        <w:t xml:space="preserve">On the whole, the plaintiff has not placed any evidence before the court to prove the common shareholding, and the common directorship is only true to the extent that it relates to Shauna Anders only, not all the directors in either Safari Connect or the defendant. </w:t>
      </w:r>
    </w:p>
    <w:p w14:paraId="3C6219A2" w14:textId="4AF30755" w:rsidR="00CC1EDE" w:rsidRPr="00CC1EDE" w:rsidRDefault="008E711A" w:rsidP="007B423E">
      <w:pPr>
        <w:numPr>
          <w:ilvl w:val="0"/>
          <w:numId w:val="5"/>
        </w:numPr>
      </w:pPr>
      <w:r>
        <w:lastRenderedPageBreak/>
        <w:t xml:space="preserve">The </w:t>
      </w:r>
      <w:r w:rsidR="00CC1EDE">
        <w:t>statement of agreed facts records that Safari Connect was set up solely to act as a sale</w:t>
      </w:r>
      <w:r w:rsidR="008F5AA0">
        <w:t>s</w:t>
      </w:r>
      <w:r w:rsidR="00CC1EDE">
        <w:t xml:space="preserve"> agent. Its business was composed of acting as an international booking agent for the Iganyana tented camp and many other camps and safaris, not necessarily Iganyana tented camp. It has not been argued that those other camps and safaris belong to the defendant. In fact, the business interactions between the defendant and Safari Connect were governed by a service level agreement</w:t>
      </w:r>
      <w:r w:rsidR="00CC1EDE">
        <w:rPr>
          <w:rFonts w:cs="Times New Roman"/>
          <w:lang w:val="en-ZW"/>
        </w:rPr>
        <w:t xml:space="preserve"> in terms of which Safari Connect acted as the exclusive agent for the defendant in relation to the sale and booking of bed nights to Vantage. </w:t>
      </w:r>
      <w:r>
        <w:rPr>
          <w:rFonts w:cs="Times New Roman"/>
          <w:lang w:val="en-ZW"/>
        </w:rPr>
        <w:t xml:space="preserve">I </w:t>
      </w:r>
      <w:r w:rsidR="00821E37">
        <w:rPr>
          <w:rFonts w:cs="Times New Roman"/>
          <w:lang w:val="en-ZW"/>
        </w:rPr>
        <w:t xml:space="preserve">have not been given any cogent reason by the plaintiff to find that the defendant is Safari Connect’s parent company. The control element in Safari Connect by the defendant has not been proved. I therefore </w:t>
      </w:r>
      <w:r>
        <w:rPr>
          <w:rFonts w:cs="Times New Roman"/>
          <w:lang w:val="en-ZW"/>
        </w:rPr>
        <w:t>find no basis to conclude that the defendant controlled every movement of Safari Connect</w:t>
      </w:r>
      <w:r w:rsidR="00821E37">
        <w:rPr>
          <w:rFonts w:cs="Times New Roman"/>
          <w:lang w:val="en-ZW"/>
        </w:rPr>
        <w:t xml:space="preserve"> and that the two entities were bound hand and foot. </w:t>
      </w:r>
    </w:p>
    <w:p w14:paraId="2C686DF4" w14:textId="77777777" w:rsidR="00166D7E" w:rsidRDefault="008E711A" w:rsidP="007B423E">
      <w:pPr>
        <w:numPr>
          <w:ilvl w:val="0"/>
          <w:numId w:val="5"/>
        </w:numPr>
      </w:pPr>
      <w:r>
        <w:t xml:space="preserve">On the basis of the foregoing analysis, I take the view that the plaintiff has not been able to place any evidence before the court to prove its contentions that </w:t>
      </w:r>
      <w:r w:rsidR="00166D7E">
        <w:t>Safari Connect and the defendant are a single economic entity. The plaintiff’s claim stands to be dismissed.</w:t>
      </w:r>
    </w:p>
    <w:p w14:paraId="30C04483" w14:textId="43C1F3BF" w:rsidR="00A73CD4" w:rsidRPr="002B2FC6" w:rsidRDefault="002B2FC6" w:rsidP="00F23943">
      <w:pPr>
        <w:pStyle w:val="ListParagraph"/>
        <w:numPr>
          <w:ilvl w:val="0"/>
          <w:numId w:val="5"/>
        </w:numPr>
        <w:spacing w:after="0"/>
        <w:ind w:left="284" w:hanging="284"/>
        <w:rPr>
          <w:rFonts w:cs="Times New Roman"/>
          <w:bCs/>
          <w:szCs w:val="24"/>
        </w:rPr>
      </w:pPr>
      <w:r>
        <w:rPr>
          <w:rFonts w:cs="Times New Roman"/>
          <w:szCs w:val="24"/>
        </w:rPr>
        <w:t xml:space="preserve">Regarding costs, it is trite that costs follow the outcome.  </w:t>
      </w:r>
    </w:p>
    <w:p w14:paraId="2DF6A39A" w14:textId="77777777" w:rsidR="002B2FC6" w:rsidRPr="002B2FC6" w:rsidRDefault="002B2FC6" w:rsidP="002B2FC6">
      <w:pPr>
        <w:pStyle w:val="ListParagraph"/>
        <w:spacing w:after="0"/>
        <w:ind w:left="284"/>
        <w:rPr>
          <w:rFonts w:cs="Times New Roman"/>
          <w:bCs/>
          <w:szCs w:val="24"/>
        </w:rPr>
      </w:pPr>
    </w:p>
    <w:p w14:paraId="2EC82A15" w14:textId="45DD9C9B" w:rsidR="00F23943" w:rsidRDefault="00166D7E" w:rsidP="00F23943">
      <w:pPr>
        <w:rPr>
          <w:rFonts w:cs="Times New Roman"/>
          <w:b/>
          <w:bCs/>
          <w:szCs w:val="24"/>
          <w:u w:val="single"/>
        </w:rPr>
      </w:pPr>
      <w:r>
        <w:rPr>
          <w:rFonts w:cs="Times New Roman"/>
          <w:b/>
          <w:bCs/>
          <w:szCs w:val="24"/>
          <w:u w:val="single"/>
        </w:rPr>
        <w:t>ORDER</w:t>
      </w:r>
    </w:p>
    <w:p w14:paraId="69B51C88" w14:textId="6DC2E298" w:rsidR="002B2FC6" w:rsidRDefault="002B2FC6" w:rsidP="0021406C">
      <w:pPr>
        <w:pStyle w:val="ListParagraph"/>
        <w:numPr>
          <w:ilvl w:val="0"/>
          <w:numId w:val="5"/>
        </w:numPr>
        <w:spacing w:after="0"/>
        <w:ind w:left="0" w:firstLine="0"/>
        <w:rPr>
          <w:rFonts w:cs="Times New Roman"/>
          <w:szCs w:val="24"/>
        </w:rPr>
      </w:pPr>
      <w:r>
        <w:rPr>
          <w:rFonts w:cs="Times New Roman"/>
          <w:szCs w:val="24"/>
        </w:rPr>
        <w:t>In the result, it is ordered that</w:t>
      </w:r>
    </w:p>
    <w:p w14:paraId="10738ED7" w14:textId="77777777" w:rsidR="002B2FC6" w:rsidRDefault="002B2FC6" w:rsidP="002B2FC6">
      <w:pPr>
        <w:pStyle w:val="ListParagraph"/>
        <w:numPr>
          <w:ilvl w:val="0"/>
          <w:numId w:val="22"/>
        </w:numPr>
        <w:spacing w:after="0"/>
        <w:rPr>
          <w:rFonts w:cs="Times New Roman"/>
          <w:szCs w:val="24"/>
        </w:rPr>
      </w:pPr>
      <w:r>
        <w:rPr>
          <w:rFonts w:cs="Times New Roman"/>
          <w:szCs w:val="24"/>
        </w:rPr>
        <w:t xml:space="preserve">The plaintiff’s claim be and is hereby dismissed with costs. </w:t>
      </w:r>
    </w:p>
    <w:p w14:paraId="552B8354" w14:textId="77777777" w:rsidR="00A73CD4" w:rsidRPr="00F23943" w:rsidRDefault="00A73CD4" w:rsidP="00A73CD4">
      <w:pPr>
        <w:ind w:left="426" w:hanging="360"/>
        <w:rPr>
          <w:rFonts w:cs="Times New Roman"/>
          <w:b/>
          <w:bCs/>
          <w:szCs w:val="24"/>
          <w:u w:val="single"/>
        </w:rPr>
      </w:pPr>
    </w:p>
    <w:p w14:paraId="79722353" w14:textId="77777777" w:rsidR="002F7CF6" w:rsidRPr="00D55BA2" w:rsidRDefault="002F7CF6" w:rsidP="002F7CF6">
      <w:pPr>
        <w:spacing w:after="0"/>
        <w:rPr>
          <w:rFonts w:cs="Times New Roman"/>
          <w:szCs w:val="24"/>
        </w:rPr>
      </w:pPr>
    </w:p>
    <w:p w14:paraId="6635CDD7" w14:textId="4C66C57E" w:rsidR="00DD6E17" w:rsidRPr="00D55BA2" w:rsidRDefault="006F48ED" w:rsidP="002F7CF6">
      <w:pPr>
        <w:spacing w:after="0"/>
        <w:rPr>
          <w:rFonts w:cs="Times New Roman"/>
          <w:szCs w:val="24"/>
        </w:rPr>
      </w:pPr>
      <w:r w:rsidRPr="00D55BA2">
        <w:rPr>
          <w:rFonts w:cs="Times New Roman"/>
          <w:b/>
          <w:bCs/>
          <w:smallCaps/>
          <w:szCs w:val="24"/>
        </w:rPr>
        <w:t>Mushure</w:t>
      </w:r>
      <w:r w:rsidR="004D120C" w:rsidRPr="00D55BA2">
        <w:rPr>
          <w:rFonts w:cs="Times New Roman"/>
          <w:b/>
          <w:bCs/>
          <w:szCs w:val="24"/>
        </w:rPr>
        <w:t xml:space="preserve"> </w:t>
      </w:r>
      <w:r w:rsidR="002F7CF6" w:rsidRPr="00D55BA2">
        <w:rPr>
          <w:rFonts w:cs="Times New Roman"/>
          <w:b/>
          <w:bCs/>
          <w:szCs w:val="24"/>
        </w:rPr>
        <w:t>J</w:t>
      </w:r>
      <w:r w:rsidR="002F7CF6" w:rsidRPr="00D55BA2">
        <w:rPr>
          <w:rFonts w:cs="Times New Roman"/>
          <w:szCs w:val="24"/>
        </w:rPr>
        <w:t>:……………………………..</w:t>
      </w:r>
      <w:r w:rsidR="00DD6E17" w:rsidRPr="00D55BA2">
        <w:rPr>
          <w:rFonts w:cs="Times New Roman"/>
          <w:szCs w:val="24"/>
        </w:rPr>
        <w:t xml:space="preserve"> </w:t>
      </w:r>
    </w:p>
    <w:p w14:paraId="6E57C5A3" w14:textId="77777777" w:rsidR="006C36B3" w:rsidRPr="00D55BA2" w:rsidRDefault="006C36B3" w:rsidP="002F7CF6">
      <w:pPr>
        <w:spacing w:after="0"/>
        <w:rPr>
          <w:rFonts w:cs="Times New Roman"/>
          <w:szCs w:val="24"/>
        </w:rPr>
      </w:pPr>
    </w:p>
    <w:p w14:paraId="6BF41205" w14:textId="77777777" w:rsidR="006C36B3" w:rsidRPr="00D55BA2" w:rsidRDefault="006C36B3" w:rsidP="002F7CF6">
      <w:pPr>
        <w:spacing w:after="0"/>
        <w:rPr>
          <w:rFonts w:cs="Times New Roman"/>
          <w:szCs w:val="24"/>
        </w:rPr>
      </w:pPr>
    </w:p>
    <w:p w14:paraId="56E6881F" w14:textId="04936F21" w:rsidR="006C36B3" w:rsidRPr="00D55BA2" w:rsidRDefault="00860916" w:rsidP="006C36B3">
      <w:pPr>
        <w:spacing w:after="0" w:line="240" w:lineRule="auto"/>
        <w:rPr>
          <w:rFonts w:cs="Times New Roman"/>
          <w:szCs w:val="24"/>
        </w:rPr>
      </w:pPr>
      <w:r w:rsidRPr="00D55BA2">
        <w:rPr>
          <w:rFonts w:cs="Times New Roman"/>
          <w:i/>
          <w:iCs/>
          <w:szCs w:val="24"/>
        </w:rPr>
        <w:t>Scanlen &amp; Holderness</w:t>
      </w:r>
      <w:r w:rsidR="006C36B3" w:rsidRPr="00D55BA2">
        <w:rPr>
          <w:rFonts w:cs="Times New Roman"/>
          <w:szCs w:val="24"/>
        </w:rPr>
        <w:t xml:space="preserve">, </w:t>
      </w:r>
      <w:r w:rsidRPr="00D55BA2">
        <w:rPr>
          <w:rFonts w:cs="Times New Roman"/>
          <w:szCs w:val="24"/>
        </w:rPr>
        <w:t>plaintiff</w:t>
      </w:r>
      <w:r w:rsidR="006C36B3" w:rsidRPr="00D55BA2">
        <w:rPr>
          <w:rFonts w:cs="Times New Roman"/>
          <w:szCs w:val="24"/>
        </w:rPr>
        <w:t>’s legal practitioners</w:t>
      </w:r>
    </w:p>
    <w:p w14:paraId="3C2D36D1" w14:textId="14A23948" w:rsidR="006C36B3" w:rsidRPr="00D55BA2" w:rsidRDefault="00860916" w:rsidP="006C36B3">
      <w:pPr>
        <w:spacing w:after="0" w:line="240" w:lineRule="auto"/>
        <w:rPr>
          <w:rFonts w:cs="Times New Roman"/>
          <w:szCs w:val="24"/>
        </w:rPr>
      </w:pPr>
      <w:r w:rsidRPr="00D55BA2">
        <w:rPr>
          <w:rFonts w:cs="Times New Roman"/>
          <w:i/>
          <w:iCs/>
          <w:szCs w:val="24"/>
        </w:rPr>
        <w:t>Webb, Low &amp; Barry</w:t>
      </w:r>
      <w:r w:rsidR="006C36B3" w:rsidRPr="00D55BA2">
        <w:rPr>
          <w:rFonts w:cs="Times New Roman"/>
          <w:szCs w:val="24"/>
        </w:rPr>
        <w:t xml:space="preserve"> </w:t>
      </w:r>
      <w:r w:rsidRPr="00D55BA2">
        <w:rPr>
          <w:rFonts w:cs="Times New Roman"/>
          <w:szCs w:val="24"/>
        </w:rPr>
        <w:t>defendant’s legal practitioners</w:t>
      </w:r>
    </w:p>
    <w:p w14:paraId="354A8338" w14:textId="77777777" w:rsidR="0050061B" w:rsidRPr="00221185" w:rsidRDefault="0050061B">
      <w:pPr>
        <w:rPr>
          <w:lang w:val="en-ZW"/>
        </w:rPr>
      </w:pPr>
    </w:p>
    <w:sectPr w:rsidR="0050061B" w:rsidRPr="00221185">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D05F7E7" w14:textId="77777777" w:rsidR="00B94144" w:rsidRPr="00D55BA2" w:rsidRDefault="00B94144" w:rsidP="0050061B">
      <w:pPr>
        <w:spacing w:after="0" w:line="240" w:lineRule="auto"/>
      </w:pPr>
      <w:r w:rsidRPr="00D55BA2">
        <w:separator/>
      </w:r>
    </w:p>
  </w:endnote>
  <w:endnote w:type="continuationSeparator" w:id="0">
    <w:p w14:paraId="6A56BC21" w14:textId="77777777" w:rsidR="00B94144" w:rsidRPr="00D55BA2" w:rsidRDefault="00B94144" w:rsidP="0050061B">
      <w:pPr>
        <w:spacing w:after="0" w:line="240" w:lineRule="auto"/>
      </w:pPr>
      <w:r w:rsidRPr="00D55BA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5321AC" w14:textId="77777777" w:rsidR="00B94144" w:rsidRPr="00D55BA2" w:rsidRDefault="00B94144" w:rsidP="0050061B">
      <w:pPr>
        <w:spacing w:after="0" w:line="240" w:lineRule="auto"/>
      </w:pPr>
      <w:r w:rsidRPr="00D55BA2">
        <w:separator/>
      </w:r>
    </w:p>
  </w:footnote>
  <w:footnote w:type="continuationSeparator" w:id="0">
    <w:p w14:paraId="46847B65" w14:textId="77777777" w:rsidR="00B94144" w:rsidRPr="00D55BA2" w:rsidRDefault="00B94144" w:rsidP="0050061B">
      <w:pPr>
        <w:spacing w:after="0" w:line="240" w:lineRule="auto"/>
      </w:pPr>
      <w:r w:rsidRPr="00D55BA2">
        <w:continuationSeparator/>
      </w:r>
    </w:p>
  </w:footnote>
  <w:footnote w:id="1">
    <w:p w14:paraId="5474C995" w14:textId="7F85C415" w:rsidR="008F5392" w:rsidRPr="00122917" w:rsidRDefault="008F5392" w:rsidP="00F31108">
      <w:pPr>
        <w:pStyle w:val="FootnoteText"/>
        <w:rPr>
          <w:lang w:val="en-ZW"/>
        </w:rPr>
      </w:pPr>
      <w:r>
        <w:rPr>
          <w:rStyle w:val="FootnoteReference"/>
        </w:rPr>
        <w:footnoteRef/>
      </w:r>
      <w:r>
        <w:t xml:space="preserve"> </w:t>
      </w:r>
      <w:r w:rsidR="00F31108" w:rsidRPr="00F31108">
        <w:rPr>
          <w:i/>
          <w:iCs/>
          <w:lang w:val="en-GB"/>
        </w:rPr>
        <w:t>The Companies Act 2001</w:t>
      </w:r>
      <w:r w:rsidR="00F31108" w:rsidRPr="00F31108">
        <w:rPr>
          <w:lang w:val="en-GB"/>
        </w:rPr>
        <w:t xml:space="preserve"> (Mauritius), </w:t>
      </w:r>
      <w:r w:rsidR="00F31108" w:rsidRPr="007226BD">
        <w:rPr>
          <w:lang w:val="en-GB"/>
        </w:rPr>
        <w:t>Act No. 15 of 2001</w:t>
      </w:r>
      <w:r w:rsidR="00F31108">
        <w:rPr>
          <w:lang w:val="en-GB"/>
        </w:rPr>
        <w:t>.</w:t>
      </w:r>
      <w:r w:rsidR="00F31108" w:rsidRPr="00F31108">
        <w:rPr>
          <w:lang w:val="en-GB"/>
        </w:rPr>
        <w:t xml:space="preserve"> </w:t>
      </w:r>
      <w:r w:rsidR="00F31108">
        <w:rPr>
          <w:lang w:val="en-GB"/>
        </w:rPr>
        <w:t>A</w:t>
      </w:r>
      <w:r w:rsidR="00F31108" w:rsidRPr="00F31108">
        <w:rPr>
          <w:lang w:val="en-GB"/>
        </w:rPr>
        <w:t>vailable at</w:t>
      </w:r>
      <w:r w:rsidR="00F31108">
        <w:rPr>
          <w:lang w:val="en-GB"/>
        </w:rPr>
        <w:t>:</w:t>
      </w:r>
      <w:r w:rsidR="00F31108" w:rsidRPr="00F31108">
        <w:rPr>
          <w:lang w:val="en-GB"/>
        </w:rPr>
        <w:t xml:space="preserve"> </w:t>
      </w:r>
      <w:hyperlink r:id="rId1" w:history="1">
        <w:r w:rsidR="00F31108" w:rsidRPr="00AB6869">
          <w:rPr>
            <w:rStyle w:val="Hyperlink"/>
            <w:lang w:val="en-GB"/>
          </w:rPr>
          <w:t>https://companies.govmu.org/cbrd/wp-content/uploads/2025/11/Companies-Act-200101-09-25.pdf</w:t>
        </w:r>
      </w:hyperlink>
      <w:r w:rsidR="00F31108">
        <w:rPr>
          <w:lang w:val="en-GB"/>
        </w:rPr>
        <w:t>. A</w:t>
      </w:r>
      <w:r w:rsidR="00F31108" w:rsidRPr="00F31108">
        <w:rPr>
          <w:lang w:val="en-GB"/>
        </w:rPr>
        <w:t>ccessed 17 February 2026</w:t>
      </w:r>
      <w:r w:rsidR="00F31108">
        <w:rPr>
          <w:lang w:val="en-GB"/>
        </w:rPr>
        <w:t>.</w:t>
      </w:r>
    </w:p>
  </w:footnote>
  <w:footnote w:id="2">
    <w:p w14:paraId="7636F69D" w14:textId="3CBE9905" w:rsidR="00A07615" w:rsidRPr="00A07615" w:rsidRDefault="00A07615">
      <w:pPr>
        <w:pStyle w:val="FootnoteText"/>
        <w:rPr>
          <w:lang w:val="en-ZW"/>
        </w:rPr>
      </w:pPr>
      <w:r>
        <w:rPr>
          <w:rStyle w:val="FootnoteReference"/>
        </w:rPr>
        <w:footnoteRef/>
      </w:r>
      <w:r>
        <w:t xml:space="preserve"> </w:t>
      </w:r>
      <w:r w:rsidR="00A95459" w:rsidRPr="00A95459">
        <w:rPr>
          <w:lang w:val="en-GB"/>
        </w:rPr>
        <w:t xml:space="preserve">See s 26 of the </w:t>
      </w:r>
      <w:r w:rsidR="00A95459" w:rsidRPr="00A95459">
        <w:rPr>
          <w:i/>
          <w:iCs/>
          <w:lang w:val="en-GB"/>
        </w:rPr>
        <w:t>Companies Act 2001</w:t>
      </w:r>
      <w:r w:rsidR="00A95459" w:rsidRPr="00A95459">
        <w:rPr>
          <w:lang w:val="en-GB"/>
        </w:rPr>
        <w:t xml:space="preserve"> (Mauritius) (Act No. 15 of 2001)</w:t>
      </w:r>
      <w:r w:rsidR="00A95459">
        <w:rPr>
          <w:lang w:val="en-GB"/>
        </w:rPr>
        <w:t>.</w:t>
      </w:r>
      <w:r>
        <w:rPr>
          <w:lang w:val="en-ZW"/>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8475316"/>
      <w:docPartObj>
        <w:docPartGallery w:val="Page Numbers (Top of Page)"/>
        <w:docPartUnique/>
      </w:docPartObj>
    </w:sdtPr>
    <w:sdtEndPr/>
    <w:sdtContent>
      <w:p w14:paraId="23AFBDC0" w14:textId="222FF7E4" w:rsidR="0050061B" w:rsidRPr="00D55BA2" w:rsidRDefault="0050061B">
        <w:pPr>
          <w:pStyle w:val="Header"/>
          <w:jc w:val="right"/>
        </w:pPr>
        <w:r w:rsidRPr="00D55BA2">
          <w:fldChar w:fldCharType="begin"/>
        </w:r>
        <w:r w:rsidRPr="00D55BA2">
          <w:instrText xml:space="preserve"> PAGE   \* MERGEFORMAT </w:instrText>
        </w:r>
        <w:r w:rsidRPr="00D55BA2">
          <w:fldChar w:fldCharType="separate"/>
        </w:r>
        <w:r w:rsidR="00600314">
          <w:rPr>
            <w:noProof/>
          </w:rPr>
          <w:t>1</w:t>
        </w:r>
        <w:r w:rsidRPr="00D55BA2">
          <w:fldChar w:fldCharType="end"/>
        </w:r>
      </w:p>
      <w:p w14:paraId="13FB4644" w14:textId="5828053D" w:rsidR="0050061B" w:rsidRPr="00D55BA2" w:rsidRDefault="0050061B">
        <w:pPr>
          <w:pStyle w:val="Header"/>
          <w:jc w:val="right"/>
        </w:pPr>
        <w:r w:rsidRPr="00D55BA2">
          <w:t>HH</w:t>
        </w:r>
        <w:r w:rsidR="007226BD">
          <w:t xml:space="preserve"> 199</w:t>
        </w:r>
        <w:r w:rsidR="008C31E5" w:rsidRPr="00D55BA2">
          <w:t>/2</w:t>
        </w:r>
        <w:r w:rsidR="005A4B57">
          <w:t>6</w:t>
        </w:r>
        <w:r w:rsidR="00C67540" w:rsidRPr="00D55BA2">
          <w:t xml:space="preserve"> </w:t>
        </w:r>
      </w:p>
      <w:p w14:paraId="1C56E07F" w14:textId="6283CC85" w:rsidR="0050061B" w:rsidRPr="00D55BA2" w:rsidRDefault="0050061B">
        <w:pPr>
          <w:pStyle w:val="Header"/>
          <w:jc w:val="right"/>
        </w:pPr>
        <w:r w:rsidRPr="00D55BA2">
          <w:t>HCH</w:t>
        </w:r>
        <w:r w:rsidR="00F347E7" w:rsidRPr="00D55BA2">
          <w:t>C 151/25</w:t>
        </w:r>
      </w:p>
    </w:sdtContent>
  </w:sdt>
  <w:p w14:paraId="45CCDEA2" w14:textId="77777777" w:rsidR="0050061B" w:rsidRPr="00D55BA2" w:rsidRDefault="0050061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A0759"/>
    <w:multiLevelType w:val="hybridMultilevel"/>
    <w:tmpl w:val="41A4826C"/>
    <w:lvl w:ilvl="0" w:tplc="D2B03CC2">
      <w:start w:val="11"/>
      <w:numFmt w:val="decimal"/>
      <w:lvlText w:val="%1."/>
      <w:lvlJc w:val="left"/>
      <w:pPr>
        <w:ind w:left="1806" w:hanging="360"/>
      </w:pPr>
      <w:rPr>
        <w:rFonts w:hint="default"/>
      </w:rPr>
    </w:lvl>
    <w:lvl w:ilvl="1" w:tplc="30090019" w:tentative="1">
      <w:start w:val="1"/>
      <w:numFmt w:val="lowerLetter"/>
      <w:lvlText w:val="%2."/>
      <w:lvlJc w:val="left"/>
      <w:pPr>
        <w:ind w:left="2526" w:hanging="360"/>
      </w:pPr>
    </w:lvl>
    <w:lvl w:ilvl="2" w:tplc="3009001B" w:tentative="1">
      <w:start w:val="1"/>
      <w:numFmt w:val="lowerRoman"/>
      <w:lvlText w:val="%3."/>
      <w:lvlJc w:val="right"/>
      <w:pPr>
        <w:ind w:left="3246" w:hanging="180"/>
      </w:pPr>
    </w:lvl>
    <w:lvl w:ilvl="3" w:tplc="3009000F" w:tentative="1">
      <w:start w:val="1"/>
      <w:numFmt w:val="decimal"/>
      <w:lvlText w:val="%4."/>
      <w:lvlJc w:val="left"/>
      <w:pPr>
        <w:ind w:left="3966" w:hanging="360"/>
      </w:pPr>
    </w:lvl>
    <w:lvl w:ilvl="4" w:tplc="30090019" w:tentative="1">
      <w:start w:val="1"/>
      <w:numFmt w:val="lowerLetter"/>
      <w:lvlText w:val="%5."/>
      <w:lvlJc w:val="left"/>
      <w:pPr>
        <w:ind w:left="4686" w:hanging="360"/>
      </w:pPr>
    </w:lvl>
    <w:lvl w:ilvl="5" w:tplc="3009001B" w:tentative="1">
      <w:start w:val="1"/>
      <w:numFmt w:val="lowerRoman"/>
      <w:lvlText w:val="%6."/>
      <w:lvlJc w:val="right"/>
      <w:pPr>
        <w:ind w:left="5406" w:hanging="180"/>
      </w:pPr>
    </w:lvl>
    <w:lvl w:ilvl="6" w:tplc="3009000F" w:tentative="1">
      <w:start w:val="1"/>
      <w:numFmt w:val="decimal"/>
      <w:lvlText w:val="%7."/>
      <w:lvlJc w:val="left"/>
      <w:pPr>
        <w:ind w:left="6126" w:hanging="360"/>
      </w:pPr>
    </w:lvl>
    <w:lvl w:ilvl="7" w:tplc="30090019" w:tentative="1">
      <w:start w:val="1"/>
      <w:numFmt w:val="lowerLetter"/>
      <w:lvlText w:val="%8."/>
      <w:lvlJc w:val="left"/>
      <w:pPr>
        <w:ind w:left="6846" w:hanging="360"/>
      </w:pPr>
    </w:lvl>
    <w:lvl w:ilvl="8" w:tplc="3009001B" w:tentative="1">
      <w:start w:val="1"/>
      <w:numFmt w:val="lowerRoman"/>
      <w:lvlText w:val="%9."/>
      <w:lvlJc w:val="right"/>
      <w:pPr>
        <w:ind w:left="7566" w:hanging="180"/>
      </w:pPr>
    </w:lvl>
  </w:abstractNum>
  <w:abstractNum w:abstractNumId="1">
    <w:nsid w:val="0A2F5B09"/>
    <w:multiLevelType w:val="hybridMultilevel"/>
    <w:tmpl w:val="5F98C8B2"/>
    <w:lvl w:ilvl="0" w:tplc="B5B0A890">
      <w:start w:val="5"/>
      <w:numFmt w:val="decimal"/>
      <w:lvlText w:val="%1."/>
      <w:lvlJc w:val="left"/>
      <w:pPr>
        <w:ind w:left="1070" w:hanging="360"/>
      </w:pPr>
      <w:rPr>
        <w:rFonts w:hint="default"/>
      </w:rPr>
    </w:lvl>
    <w:lvl w:ilvl="1" w:tplc="30090019">
      <w:start w:val="1"/>
      <w:numFmt w:val="lowerLetter"/>
      <w:lvlText w:val="%2."/>
      <w:lvlJc w:val="left"/>
      <w:pPr>
        <w:ind w:left="1790" w:hanging="360"/>
      </w:pPr>
    </w:lvl>
    <w:lvl w:ilvl="2" w:tplc="3009001B" w:tentative="1">
      <w:start w:val="1"/>
      <w:numFmt w:val="lowerRoman"/>
      <w:lvlText w:val="%3."/>
      <w:lvlJc w:val="right"/>
      <w:pPr>
        <w:ind w:left="2510" w:hanging="180"/>
      </w:pPr>
    </w:lvl>
    <w:lvl w:ilvl="3" w:tplc="3009000F" w:tentative="1">
      <w:start w:val="1"/>
      <w:numFmt w:val="decimal"/>
      <w:lvlText w:val="%4."/>
      <w:lvlJc w:val="left"/>
      <w:pPr>
        <w:ind w:left="3230" w:hanging="360"/>
      </w:pPr>
    </w:lvl>
    <w:lvl w:ilvl="4" w:tplc="30090019" w:tentative="1">
      <w:start w:val="1"/>
      <w:numFmt w:val="lowerLetter"/>
      <w:lvlText w:val="%5."/>
      <w:lvlJc w:val="left"/>
      <w:pPr>
        <w:ind w:left="3950" w:hanging="360"/>
      </w:pPr>
    </w:lvl>
    <w:lvl w:ilvl="5" w:tplc="3009001B" w:tentative="1">
      <w:start w:val="1"/>
      <w:numFmt w:val="lowerRoman"/>
      <w:lvlText w:val="%6."/>
      <w:lvlJc w:val="right"/>
      <w:pPr>
        <w:ind w:left="4670" w:hanging="180"/>
      </w:pPr>
    </w:lvl>
    <w:lvl w:ilvl="6" w:tplc="3009000F" w:tentative="1">
      <w:start w:val="1"/>
      <w:numFmt w:val="decimal"/>
      <w:lvlText w:val="%7."/>
      <w:lvlJc w:val="left"/>
      <w:pPr>
        <w:ind w:left="5390" w:hanging="360"/>
      </w:pPr>
    </w:lvl>
    <w:lvl w:ilvl="7" w:tplc="30090019" w:tentative="1">
      <w:start w:val="1"/>
      <w:numFmt w:val="lowerLetter"/>
      <w:lvlText w:val="%8."/>
      <w:lvlJc w:val="left"/>
      <w:pPr>
        <w:ind w:left="6110" w:hanging="360"/>
      </w:pPr>
    </w:lvl>
    <w:lvl w:ilvl="8" w:tplc="3009001B" w:tentative="1">
      <w:start w:val="1"/>
      <w:numFmt w:val="lowerRoman"/>
      <w:lvlText w:val="%9."/>
      <w:lvlJc w:val="right"/>
      <w:pPr>
        <w:ind w:left="6830" w:hanging="180"/>
      </w:pPr>
    </w:lvl>
  </w:abstractNum>
  <w:abstractNum w:abstractNumId="2">
    <w:nsid w:val="0D727178"/>
    <w:multiLevelType w:val="multilevel"/>
    <w:tmpl w:val="0D727178"/>
    <w:lvl w:ilvl="0">
      <w:start w:val="1"/>
      <w:numFmt w:val="decimal"/>
      <w:lvlText w:val="[%1]"/>
      <w:lvlJc w:val="left"/>
      <w:pPr>
        <w:ind w:left="907" w:hanging="907"/>
      </w:pPr>
      <w:rPr>
        <w:rFonts w:hint="default"/>
        <w:b w:val="0"/>
        <w:i w:val="0"/>
        <w:color w:val="auto"/>
      </w:rPr>
    </w:lvl>
    <w:lvl w:ilvl="1">
      <w:start w:val="1"/>
      <w:numFmt w:val="lowerRoman"/>
      <w:lvlText w:val="%2."/>
      <w:lvlJc w:val="left"/>
      <w:pPr>
        <w:ind w:left="1091" w:hanging="720"/>
      </w:pPr>
      <w:rPr>
        <w:rFonts w:hint="default"/>
        <w:b w:val="0"/>
      </w:rPr>
    </w:lvl>
    <w:lvl w:ilvl="2">
      <w:start w:val="1"/>
      <w:numFmt w:val="lowerRoman"/>
      <w:lvlText w:val="%3."/>
      <w:lvlJc w:val="right"/>
      <w:pPr>
        <w:ind w:left="1451" w:hanging="180"/>
      </w:pPr>
    </w:lvl>
    <w:lvl w:ilvl="3">
      <w:start w:val="1"/>
      <w:numFmt w:val="decimal"/>
      <w:lvlText w:val="%4."/>
      <w:lvlJc w:val="left"/>
      <w:pPr>
        <w:ind w:left="2171" w:hanging="360"/>
      </w:pPr>
    </w:lvl>
    <w:lvl w:ilvl="4">
      <w:start w:val="1"/>
      <w:numFmt w:val="lowerLetter"/>
      <w:lvlText w:val="%5."/>
      <w:lvlJc w:val="left"/>
      <w:pPr>
        <w:ind w:left="2891" w:hanging="360"/>
      </w:pPr>
    </w:lvl>
    <w:lvl w:ilvl="5">
      <w:start w:val="1"/>
      <w:numFmt w:val="lowerRoman"/>
      <w:lvlText w:val="%6."/>
      <w:lvlJc w:val="right"/>
      <w:pPr>
        <w:ind w:left="3611" w:hanging="180"/>
      </w:pPr>
    </w:lvl>
    <w:lvl w:ilvl="6">
      <w:start w:val="1"/>
      <w:numFmt w:val="decimal"/>
      <w:lvlText w:val="%7."/>
      <w:lvlJc w:val="left"/>
      <w:pPr>
        <w:ind w:left="4331" w:hanging="360"/>
      </w:pPr>
    </w:lvl>
    <w:lvl w:ilvl="7">
      <w:start w:val="1"/>
      <w:numFmt w:val="lowerLetter"/>
      <w:lvlText w:val="%8."/>
      <w:lvlJc w:val="left"/>
      <w:pPr>
        <w:ind w:left="5051" w:hanging="360"/>
      </w:pPr>
    </w:lvl>
    <w:lvl w:ilvl="8">
      <w:start w:val="1"/>
      <w:numFmt w:val="lowerRoman"/>
      <w:lvlText w:val="%9."/>
      <w:lvlJc w:val="right"/>
      <w:pPr>
        <w:ind w:left="5771" w:hanging="180"/>
      </w:pPr>
    </w:lvl>
  </w:abstractNum>
  <w:abstractNum w:abstractNumId="3">
    <w:nsid w:val="17A12024"/>
    <w:multiLevelType w:val="hybridMultilevel"/>
    <w:tmpl w:val="DA7A12AC"/>
    <w:lvl w:ilvl="0" w:tplc="83E088E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1957444C"/>
    <w:multiLevelType w:val="multilevel"/>
    <w:tmpl w:val="BCEC421A"/>
    <w:lvl w:ilvl="0">
      <w:start w:val="11"/>
      <w:numFmt w:val="decimal"/>
      <w:lvlText w:val="%1."/>
      <w:lvlJc w:val="left"/>
      <w:pPr>
        <w:ind w:left="444" w:hanging="444"/>
      </w:pPr>
      <w:rPr>
        <w:rFonts w:hint="default"/>
      </w:rPr>
    </w:lvl>
    <w:lvl w:ilvl="1">
      <w:start w:val="1"/>
      <w:numFmt w:val="decimal"/>
      <w:lvlText w:val="%1.%2."/>
      <w:lvlJc w:val="left"/>
      <w:pPr>
        <w:ind w:left="2250" w:hanging="444"/>
      </w:pPr>
      <w:rPr>
        <w:rFonts w:hint="default"/>
      </w:rPr>
    </w:lvl>
    <w:lvl w:ilvl="2">
      <w:start w:val="1"/>
      <w:numFmt w:val="decimal"/>
      <w:lvlText w:val="%1.%2.%3."/>
      <w:lvlJc w:val="left"/>
      <w:pPr>
        <w:ind w:left="4332" w:hanging="720"/>
      </w:pPr>
      <w:rPr>
        <w:rFonts w:hint="default"/>
      </w:rPr>
    </w:lvl>
    <w:lvl w:ilvl="3">
      <w:start w:val="1"/>
      <w:numFmt w:val="decimal"/>
      <w:lvlText w:val="%1.%2.%3.%4."/>
      <w:lvlJc w:val="left"/>
      <w:pPr>
        <w:ind w:left="6138" w:hanging="720"/>
      </w:pPr>
      <w:rPr>
        <w:rFonts w:hint="default"/>
      </w:rPr>
    </w:lvl>
    <w:lvl w:ilvl="4">
      <w:start w:val="1"/>
      <w:numFmt w:val="decimal"/>
      <w:lvlText w:val="%1.%2.%3.%4.%5."/>
      <w:lvlJc w:val="left"/>
      <w:pPr>
        <w:ind w:left="8304" w:hanging="1080"/>
      </w:pPr>
      <w:rPr>
        <w:rFonts w:hint="default"/>
      </w:rPr>
    </w:lvl>
    <w:lvl w:ilvl="5">
      <w:start w:val="1"/>
      <w:numFmt w:val="decimal"/>
      <w:lvlText w:val="%1.%2.%3.%4.%5.%6."/>
      <w:lvlJc w:val="left"/>
      <w:pPr>
        <w:ind w:left="10110" w:hanging="1080"/>
      </w:pPr>
      <w:rPr>
        <w:rFonts w:hint="default"/>
      </w:rPr>
    </w:lvl>
    <w:lvl w:ilvl="6">
      <w:start w:val="1"/>
      <w:numFmt w:val="decimal"/>
      <w:lvlText w:val="%1.%2.%3.%4.%5.%6.%7."/>
      <w:lvlJc w:val="left"/>
      <w:pPr>
        <w:ind w:left="12276" w:hanging="1440"/>
      </w:pPr>
      <w:rPr>
        <w:rFonts w:hint="default"/>
      </w:rPr>
    </w:lvl>
    <w:lvl w:ilvl="7">
      <w:start w:val="1"/>
      <w:numFmt w:val="decimal"/>
      <w:lvlText w:val="%1.%2.%3.%4.%5.%6.%7.%8."/>
      <w:lvlJc w:val="left"/>
      <w:pPr>
        <w:ind w:left="14082" w:hanging="1440"/>
      </w:pPr>
      <w:rPr>
        <w:rFonts w:hint="default"/>
      </w:rPr>
    </w:lvl>
    <w:lvl w:ilvl="8">
      <w:start w:val="1"/>
      <w:numFmt w:val="decimal"/>
      <w:lvlText w:val="%1.%2.%3.%4.%5.%6.%7.%8.%9."/>
      <w:lvlJc w:val="left"/>
      <w:pPr>
        <w:ind w:left="16248" w:hanging="1800"/>
      </w:pPr>
      <w:rPr>
        <w:rFonts w:hint="default"/>
      </w:rPr>
    </w:lvl>
  </w:abstractNum>
  <w:abstractNum w:abstractNumId="5">
    <w:nsid w:val="1BAC509F"/>
    <w:multiLevelType w:val="hybridMultilevel"/>
    <w:tmpl w:val="7424F64A"/>
    <w:lvl w:ilvl="0" w:tplc="3009000F">
      <w:start w:val="5"/>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6">
    <w:nsid w:val="21F74971"/>
    <w:multiLevelType w:val="hybridMultilevel"/>
    <w:tmpl w:val="BB16C0D2"/>
    <w:lvl w:ilvl="0" w:tplc="DED883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27FC1DE5"/>
    <w:multiLevelType w:val="hybridMultilevel"/>
    <w:tmpl w:val="6120649C"/>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8">
    <w:nsid w:val="2ACC0473"/>
    <w:multiLevelType w:val="multilevel"/>
    <w:tmpl w:val="A61ACEAE"/>
    <w:lvl w:ilvl="0">
      <w:start w:val="11"/>
      <w:numFmt w:val="decimal"/>
      <w:lvlText w:val="%1"/>
      <w:lvlJc w:val="left"/>
      <w:pPr>
        <w:ind w:left="384" w:hanging="384"/>
      </w:pPr>
      <w:rPr>
        <w:rFonts w:hint="default"/>
      </w:rPr>
    </w:lvl>
    <w:lvl w:ilvl="1">
      <w:start w:val="1"/>
      <w:numFmt w:val="decimal"/>
      <w:lvlText w:val="%1.%2"/>
      <w:lvlJc w:val="left"/>
      <w:pPr>
        <w:ind w:left="2634" w:hanging="384"/>
      </w:pPr>
      <w:rPr>
        <w:rFonts w:hint="default"/>
      </w:rPr>
    </w:lvl>
    <w:lvl w:ilvl="2">
      <w:start w:val="1"/>
      <w:numFmt w:val="decimal"/>
      <w:lvlText w:val="%1.%2.%3"/>
      <w:lvlJc w:val="left"/>
      <w:pPr>
        <w:ind w:left="5220" w:hanging="720"/>
      </w:pPr>
      <w:rPr>
        <w:rFonts w:hint="default"/>
      </w:rPr>
    </w:lvl>
    <w:lvl w:ilvl="3">
      <w:start w:val="1"/>
      <w:numFmt w:val="decimal"/>
      <w:lvlText w:val="%1.%2.%3.%4"/>
      <w:lvlJc w:val="left"/>
      <w:pPr>
        <w:ind w:left="7470" w:hanging="720"/>
      </w:pPr>
      <w:rPr>
        <w:rFonts w:hint="default"/>
      </w:rPr>
    </w:lvl>
    <w:lvl w:ilvl="4">
      <w:start w:val="1"/>
      <w:numFmt w:val="decimal"/>
      <w:lvlText w:val="%1.%2.%3.%4.%5"/>
      <w:lvlJc w:val="left"/>
      <w:pPr>
        <w:ind w:left="10080" w:hanging="1080"/>
      </w:pPr>
      <w:rPr>
        <w:rFonts w:hint="default"/>
      </w:rPr>
    </w:lvl>
    <w:lvl w:ilvl="5">
      <w:start w:val="1"/>
      <w:numFmt w:val="decimal"/>
      <w:lvlText w:val="%1.%2.%3.%4.%5.%6"/>
      <w:lvlJc w:val="left"/>
      <w:pPr>
        <w:ind w:left="12330" w:hanging="1080"/>
      </w:pPr>
      <w:rPr>
        <w:rFonts w:hint="default"/>
      </w:rPr>
    </w:lvl>
    <w:lvl w:ilvl="6">
      <w:start w:val="1"/>
      <w:numFmt w:val="decimal"/>
      <w:lvlText w:val="%1.%2.%3.%4.%5.%6.%7"/>
      <w:lvlJc w:val="left"/>
      <w:pPr>
        <w:ind w:left="14940" w:hanging="1440"/>
      </w:pPr>
      <w:rPr>
        <w:rFonts w:hint="default"/>
      </w:rPr>
    </w:lvl>
    <w:lvl w:ilvl="7">
      <w:start w:val="1"/>
      <w:numFmt w:val="decimal"/>
      <w:lvlText w:val="%1.%2.%3.%4.%5.%6.%7.%8"/>
      <w:lvlJc w:val="left"/>
      <w:pPr>
        <w:ind w:left="17190" w:hanging="1440"/>
      </w:pPr>
      <w:rPr>
        <w:rFonts w:hint="default"/>
      </w:rPr>
    </w:lvl>
    <w:lvl w:ilvl="8">
      <w:start w:val="1"/>
      <w:numFmt w:val="decimal"/>
      <w:lvlText w:val="%1.%2.%3.%4.%5.%6.%7.%8.%9"/>
      <w:lvlJc w:val="left"/>
      <w:pPr>
        <w:ind w:left="19440" w:hanging="1440"/>
      </w:pPr>
      <w:rPr>
        <w:rFonts w:hint="default"/>
      </w:rPr>
    </w:lvl>
  </w:abstractNum>
  <w:abstractNum w:abstractNumId="9">
    <w:nsid w:val="2B337113"/>
    <w:multiLevelType w:val="multilevel"/>
    <w:tmpl w:val="5D420722"/>
    <w:lvl w:ilvl="0">
      <w:start w:val="10"/>
      <w:numFmt w:val="decimal"/>
      <w:lvlText w:val="%1"/>
      <w:lvlJc w:val="left"/>
      <w:pPr>
        <w:ind w:left="384" w:hanging="384"/>
      </w:pPr>
      <w:rPr>
        <w:rFonts w:hint="default"/>
      </w:rPr>
    </w:lvl>
    <w:lvl w:ilvl="1">
      <w:start w:val="1"/>
      <w:numFmt w:val="decimal"/>
      <w:lvlText w:val="%1.%2"/>
      <w:lvlJc w:val="left"/>
      <w:pPr>
        <w:ind w:left="2544" w:hanging="384"/>
      </w:pPr>
      <w:rPr>
        <w:rFonts w:hint="default"/>
      </w:rPr>
    </w:lvl>
    <w:lvl w:ilvl="2">
      <w:start w:val="1"/>
      <w:numFmt w:val="decimal"/>
      <w:lvlText w:val="%1.%2.%3"/>
      <w:lvlJc w:val="left"/>
      <w:pPr>
        <w:ind w:left="5040" w:hanging="720"/>
      </w:pPr>
      <w:rPr>
        <w:rFonts w:hint="default"/>
      </w:rPr>
    </w:lvl>
    <w:lvl w:ilvl="3">
      <w:start w:val="1"/>
      <w:numFmt w:val="decimal"/>
      <w:lvlText w:val="%1.%2.%3.%4"/>
      <w:lvlJc w:val="left"/>
      <w:pPr>
        <w:ind w:left="7200" w:hanging="72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1880" w:hanging="1080"/>
      </w:pPr>
      <w:rPr>
        <w:rFonts w:hint="default"/>
      </w:rPr>
    </w:lvl>
    <w:lvl w:ilvl="6">
      <w:start w:val="1"/>
      <w:numFmt w:val="decimal"/>
      <w:lvlText w:val="%1.%2.%3.%4.%5.%6.%7"/>
      <w:lvlJc w:val="left"/>
      <w:pPr>
        <w:ind w:left="14400" w:hanging="1440"/>
      </w:pPr>
      <w:rPr>
        <w:rFonts w:hint="default"/>
      </w:rPr>
    </w:lvl>
    <w:lvl w:ilvl="7">
      <w:start w:val="1"/>
      <w:numFmt w:val="decimal"/>
      <w:lvlText w:val="%1.%2.%3.%4.%5.%6.%7.%8"/>
      <w:lvlJc w:val="left"/>
      <w:pPr>
        <w:ind w:left="16560" w:hanging="1440"/>
      </w:pPr>
      <w:rPr>
        <w:rFonts w:hint="default"/>
      </w:rPr>
    </w:lvl>
    <w:lvl w:ilvl="8">
      <w:start w:val="1"/>
      <w:numFmt w:val="decimal"/>
      <w:lvlText w:val="%1.%2.%3.%4.%5.%6.%7.%8.%9"/>
      <w:lvlJc w:val="left"/>
      <w:pPr>
        <w:ind w:left="18720" w:hanging="1440"/>
      </w:pPr>
      <w:rPr>
        <w:rFonts w:hint="default"/>
      </w:rPr>
    </w:lvl>
  </w:abstractNum>
  <w:abstractNum w:abstractNumId="10">
    <w:nsid w:val="2FDD7F07"/>
    <w:multiLevelType w:val="hybridMultilevel"/>
    <w:tmpl w:val="FF946518"/>
    <w:lvl w:ilvl="0" w:tplc="3D5ECFD6">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1">
    <w:nsid w:val="30E50305"/>
    <w:multiLevelType w:val="hybridMultilevel"/>
    <w:tmpl w:val="EC3C605E"/>
    <w:lvl w:ilvl="0" w:tplc="22A68BF2">
      <w:start w:val="1"/>
      <w:numFmt w:val="decimal"/>
      <w:lvlText w:val="[%1]"/>
      <w:lvlJc w:val="left"/>
      <w:pPr>
        <w:ind w:left="1440" w:hanging="360"/>
      </w:pPr>
      <w:rPr>
        <w:rFonts w:hint="default"/>
        <w:b w:val="0"/>
        <w:bCs w:val="0"/>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2">
    <w:nsid w:val="32594169"/>
    <w:multiLevelType w:val="hybridMultilevel"/>
    <w:tmpl w:val="49D03CB6"/>
    <w:lvl w:ilvl="0" w:tplc="2A04640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33F56E9A"/>
    <w:multiLevelType w:val="hybridMultilevel"/>
    <w:tmpl w:val="27C05EA4"/>
    <w:lvl w:ilvl="0" w:tplc="5F1654FE">
      <w:start w:val="1"/>
      <w:numFmt w:val="decimal"/>
      <w:lvlText w:val="[%1]"/>
      <w:lvlJc w:val="left"/>
      <w:pPr>
        <w:ind w:left="360" w:hanging="360"/>
      </w:pPr>
      <w:rPr>
        <w:rFonts w:hint="default"/>
      </w:rPr>
    </w:lvl>
    <w:lvl w:ilvl="1" w:tplc="90405B08">
      <w:start w:val="1"/>
      <w:numFmt w:val="lowerLetter"/>
      <w:lvlText w:val="(%2)"/>
      <w:lvlJc w:val="left"/>
      <w:pPr>
        <w:ind w:left="1080" w:hanging="360"/>
      </w:pPr>
      <w:rPr>
        <w:rFonts w:hint="default"/>
      </w:rPr>
    </w:lvl>
    <w:lvl w:ilvl="2" w:tplc="3009001B" w:tentative="1">
      <w:start w:val="1"/>
      <w:numFmt w:val="lowerRoman"/>
      <w:lvlText w:val="%3."/>
      <w:lvlJc w:val="right"/>
      <w:pPr>
        <w:ind w:left="1800" w:hanging="180"/>
      </w:pPr>
    </w:lvl>
    <w:lvl w:ilvl="3" w:tplc="3009000F" w:tentative="1">
      <w:start w:val="1"/>
      <w:numFmt w:val="decimal"/>
      <w:lvlText w:val="%4."/>
      <w:lvlJc w:val="left"/>
      <w:pPr>
        <w:ind w:left="2520" w:hanging="360"/>
      </w:pPr>
    </w:lvl>
    <w:lvl w:ilvl="4" w:tplc="30090019" w:tentative="1">
      <w:start w:val="1"/>
      <w:numFmt w:val="lowerLetter"/>
      <w:lvlText w:val="%5."/>
      <w:lvlJc w:val="left"/>
      <w:pPr>
        <w:ind w:left="3240" w:hanging="360"/>
      </w:pPr>
    </w:lvl>
    <w:lvl w:ilvl="5" w:tplc="3009001B" w:tentative="1">
      <w:start w:val="1"/>
      <w:numFmt w:val="lowerRoman"/>
      <w:lvlText w:val="%6."/>
      <w:lvlJc w:val="right"/>
      <w:pPr>
        <w:ind w:left="3960" w:hanging="180"/>
      </w:pPr>
    </w:lvl>
    <w:lvl w:ilvl="6" w:tplc="3009000F" w:tentative="1">
      <w:start w:val="1"/>
      <w:numFmt w:val="decimal"/>
      <w:lvlText w:val="%7."/>
      <w:lvlJc w:val="left"/>
      <w:pPr>
        <w:ind w:left="4680" w:hanging="360"/>
      </w:pPr>
    </w:lvl>
    <w:lvl w:ilvl="7" w:tplc="30090019" w:tentative="1">
      <w:start w:val="1"/>
      <w:numFmt w:val="lowerLetter"/>
      <w:lvlText w:val="%8."/>
      <w:lvlJc w:val="left"/>
      <w:pPr>
        <w:ind w:left="5400" w:hanging="360"/>
      </w:pPr>
    </w:lvl>
    <w:lvl w:ilvl="8" w:tplc="3009001B" w:tentative="1">
      <w:start w:val="1"/>
      <w:numFmt w:val="lowerRoman"/>
      <w:lvlText w:val="%9."/>
      <w:lvlJc w:val="right"/>
      <w:pPr>
        <w:ind w:left="6120" w:hanging="180"/>
      </w:pPr>
    </w:lvl>
  </w:abstractNum>
  <w:abstractNum w:abstractNumId="14">
    <w:nsid w:val="38815F80"/>
    <w:multiLevelType w:val="hybridMultilevel"/>
    <w:tmpl w:val="F3A6A8AA"/>
    <w:lvl w:ilvl="0" w:tplc="2954C804">
      <w:start w:val="1"/>
      <w:numFmt w:val="decimal"/>
      <w:suff w:val="space"/>
      <w:lvlText w:val="[%1]"/>
      <w:lvlJc w:val="left"/>
      <w:pPr>
        <w:ind w:left="360" w:hanging="360"/>
      </w:pPr>
      <w:rPr>
        <w:rFonts w:hint="default"/>
        <w:b w:val="0"/>
        <w:i w:val="0"/>
        <w:color w:val="auto"/>
        <w:sz w:val="24"/>
      </w:rPr>
    </w:lvl>
    <w:lvl w:ilvl="1" w:tplc="30090019">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15">
    <w:nsid w:val="3DD60C1D"/>
    <w:multiLevelType w:val="hybridMultilevel"/>
    <w:tmpl w:val="5E60F278"/>
    <w:lvl w:ilvl="0" w:tplc="CEC8546A">
      <w:start w:val="1"/>
      <w:numFmt w:val="decimal"/>
      <w:lvlText w:val="[%1]"/>
      <w:lvlJc w:val="left"/>
      <w:pPr>
        <w:ind w:left="360" w:hanging="360"/>
      </w:pPr>
      <w:rPr>
        <w:rFonts w:ascii="Times New Roman" w:hAnsi="Times New Roman" w:cs="Times New Roman" w:hint="default"/>
        <w:b w:val="0"/>
        <w:i w:val="0"/>
        <w:sz w:val="24"/>
        <w:szCs w:val="24"/>
      </w:rPr>
    </w:lvl>
    <w:lvl w:ilvl="1" w:tplc="30090019" w:tentative="1">
      <w:start w:val="1"/>
      <w:numFmt w:val="lowerLetter"/>
      <w:lvlText w:val="%2."/>
      <w:lvlJc w:val="left"/>
      <w:pPr>
        <w:ind w:left="731" w:hanging="360"/>
      </w:pPr>
    </w:lvl>
    <w:lvl w:ilvl="2" w:tplc="3009001B" w:tentative="1">
      <w:start w:val="1"/>
      <w:numFmt w:val="lowerRoman"/>
      <w:lvlText w:val="%3."/>
      <w:lvlJc w:val="right"/>
      <w:pPr>
        <w:ind w:left="1451" w:hanging="180"/>
      </w:pPr>
    </w:lvl>
    <w:lvl w:ilvl="3" w:tplc="3009000F" w:tentative="1">
      <w:start w:val="1"/>
      <w:numFmt w:val="decimal"/>
      <w:lvlText w:val="%4."/>
      <w:lvlJc w:val="left"/>
      <w:pPr>
        <w:ind w:left="2171" w:hanging="360"/>
      </w:pPr>
    </w:lvl>
    <w:lvl w:ilvl="4" w:tplc="30090019" w:tentative="1">
      <w:start w:val="1"/>
      <w:numFmt w:val="lowerLetter"/>
      <w:lvlText w:val="%5."/>
      <w:lvlJc w:val="left"/>
      <w:pPr>
        <w:ind w:left="2891" w:hanging="360"/>
      </w:pPr>
    </w:lvl>
    <w:lvl w:ilvl="5" w:tplc="3009001B" w:tentative="1">
      <w:start w:val="1"/>
      <w:numFmt w:val="lowerRoman"/>
      <w:lvlText w:val="%6."/>
      <w:lvlJc w:val="right"/>
      <w:pPr>
        <w:ind w:left="3611" w:hanging="180"/>
      </w:pPr>
    </w:lvl>
    <w:lvl w:ilvl="6" w:tplc="3009000F" w:tentative="1">
      <w:start w:val="1"/>
      <w:numFmt w:val="decimal"/>
      <w:lvlText w:val="%7."/>
      <w:lvlJc w:val="left"/>
      <w:pPr>
        <w:ind w:left="4331" w:hanging="360"/>
      </w:pPr>
    </w:lvl>
    <w:lvl w:ilvl="7" w:tplc="30090019" w:tentative="1">
      <w:start w:val="1"/>
      <w:numFmt w:val="lowerLetter"/>
      <w:lvlText w:val="%8."/>
      <w:lvlJc w:val="left"/>
      <w:pPr>
        <w:ind w:left="5051" w:hanging="360"/>
      </w:pPr>
    </w:lvl>
    <w:lvl w:ilvl="8" w:tplc="3009001B" w:tentative="1">
      <w:start w:val="1"/>
      <w:numFmt w:val="lowerRoman"/>
      <w:lvlText w:val="%9."/>
      <w:lvlJc w:val="right"/>
      <w:pPr>
        <w:ind w:left="5771" w:hanging="180"/>
      </w:pPr>
    </w:lvl>
  </w:abstractNum>
  <w:abstractNum w:abstractNumId="16">
    <w:nsid w:val="3E7729E6"/>
    <w:multiLevelType w:val="hybridMultilevel"/>
    <w:tmpl w:val="0686B26E"/>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7">
    <w:nsid w:val="3E7B2670"/>
    <w:multiLevelType w:val="hybridMultilevel"/>
    <w:tmpl w:val="87FC5F92"/>
    <w:lvl w:ilvl="0" w:tplc="41A0ED70">
      <w:start w:val="1"/>
      <w:numFmt w:val="decimal"/>
      <w:lvlText w:val="[%1]"/>
      <w:lvlJc w:val="left"/>
      <w:pPr>
        <w:ind w:left="1070" w:hanging="360"/>
      </w:pPr>
      <w:rPr>
        <w:rFonts w:hint="default"/>
        <w:i w:val="0"/>
      </w:rPr>
    </w:lvl>
    <w:lvl w:ilvl="1" w:tplc="30090019">
      <w:start w:val="1"/>
      <w:numFmt w:val="lowerLetter"/>
      <w:lvlText w:val="%2."/>
      <w:lvlJc w:val="left"/>
      <w:pPr>
        <w:ind w:left="2444" w:hanging="360"/>
      </w:pPr>
    </w:lvl>
    <w:lvl w:ilvl="2" w:tplc="3009001B" w:tentative="1">
      <w:start w:val="1"/>
      <w:numFmt w:val="lowerRoman"/>
      <w:lvlText w:val="%3."/>
      <w:lvlJc w:val="right"/>
      <w:pPr>
        <w:ind w:left="3164" w:hanging="180"/>
      </w:pPr>
    </w:lvl>
    <w:lvl w:ilvl="3" w:tplc="3009000F" w:tentative="1">
      <w:start w:val="1"/>
      <w:numFmt w:val="decimal"/>
      <w:lvlText w:val="%4."/>
      <w:lvlJc w:val="left"/>
      <w:pPr>
        <w:ind w:left="3884" w:hanging="360"/>
      </w:pPr>
    </w:lvl>
    <w:lvl w:ilvl="4" w:tplc="30090019" w:tentative="1">
      <w:start w:val="1"/>
      <w:numFmt w:val="lowerLetter"/>
      <w:lvlText w:val="%5."/>
      <w:lvlJc w:val="left"/>
      <w:pPr>
        <w:ind w:left="4604" w:hanging="360"/>
      </w:pPr>
    </w:lvl>
    <w:lvl w:ilvl="5" w:tplc="3009001B" w:tentative="1">
      <w:start w:val="1"/>
      <w:numFmt w:val="lowerRoman"/>
      <w:lvlText w:val="%6."/>
      <w:lvlJc w:val="right"/>
      <w:pPr>
        <w:ind w:left="5324" w:hanging="180"/>
      </w:pPr>
    </w:lvl>
    <w:lvl w:ilvl="6" w:tplc="3009000F" w:tentative="1">
      <w:start w:val="1"/>
      <w:numFmt w:val="decimal"/>
      <w:lvlText w:val="%7."/>
      <w:lvlJc w:val="left"/>
      <w:pPr>
        <w:ind w:left="6044" w:hanging="360"/>
      </w:pPr>
    </w:lvl>
    <w:lvl w:ilvl="7" w:tplc="30090019" w:tentative="1">
      <w:start w:val="1"/>
      <w:numFmt w:val="lowerLetter"/>
      <w:lvlText w:val="%8."/>
      <w:lvlJc w:val="left"/>
      <w:pPr>
        <w:ind w:left="6764" w:hanging="360"/>
      </w:pPr>
    </w:lvl>
    <w:lvl w:ilvl="8" w:tplc="3009001B" w:tentative="1">
      <w:start w:val="1"/>
      <w:numFmt w:val="lowerRoman"/>
      <w:lvlText w:val="%9."/>
      <w:lvlJc w:val="right"/>
      <w:pPr>
        <w:ind w:left="7484" w:hanging="180"/>
      </w:pPr>
    </w:lvl>
  </w:abstractNum>
  <w:abstractNum w:abstractNumId="18">
    <w:nsid w:val="3EC54AF5"/>
    <w:multiLevelType w:val="hybridMultilevel"/>
    <w:tmpl w:val="94425022"/>
    <w:lvl w:ilvl="0" w:tplc="359AAA8C">
      <w:start w:val="1"/>
      <w:numFmt w:val="decimal"/>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19">
    <w:nsid w:val="46130070"/>
    <w:multiLevelType w:val="hybridMultilevel"/>
    <w:tmpl w:val="45A2D5AA"/>
    <w:lvl w:ilvl="0" w:tplc="F1FACD3E">
      <w:start w:val="9"/>
      <w:numFmt w:val="lowerLetter"/>
      <w:lvlText w:val="%1."/>
      <w:lvlJc w:val="left"/>
      <w:pPr>
        <w:ind w:left="862" w:hanging="360"/>
      </w:pPr>
      <w:rPr>
        <w:rFonts w:hint="default"/>
      </w:rPr>
    </w:lvl>
    <w:lvl w:ilvl="1" w:tplc="30090019" w:tentative="1">
      <w:start w:val="1"/>
      <w:numFmt w:val="lowerLetter"/>
      <w:lvlText w:val="%2."/>
      <w:lvlJc w:val="left"/>
      <w:pPr>
        <w:ind w:left="1582" w:hanging="360"/>
      </w:pPr>
    </w:lvl>
    <w:lvl w:ilvl="2" w:tplc="3009001B" w:tentative="1">
      <w:start w:val="1"/>
      <w:numFmt w:val="lowerRoman"/>
      <w:lvlText w:val="%3."/>
      <w:lvlJc w:val="right"/>
      <w:pPr>
        <w:ind w:left="2302" w:hanging="180"/>
      </w:pPr>
    </w:lvl>
    <w:lvl w:ilvl="3" w:tplc="3009000F" w:tentative="1">
      <w:start w:val="1"/>
      <w:numFmt w:val="decimal"/>
      <w:lvlText w:val="%4."/>
      <w:lvlJc w:val="left"/>
      <w:pPr>
        <w:ind w:left="3022" w:hanging="360"/>
      </w:pPr>
    </w:lvl>
    <w:lvl w:ilvl="4" w:tplc="30090019" w:tentative="1">
      <w:start w:val="1"/>
      <w:numFmt w:val="lowerLetter"/>
      <w:lvlText w:val="%5."/>
      <w:lvlJc w:val="left"/>
      <w:pPr>
        <w:ind w:left="3742" w:hanging="360"/>
      </w:pPr>
    </w:lvl>
    <w:lvl w:ilvl="5" w:tplc="3009001B" w:tentative="1">
      <w:start w:val="1"/>
      <w:numFmt w:val="lowerRoman"/>
      <w:lvlText w:val="%6."/>
      <w:lvlJc w:val="right"/>
      <w:pPr>
        <w:ind w:left="4462" w:hanging="180"/>
      </w:pPr>
    </w:lvl>
    <w:lvl w:ilvl="6" w:tplc="3009000F" w:tentative="1">
      <w:start w:val="1"/>
      <w:numFmt w:val="decimal"/>
      <w:lvlText w:val="%7."/>
      <w:lvlJc w:val="left"/>
      <w:pPr>
        <w:ind w:left="5182" w:hanging="360"/>
      </w:pPr>
    </w:lvl>
    <w:lvl w:ilvl="7" w:tplc="30090019" w:tentative="1">
      <w:start w:val="1"/>
      <w:numFmt w:val="lowerLetter"/>
      <w:lvlText w:val="%8."/>
      <w:lvlJc w:val="left"/>
      <w:pPr>
        <w:ind w:left="5902" w:hanging="360"/>
      </w:pPr>
    </w:lvl>
    <w:lvl w:ilvl="8" w:tplc="3009001B" w:tentative="1">
      <w:start w:val="1"/>
      <w:numFmt w:val="lowerRoman"/>
      <w:lvlText w:val="%9."/>
      <w:lvlJc w:val="right"/>
      <w:pPr>
        <w:ind w:left="6622" w:hanging="180"/>
      </w:pPr>
    </w:lvl>
  </w:abstractNum>
  <w:abstractNum w:abstractNumId="20">
    <w:nsid w:val="46363A06"/>
    <w:multiLevelType w:val="multilevel"/>
    <w:tmpl w:val="4CC82610"/>
    <w:lvl w:ilvl="0">
      <w:start w:val="10"/>
      <w:numFmt w:val="decimal"/>
      <w:lvlText w:val="%1"/>
      <w:lvlJc w:val="left"/>
      <w:pPr>
        <w:ind w:left="384" w:hanging="384"/>
      </w:pPr>
      <w:rPr>
        <w:rFonts w:hint="default"/>
      </w:rPr>
    </w:lvl>
    <w:lvl w:ilvl="1">
      <w:start w:val="3"/>
      <w:numFmt w:val="decimal"/>
      <w:lvlText w:val="%1.%2"/>
      <w:lvlJc w:val="left"/>
      <w:pPr>
        <w:ind w:left="2544" w:hanging="384"/>
      </w:pPr>
      <w:rPr>
        <w:rFonts w:hint="default"/>
      </w:rPr>
    </w:lvl>
    <w:lvl w:ilvl="2">
      <w:start w:val="1"/>
      <w:numFmt w:val="decimal"/>
      <w:lvlText w:val="%1.%2.%3"/>
      <w:lvlJc w:val="left"/>
      <w:pPr>
        <w:ind w:left="5040" w:hanging="720"/>
      </w:pPr>
      <w:rPr>
        <w:rFonts w:hint="default"/>
      </w:rPr>
    </w:lvl>
    <w:lvl w:ilvl="3">
      <w:start w:val="1"/>
      <w:numFmt w:val="decimal"/>
      <w:lvlText w:val="%1.%2.%3.%4"/>
      <w:lvlJc w:val="left"/>
      <w:pPr>
        <w:ind w:left="7200" w:hanging="72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1880" w:hanging="1080"/>
      </w:pPr>
      <w:rPr>
        <w:rFonts w:hint="default"/>
      </w:rPr>
    </w:lvl>
    <w:lvl w:ilvl="6">
      <w:start w:val="1"/>
      <w:numFmt w:val="decimal"/>
      <w:lvlText w:val="%1.%2.%3.%4.%5.%6.%7"/>
      <w:lvlJc w:val="left"/>
      <w:pPr>
        <w:ind w:left="14400" w:hanging="1440"/>
      </w:pPr>
      <w:rPr>
        <w:rFonts w:hint="default"/>
      </w:rPr>
    </w:lvl>
    <w:lvl w:ilvl="7">
      <w:start w:val="1"/>
      <w:numFmt w:val="decimal"/>
      <w:lvlText w:val="%1.%2.%3.%4.%5.%6.%7.%8"/>
      <w:lvlJc w:val="left"/>
      <w:pPr>
        <w:ind w:left="16560" w:hanging="1440"/>
      </w:pPr>
      <w:rPr>
        <w:rFonts w:hint="default"/>
      </w:rPr>
    </w:lvl>
    <w:lvl w:ilvl="8">
      <w:start w:val="1"/>
      <w:numFmt w:val="decimal"/>
      <w:lvlText w:val="%1.%2.%3.%4.%5.%6.%7.%8.%9"/>
      <w:lvlJc w:val="left"/>
      <w:pPr>
        <w:ind w:left="18720" w:hanging="1440"/>
      </w:pPr>
      <w:rPr>
        <w:rFonts w:hint="default"/>
      </w:rPr>
    </w:lvl>
  </w:abstractNum>
  <w:abstractNum w:abstractNumId="21">
    <w:nsid w:val="48D00B1E"/>
    <w:multiLevelType w:val="multilevel"/>
    <w:tmpl w:val="48D00B1E"/>
    <w:lvl w:ilvl="0">
      <w:start w:val="1"/>
      <w:numFmt w:val="decimal"/>
      <w:lvlText w:val="3.%1."/>
      <w:lvlJc w:val="left"/>
      <w:pPr>
        <w:ind w:left="1446" w:hanging="360"/>
      </w:pPr>
      <w:rPr>
        <w:rFonts w:hint="default"/>
      </w:rPr>
    </w:lvl>
    <w:lvl w:ilvl="1">
      <w:start w:val="1"/>
      <w:numFmt w:val="lowerLetter"/>
      <w:lvlText w:val="%2."/>
      <w:lvlJc w:val="left"/>
      <w:pPr>
        <w:ind w:left="2166" w:hanging="360"/>
      </w:pPr>
    </w:lvl>
    <w:lvl w:ilvl="2">
      <w:start w:val="1"/>
      <w:numFmt w:val="lowerRoman"/>
      <w:lvlText w:val="%3."/>
      <w:lvlJc w:val="right"/>
      <w:pPr>
        <w:ind w:left="2886" w:hanging="180"/>
      </w:pPr>
    </w:lvl>
    <w:lvl w:ilvl="3">
      <w:start w:val="1"/>
      <w:numFmt w:val="decimal"/>
      <w:lvlText w:val="%4."/>
      <w:lvlJc w:val="left"/>
      <w:pPr>
        <w:ind w:left="3606" w:hanging="360"/>
      </w:pPr>
    </w:lvl>
    <w:lvl w:ilvl="4">
      <w:start w:val="1"/>
      <w:numFmt w:val="lowerLetter"/>
      <w:lvlText w:val="%5."/>
      <w:lvlJc w:val="left"/>
      <w:pPr>
        <w:ind w:left="4326" w:hanging="360"/>
      </w:pPr>
    </w:lvl>
    <w:lvl w:ilvl="5">
      <w:start w:val="1"/>
      <w:numFmt w:val="lowerRoman"/>
      <w:lvlText w:val="%6."/>
      <w:lvlJc w:val="right"/>
      <w:pPr>
        <w:ind w:left="5046" w:hanging="180"/>
      </w:pPr>
    </w:lvl>
    <w:lvl w:ilvl="6">
      <w:start w:val="1"/>
      <w:numFmt w:val="decimal"/>
      <w:lvlText w:val="%7."/>
      <w:lvlJc w:val="left"/>
      <w:pPr>
        <w:ind w:left="5766" w:hanging="360"/>
      </w:pPr>
    </w:lvl>
    <w:lvl w:ilvl="7">
      <w:start w:val="1"/>
      <w:numFmt w:val="lowerLetter"/>
      <w:lvlText w:val="%8."/>
      <w:lvlJc w:val="left"/>
      <w:pPr>
        <w:ind w:left="6486" w:hanging="360"/>
      </w:pPr>
    </w:lvl>
    <w:lvl w:ilvl="8">
      <w:start w:val="1"/>
      <w:numFmt w:val="lowerRoman"/>
      <w:lvlText w:val="%9."/>
      <w:lvlJc w:val="right"/>
      <w:pPr>
        <w:ind w:left="7206" w:hanging="180"/>
      </w:pPr>
    </w:lvl>
  </w:abstractNum>
  <w:abstractNum w:abstractNumId="22">
    <w:nsid w:val="49BF65CE"/>
    <w:multiLevelType w:val="hybridMultilevel"/>
    <w:tmpl w:val="B0E24DBC"/>
    <w:lvl w:ilvl="0" w:tplc="74BCC48E">
      <w:start w:val="1"/>
      <w:numFmt w:val="decimal"/>
      <w:lvlText w:val="[%1]"/>
      <w:lvlJc w:val="left"/>
      <w:pPr>
        <w:ind w:left="502" w:hanging="360"/>
      </w:pPr>
      <w:rPr>
        <w:rFonts w:hint="default"/>
        <w:b w:val="0"/>
        <w:bCs w:val="0"/>
        <w:i w:val="0"/>
        <w:iCs w:val="0"/>
        <w:sz w:val="24"/>
        <w:szCs w:val="24"/>
      </w:rPr>
    </w:lvl>
    <w:lvl w:ilvl="1" w:tplc="30090019">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23">
    <w:nsid w:val="56B10A1B"/>
    <w:multiLevelType w:val="hybridMultilevel"/>
    <w:tmpl w:val="47481BC0"/>
    <w:lvl w:ilvl="0" w:tplc="03A8B2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61456915"/>
    <w:multiLevelType w:val="hybridMultilevel"/>
    <w:tmpl w:val="12662696"/>
    <w:lvl w:ilvl="0" w:tplc="CEDED5AA">
      <w:start w:val="1"/>
      <w:numFmt w:val="decimal"/>
      <w:lvlText w:val="[%1]"/>
      <w:lvlJc w:val="left"/>
      <w:pPr>
        <w:ind w:left="720" w:hanging="360"/>
      </w:pPr>
      <w:rPr>
        <w:rFonts w:hint="default"/>
        <w:sz w:val="24"/>
        <w:szCs w:val="24"/>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5">
    <w:nsid w:val="64846E2B"/>
    <w:multiLevelType w:val="hybridMultilevel"/>
    <w:tmpl w:val="4800B30E"/>
    <w:lvl w:ilvl="0" w:tplc="3D5ECFD6">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6">
    <w:nsid w:val="7A2D6ED9"/>
    <w:multiLevelType w:val="hybridMultilevel"/>
    <w:tmpl w:val="78C0E9C8"/>
    <w:lvl w:ilvl="0" w:tplc="5F1654FE">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7">
    <w:nsid w:val="7C226E2F"/>
    <w:multiLevelType w:val="multilevel"/>
    <w:tmpl w:val="51EC5CDE"/>
    <w:lvl w:ilvl="0">
      <w:start w:val="5"/>
      <w:numFmt w:val="decimal"/>
      <w:lvlText w:val="%1."/>
      <w:lvlJc w:val="left"/>
      <w:pPr>
        <w:ind w:left="1446" w:hanging="360"/>
      </w:pPr>
      <w:rPr>
        <w:rFonts w:hint="default"/>
      </w:rPr>
    </w:lvl>
    <w:lvl w:ilvl="1">
      <w:start w:val="4"/>
      <w:numFmt w:val="decimal"/>
      <w:isLgl/>
      <w:lvlText w:val="%1.%2"/>
      <w:lvlJc w:val="left"/>
      <w:pPr>
        <w:ind w:left="2544" w:hanging="384"/>
      </w:pPr>
      <w:rPr>
        <w:rFonts w:hint="default"/>
      </w:rPr>
    </w:lvl>
    <w:lvl w:ilvl="2">
      <w:start w:val="1"/>
      <w:numFmt w:val="decimal"/>
      <w:isLgl/>
      <w:lvlText w:val="%1.%2.%3"/>
      <w:lvlJc w:val="left"/>
      <w:pPr>
        <w:ind w:left="3954" w:hanging="720"/>
      </w:pPr>
      <w:rPr>
        <w:rFonts w:hint="default"/>
      </w:rPr>
    </w:lvl>
    <w:lvl w:ilvl="3">
      <w:start w:val="1"/>
      <w:numFmt w:val="decimal"/>
      <w:isLgl/>
      <w:lvlText w:val="%1.%2.%3.%4"/>
      <w:lvlJc w:val="left"/>
      <w:pPr>
        <w:ind w:left="5028" w:hanging="720"/>
      </w:pPr>
      <w:rPr>
        <w:rFonts w:hint="default"/>
      </w:rPr>
    </w:lvl>
    <w:lvl w:ilvl="4">
      <w:start w:val="1"/>
      <w:numFmt w:val="decimal"/>
      <w:isLgl/>
      <w:lvlText w:val="%1.%2.%3.%4.%5"/>
      <w:lvlJc w:val="left"/>
      <w:pPr>
        <w:ind w:left="6462" w:hanging="1080"/>
      </w:pPr>
      <w:rPr>
        <w:rFonts w:hint="default"/>
      </w:rPr>
    </w:lvl>
    <w:lvl w:ilvl="5">
      <w:start w:val="1"/>
      <w:numFmt w:val="decimal"/>
      <w:isLgl/>
      <w:lvlText w:val="%1.%2.%3.%4.%5.%6"/>
      <w:lvlJc w:val="left"/>
      <w:pPr>
        <w:ind w:left="7536" w:hanging="1080"/>
      </w:pPr>
      <w:rPr>
        <w:rFonts w:hint="default"/>
      </w:rPr>
    </w:lvl>
    <w:lvl w:ilvl="6">
      <w:start w:val="1"/>
      <w:numFmt w:val="decimal"/>
      <w:isLgl/>
      <w:lvlText w:val="%1.%2.%3.%4.%5.%6.%7"/>
      <w:lvlJc w:val="left"/>
      <w:pPr>
        <w:ind w:left="8970" w:hanging="1440"/>
      </w:pPr>
      <w:rPr>
        <w:rFonts w:hint="default"/>
      </w:rPr>
    </w:lvl>
    <w:lvl w:ilvl="7">
      <w:start w:val="1"/>
      <w:numFmt w:val="decimal"/>
      <w:isLgl/>
      <w:lvlText w:val="%1.%2.%3.%4.%5.%6.%7.%8"/>
      <w:lvlJc w:val="left"/>
      <w:pPr>
        <w:ind w:left="10044" w:hanging="1440"/>
      </w:pPr>
      <w:rPr>
        <w:rFonts w:hint="default"/>
      </w:rPr>
    </w:lvl>
    <w:lvl w:ilvl="8">
      <w:start w:val="1"/>
      <w:numFmt w:val="decimal"/>
      <w:isLgl/>
      <w:lvlText w:val="%1.%2.%3.%4.%5.%6.%7.%8.%9"/>
      <w:lvlJc w:val="left"/>
      <w:pPr>
        <w:ind w:left="11118" w:hanging="1440"/>
      </w:pPr>
      <w:rPr>
        <w:rFonts w:hint="default"/>
      </w:rPr>
    </w:lvl>
  </w:abstractNum>
  <w:abstractNum w:abstractNumId="28">
    <w:nsid w:val="7F46676B"/>
    <w:multiLevelType w:val="hybridMultilevel"/>
    <w:tmpl w:val="0686B26E"/>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num w:numId="1">
    <w:abstractNumId w:val="12"/>
  </w:num>
  <w:num w:numId="2">
    <w:abstractNumId w:val="23"/>
  </w:num>
  <w:num w:numId="3">
    <w:abstractNumId w:val="3"/>
  </w:num>
  <w:num w:numId="4">
    <w:abstractNumId w:val="6"/>
  </w:num>
  <w:num w:numId="5">
    <w:abstractNumId w:val="22"/>
  </w:num>
  <w:num w:numId="6">
    <w:abstractNumId w:val="2"/>
  </w:num>
  <w:num w:numId="7">
    <w:abstractNumId w:val="21"/>
  </w:num>
  <w:num w:numId="8">
    <w:abstractNumId w:val="27"/>
  </w:num>
  <w:num w:numId="9">
    <w:abstractNumId w:val="20"/>
  </w:num>
  <w:num w:numId="10">
    <w:abstractNumId w:val="9"/>
  </w:num>
  <w:num w:numId="11">
    <w:abstractNumId w:val="0"/>
  </w:num>
  <w:num w:numId="12">
    <w:abstractNumId w:val="4"/>
  </w:num>
  <w:num w:numId="13">
    <w:abstractNumId w:val="8"/>
  </w:num>
  <w:num w:numId="14">
    <w:abstractNumId w:val="24"/>
  </w:num>
  <w:num w:numId="15">
    <w:abstractNumId w:val="1"/>
  </w:num>
  <w:num w:numId="16">
    <w:abstractNumId w:val="5"/>
  </w:num>
  <w:num w:numId="17">
    <w:abstractNumId w:val="18"/>
  </w:num>
  <w:num w:numId="18">
    <w:abstractNumId w:val="28"/>
  </w:num>
  <w:num w:numId="19">
    <w:abstractNumId w:val="16"/>
  </w:num>
  <w:num w:numId="20">
    <w:abstractNumId w:val="15"/>
  </w:num>
  <w:num w:numId="21">
    <w:abstractNumId w:val="11"/>
  </w:num>
  <w:num w:numId="22">
    <w:abstractNumId w:val="7"/>
  </w:num>
  <w:num w:numId="2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6"/>
  </w:num>
  <w:num w:numId="25">
    <w:abstractNumId w:val="25"/>
  </w:num>
  <w:num w:numId="26">
    <w:abstractNumId w:val="10"/>
  </w:num>
  <w:num w:numId="27">
    <w:abstractNumId w:val="13"/>
  </w:num>
  <w:num w:numId="28">
    <w:abstractNumId w:val="14"/>
  </w:num>
  <w:num w:numId="29">
    <w:abstractNumId w:val="17"/>
  </w:num>
  <w:num w:numId="3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061B"/>
    <w:rsid w:val="00013926"/>
    <w:rsid w:val="00016E13"/>
    <w:rsid w:val="00031B93"/>
    <w:rsid w:val="000364D6"/>
    <w:rsid w:val="00036F86"/>
    <w:rsid w:val="00036FAF"/>
    <w:rsid w:val="0004184A"/>
    <w:rsid w:val="0004410C"/>
    <w:rsid w:val="000464F3"/>
    <w:rsid w:val="000477FC"/>
    <w:rsid w:val="00062491"/>
    <w:rsid w:val="00066B11"/>
    <w:rsid w:val="00067CF6"/>
    <w:rsid w:val="00080BF6"/>
    <w:rsid w:val="00082FDA"/>
    <w:rsid w:val="0008328F"/>
    <w:rsid w:val="00085315"/>
    <w:rsid w:val="0009387F"/>
    <w:rsid w:val="00095E70"/>
    <w:rsid w:val="000A332D"/>
    <w:rsid w:val="000A3418"/>
    <w:rsid w:val="000A66D6"/>
    <w:rsid w:val="000B0762"/>
    <w:rsid w:val="000B0D57"/>
    <w:rsid w:val="000B1500"/>
    <w:rsid w:val="000B41EC"/>
    <w:rsid w:val="000B747D"/>
    <w:rsid w:val="000C4EB4"/>
    <w:rsid w:val="000C75CB"/>
    <w:rsid w:val="000E539B"/>
    <w:rsid w:val="000E59F6"/>
    <w:rsid w:val="000E5A34"/>
    <w:rsid w:val="000E6DC8"/>
    <w:rsid w:val="000F5844"/>
    <w:rsid w:val="000F691D"/>
    <w:rsid w:val="001152C0"/>
    <w:rsid w:val="00117154"/>
    <w:rsid w:val="00122917"/>
    <w:rsid w:val="00130CD2"/>
    <w:rsid w:val="00136D03"/>
    <w:rsid w:val="00137FEC"/>
    <w:rsid w:val="00144A6B"/>
    <w:rsid w:val="00146EB9"/>
    <w:rsid w:val="001470B7"/>
    <w:rsid w:val="00153DB4"/>
    <w:rsid w:val="0015535F"/>
    <w:rsid w:val="001557F7"/>
    <w:rsid w:val="0015766D"/>
    <w:rsid w:val="0015779C"/>
    <w:rsid w:val="00163A00"/>
    <w:rsid w:val="00166D7E"/>
    <w:rsid w:val="00171128"/>
    <w:rsid w:val="001726A0"/>
    <w:rsid w:val="00174ACB"/>
    <w:rsid w:val="00177BCB"/>
    <w:rsid w:val="001849BD"/>
    <w:rsid w:val="001904A7"/>
    <w:rsid w:val="0019274A"/>
    <w:rsid w:val="00193342"/>
    <w:rsid w:val="00194ACB"/>
    <w:rsid w:val="001A2261"/>
    <w:rsid w:val="001A26FF"/>
    <w:rsid w:val="001C0155"/>
    <w:rsid w:val="001C7019"/>
    <w:rsid w:val="001D04DA"/>
    <w:rsid w:val="001D65B7"/>
    <w:rsid w:val="001D766F"/>
    <w:rsid w:val="001E729A"/>
    <w:rsid w:val="001F48ED"/>
    <w:rsid w:val="001F4ABD"/>
    <w:rsid w:val="001F7F91"/>
    <w:rsid w:val="00202B01"/>
    <w:rsid w:val="00203141"/>
    <w:rsid w:val="00204600"/>
    <w:rsid w:val="00207A3D"/>
    <w:rsid w:val="002123E9"/>
    <w:rsid w:val="002139CB"/>
    <w:rsid w:val="0021406C"/>
    <w:rsid w:val="002147FE"/>
    <w:rsid w:val="00216489"/>
    <w:rsid w:val="00221185"/>
    <w:rsid w:val="00224C8A"/>
    <w:rsid w:val="00227843"/>
    <w:rsid w:val="00231437"/>
    <w:rsid w:val="00240A7A"/>
    <w:rsid w:val="00243CEE"/>
    <w:rsid w:val="0024738A"/>
    <w:rsid w:val="00250D24"/>
    <w:rsid w:val="00252E4B"/>
    <w:rsid w:val="00252EC6"/>
    <w:rsid w:val="002624D2"/>
    <w:rsid w:val="00277EDA"/>
    <w:rsid w:val="002825C4"/>
    <w:rsid w:val="00282FDE"/>
    <w:rsid w:val="00283AAE"/>
    <w:rsid w:val="00286A63"/>
    <w:rsid w:val="00287AD4"/>
    <w:rsid w:val="00287DE2"/>
    <w:rsid w:val="00296D0F"/>
    <w:rsid w:val="002A0214"/>
    <w:rsid w:val="002A2964"/>
    <w:rsid w:val="002A4337"/>
    <w:rsid w:val="002B10C8"/>
    <w:rsid w:val="002B2FC6"/>
    <w:rsid w:val="002B3DA9"/>
    <w:rsid w:val="002B56DC"/>
    <w:rsid w:val="002B63E5"/>
    <w:rsid w:val="002C12C5"/>
    <w:rsid w:val="002C5A01"/>
    <w:rsid w:val="002D47F5"/>
    <w:rsid w:val="002D4B1F"/>
    <w:rsid w:val="002E611A"/>
    <w:rsid w:val="002F0D7C"/>
    <w:rsid w:val="002F392E"/>
    <w:rsid w:val="002F4EAC"/>
    <w:rsid w:val="002F71E2"/>
    <w:rsid w:val="002F7CF6"/>
    <w:rsid w:val="00306F12"/>
    <w:rsid w:val="00313602"/>
    <w:rsid w:val="003139A0"/>
    <w:rsid w:val="00314C4C"/>
    <w:rsid w:val="00322821"/>
    <w:rsid w:val="00330BE1"/>
    <w:rsid w:val="00336E42"/>
    <w:rsid w:val="00341A06"/>
    <w:rsid w:val="00346109"/>
    <w:rsid w:val="00347BCF"/>
    <w:rsid w:val="00350A6C"/>
    <w:rsid w:val="0036068B"/>
    <w:rsid w:val="00363A66"/>
    <w:rsid w:val="00363FCB"/>
    <w:rsid w:val="00367339"/>
    <w:rsid w:val="003742D2"/>
    <w:rsid w:val="00380E7C"/>
    <w:rsid w:val="003852F7"/>
    <w:rsid w:val="00385806"/>
    <w:rsid w:val="00386500"/>
    <w:rsid w:val="00387198"/>
    <w:rsid w:val="00392035"/>
    <w:rsid w:val="00394A91"/>
    <w:rsid w:val="003A036A"/>
    <w:rsid w:val="003A11FC"/>
    <w:rsid w:val="003A1A33"/>
    <w:rsid w:val="003A1AD4"/>
    <w:rsid w:val="003A561E"/>
    <w:rsid w:val="003A62FE"/>
    <w:rsid w:val="003A6BA2"/>
    <w:rsid w:val="003A7108"/>
    <w:rsid w:val="003A764D"/>
    <w:rsid w:val="003B561A"/>
    <w:rsid w:val="003C4388"/>
    <w:rsid w:val="003D3F46"/>
    <w:rsid w:val="003D5D70"/>
    <w:rsid w:val="003E1EFC"/>
    <w:rsid w:val="003E43A9"/>
    <w:rsid w:val="003E655B"/>
    <w:rsid w:val="00400D75"/>
    <w:rsid w:val="004023BB"/>
    <w:rsid w:val="00402674"/>
    <w:rsid w:val="004033CC"/>
    <w:rsid w:val="00412FB4"/>
    <w:rsid w:val="00413720"/>
    <w:rsid w:val="00414885"/>
    <w:rsid w:val="004174E3"/>
    <w:rsid w:val="0042333A"/>
    <w:rsid w:val="00423EDF"/>
    <w:rsid w:val="00427D9B"/>
    <w:rsid w:val="004413C0"/>
    <w:rsid w:val="0044143D"/>
    <w:rsid w:val="0044258B"/>
    <w:rsid w:val="00446ED3"/>
    <w:rsid w:val="00447A72"/>
    <w:rsid w:val="00447E80"/>
    <w:rsid w:val="00451A88"/>
    <w:rsid w:val="0045719D"/>
    <w:rsid w:val="00457437"/>
    <w:rsid w:val="00464239"/>
    <w:rsid w:val="00464BEE"/>
    <w:rsid w:val="00465740"/>
    <w:rsid w:val="00470C5C"/>
    <w:rsid w:val="0047483D"/>
    <w:rsid w:val="00477A6A"/>
    <w:rsid w:val="0048356E"/>
    <w:rsid w:val="00487561"/>
    <w:rsid w:val="0049051E"/>
    <w:rsid w:val="00490BE1"/>
    <w:rsid w:val="00492CEA"/>
    <w:rsid w:val="00496BCE"/>
    <w:rsid w:val="004A1D96"/>
    <w:rsid w:val="004A224C"/>
    <w:rsid w:val="004A22A8"/>
    <w:rsid w:val="004C36B5"/>
    <w:rsid w:val="004C58EE"/>
    <w:rsid w:val="004D120C"/>
    <w:rsid w:val="004D2E95"/>
    <w:rsid w:val="004D469B"/>
    <w:rsid w:val="004D79D1"/>
    <w:rsid w:val="004E1991"/>
    <w:rsid w:val="004E505C"/>
    <w:rsid w:val="004F31AF"/>
    <w:rsid w:val="004F6C10"/>
    <w:rsid w:val="0050061B"/>
    <w:rsid w:val="00500E0F"/>
    <w:rsid w:val="0050162C"/>
    <w:rsid w:val="005021B9"/>
    <w:rsid w:val="005042A5"/>
    <w:rsid w:val="00507E1B"/>
    <w:rsid w:val="00510609"/>
    <w:rsid w:val="0052561E"/>
    <w:rsid w:val="005262C9"/>
    <w:rsid w:val="00534FA3"/>
    <w:rsid w:val="0054540B"/>
    <w:rsid w:val="00545B92"/>
    <w:rsid w:val="005462A0"/>
    <w:rsid w:val="00553BD6"/>
    <w:rsid w:val="00563CDD"/>
    <w:rsid w:val="005652D6"/>
    <w:rsid w:val="00573CCA"/>
    <w:rsid w:val="00577CC7"/>
    <w:rsid w:val="00580816"/>
    <w:rsid w:val="00580C04"/>
    <w:rsid w:val="0058304B"/>
    <w:rsid w:val="005841D0"/>
    <w:rsid w:val="00586BFA"/>
    <w:rsid w:val="00587DC1"/>
    <w:rsid w:val="00590365"/>
    <w:rsid w:val="005A077F"/>
    <w:rsid w:val="005A190F"/>
    <w:rsid w:val="005A4B57"/>
    <w:rsid w:val="005A6530"/>
    <w:rsid w:val="005A7662"/>
    <w:rsid w:val="005A7BB2"/>
    <w:rsid w:val="005B532B"/>
    <w:rsid w:val="005C11B1"/>
    <w:rsid w:val="005C5A62"/>
    <w:rsid w:val="005C6737"/>
    <w:rsid w:val="005D5CEB"/>
    <w:rsid w:val="005D7FBE"/>
    <w:rsid w:val="005E3D71"/>
    <w:rsid w:val="005F21AC"/>
    <w:rsid w:val="005F245B"/>
    <w:rsid w:val="005F518D"/>
    <w:rsid w:val="005F75B1"/>
    <w:rsid w:val="00600314"/>
    <w:rsid w:val="00605E5C"/>
    <w:rsid w:val="00606BD1"/>
    <w:rsid w:val="00610A1F"/>
    <w:rsid w:val="00610AA0"/>
    <w:rsid w:val="0061329D"/>
    <w:rsid w:val="0062187E"/>
    <w:rsid w:val="0063709E"/>
    <w:rsid w:val="00637EEA"/>
    <w:rsid w:val="006418C0"/>
    <w:rsid w:val="00642887"/>
    <w:rsid w:val="00643AAA"/>
    <w:rsid w:val="00644D55"/>
    <w:rsid w:val="00652AFD"/>
    <w:rsid w:val="00653478"/>
    <w:rsid w:val="00653A46"/>
    <w:rsid w:val="006542F1"/>
    <w:rsid w:val="0066069F"/>
    <w:rsid w:val="0066130D"/>
    <w:rsid w:val="006636E9"/>
    <w:rsid w:val="006676D2"/>
    <w:rsid w:val="0067507F"/>
    <w:rsid w:val="00675AE6"/>
    <w:rsid w:val="0067764B"/>
    <w:rsid w:val="00687A6F"/>
    <w:rsid w:val="00693DEA"/>
    <w:rsid w:val="006A3007"/>
    <w:rsid w:val="006A41C3"/>
    <w:rsid w:val="006A45C8"/>
    <w:rsid w:val="006C00EA"/>
    <w:rsid w:val="006C36B3"/>
    <w:rsid w:val="006C4411"/>
    <w:rsid w:val="006C4A7E"/>
    <w:rsid w:val="006D093E"/>
    <w:rsid w:val="006D366A"/>
    <w:rsid w:val="006E18EC"/>
    <w:rsid w:val="006E6815"/>
    <w:rsid w:val="006F48ED"/>
    <w:rsid w:val="006F5433"/>
    <w:rsid w:val="006F5F96"/>
    <w:rsid w:val="007000B8"/>
    <w:rsid w:val="00703483"/>
    <w:rsid w:val="00704294"/>
    <w:rsid w:val="00705EDC"/>
    <w:rsid w:val="007063A0"/>
    <w:rsid w:val="007226BD"/>
    <w:rsid w:val="0072397D"/>
    <w:rsid w:val="00725827"/>
    <w:rsid w:val="00725E9A"/>
    <w:rsid w:val="007408F4"/>
    <w:rsid w:val="007623BE"/>
    <w:rsid w:val="0076634B"/>
    <w:rsid w:val="00766C46"/>
    <w:rsid w:val="007673BA"/>
    <w:rsid w:val="00774524"/>
    <w:rsid w:val="00776AD8"/>
    <w:rsid w:val="0078079B"/>
    <w:rsid w:val="00781D2E"/>
    <w:rsid w:val="00782044"/>
    <w:rsid w:val="00783719"/>
    <w:rsid w:val="00783965"/>
    <w:rsid w:val="00785DE1"/>
    <w:rsid w:val="00785F09"/>
    <w:rsid w:val="00795046"/>
    <w:rsid w:val="0079741F"/>
    <w:rsid w:val="007A4068"/>
    <w:rsid w:val="007A4132"/>
    <w:rsid w:val="007A5214"/>
    <w:rsid w:val="007B0F3C"/>
    <w:rsid w:val="007B2498"/>
    <w:rsid w:val="007B30A2"/>
    <w:rsid w:val="007B35E7"/>
    <w:rsid w:val="007B423E"/>
    <w:rsid w:val="007B67EE"/>
    <w:rsid w:val="007B7DE1"/>
    <w:rsid w:val="007C46BA"/>
    <w:rsid w:val="007C6411"/>
    <w:rsid w:val="007D28BB"/>
    <w:rsid w:val="007D29CE"/>
    <w:rsid w:val="007D2C39"/>
    <w:rsid w:val="007E06C4"/>
    <w:rsid w:val="007E309F"/>
    <w:rsid w:val="007E58B8"/>
    <w:rsid w:val="007E7038"/>
    <w:rsid w:val="007E7CFC"/>
    <w:rsid w:val="007F2C12"/>
    <w:rsid w:val="007F782D"/>
    <w:rsid w:val="008036AC"/>
    <w:rsid w:val="00803976"/>
    <w:rsid w:val="00810294"/>
    <w:rsid w:val="00812D6B"/>
    <w:rsid w:val="00813F7D"/>
    <w:rsid w:val="00816F2E"/>
    <w:rsid w:val="00820FCC"/>
    <w:rsid w:val="00821E37"/>
    <w:rsid w:val="00822092"/>
    <w:rsid w:val="008233D2"/>
    <w:rsid w:val="00824988"/>
    <w:rsid w:val="00826EB2"/>
    <w:rsid w:val="008304A4"/>
    <w:rsid w:val="00832A5A"/>
    <w:rsid w:val="00833671"/>
    <w:rsid w:val="00833C66"/>
    <w:rsid w:val="00835755"/>
    <w:rsid w:val="00840E81"/>
    <w:rsid w:val="00841535"/>
    <w:rsid w:val="00843135"/>
    <w:rsid w:val="008440F7"/>
    <w:rsid w:val="008458A3"/>
    <w:rsid w:val="00847400"/>
    <w:rsid w:val="00847C4C"/>
    <w:rsid w:val="008500CF"/>
    <w:rsid w:val="008502E5"/>
    <w:rsid w:val="008543EF"/>
    <w:rsid w:val="00854706"/>
    <w:rsid w:val="008569D5"/>
    <w:rsid w:val="00860916"/>
    <w:rsid w:val="00860B7A"/>
    <w:rsid w:val="00861459"/>
    <w:rsid w:val="0087140F"/>
    <w:rsid w:val="008750A8"/>
    <w:rsid w:val="0088159B"/>
    <w:rsid w:val="00882432"/>
    <w:rsid w:val="008848CD"/>
    <w:rsid w:val="00892C93"/>
    <w:rsid w:val="0089383D"/>
    <w:rsid w:val="00894405"/>
    <w:rsid w:val="008A6CF1"/>
    <w:rsid w:val="008B05B7"/>
    <w:rsid w:val="008B2768"/>
    <w:rsid w:val="008B524F"/>
    <w:rsid w:val="008B569C"/>
    <w:rsid w:val="008C03CE"/>
    <w:rsid w:val="008C31E5"/>
    <w:rsid w:val="008D24A7"/>
    <w:rsid w:val="008D266C"/>
    <w:rsid w:val="008D2CA0"/>
    <w:rsid w:val="008E3EB7"/>
    <w:rsid w:val="008E711A"/>
    <w:rsid w:val="008F5392"/>
    <w:rsid w:val="008F5AA0"/>
    <w:rsid w:val="0090347A"/>
    <w:rsid w:val="009068BC"/>
    <w:rsid w:val="00911732"/>
    <w:rsid w:val="0092053D"/>
    <w:rsid w:val="009340F3"/>
    <w:rsid w:val="00936E21"/>
    <w:rsid w:val="009374D3"/>
    <w:rsid w:val="009449DD"/>
    <w:rsid w:val="00945952"/>
    <w:rsid w:val="0095283C"/>
    <w:rsid w:val="00956BC3"/>
    <w:rsid w:val="0096579C"/>
    <w:rsid w:val="0097534B"/>
    <w:rsid w:val="00976DE3"/>
    <w:rsid w:val="00981F85"/>
    <w:rsid w:val="00985DF4"/>
    <w:rsid w:val="009864AB"/>
    <w:rsid w:val="0099312E"/>
    <w:rsid w:val="009977D5"/>
    <w:rsid w:val="009A309A"/>
    <w:rsid w:val="009B065A"/>
    <w:rsid w:val="009B0AD2"/>
    <w:rsid w:val="009B1D9C"/>
    <w:rsid w:val="009B1EAB"/>
    <w:rsid w:val="009B2B2E"/>
    <w:rsid w:val="009C777F"/>
    <w:rsid w:val="009C798D"/>
    <w:rsid w:val="009C7E7D"/>
    <w:rsid w:val="009D025B"/>
    <w:rsid w:val="009D67E9"/>
    <w:rsid w:val="009F1C35"/>
    <w:rsid w:val="009F4317"/>
    <w:rsid w:val="009F46A3"/>
    <w:rsid w:val="009F5836"/>
    <w:rsid w:val="00A02359"/>
    <w:rsid w:val="00A04535"/>
    <w:rsid w:val="00A058F4"/>
    <w:rsid w:val="00A05971"/>
    <w:rsid w:val="00A07615"/>
    <w:rsid w:val="00A133F2"/>
    <w:rsid w:val="00A152C2"/>
    <w:rsid w:val="00A17BD0"/>
    <w:rsid w:val="00A20C16"/>
    <w:rsid w:val="00A27247"/>
    <w:rsid w:val="00A272D3"/>
    <w:rsid w:val="00A31895"/>
    <w:rsid w:val="00A32CA6"/>
    <w:rsid w:val="00A33900"/>
    <w:rsid w:val="00A4578C"/>
    <w:rsid w:val="00A46B45"/>
    <w:rsid w:val="00A46F63"/>
    <w:rsid w:val="00A50138"/>
    <w:rsid w:val="00A525DE"/>
    <w:rsid w:val="00A5420B"/>
    <w:rsid w:val="00A54C2F"/>
    <w:rsid w:val="00A62F3D"/>
    <w:rsid w:val="00A65A92"/>
    <w:rsid w:val="00A701A0"/>
    <w:rsid w:val="00A73CD4"/>
    <w:rsid w:val="00A82C90"/>
    <w:rsid w:val="00A848AF"/>
    <w:rsid w:val="00A90358"/>
    <w:rsid w:val="00A95459"/>
    <w:rsid w:val="00A9660E"/>
    <w:rsid w:val="00AB1DBC"/>
    <w:rsid w:val="00AB587C"/>
    <w:rsid w:val="00AB5D11"/>
    <w:rsid w:val="00AB67DD"/>
    <w:rsid w:val="00AC148E"/>
    <w:rsid w:val="00AC788C"/>
    <w:rsid w:val="00AD0401"/>
    <w:rsid w:val="00AD088A"/>
    <w:rsid w:val="00AD26BD"/>
    <w:rsid w:val="00AD6876"/>
    <w:rsid w:val="00AD743F"/>
    <w:rsid w:val="00AE160D"/>
    <w:rsid w:val="00AE4841"/>
    <w:rsid w:val="00AE6390"/>
    <w:rsid w:val="00AF214D"/>
    <w:rsid w:val="00AF2999"/>
    <w:rsid w:val="00AF2A7D"/>
    <w:rsid w:val="00AF2AFC"/>
    <w:rsid w:val="00AF2DF9"/>
    <w:rsid w:val="00B01BFD"/>
    <w:rsid w:val="00B02C27"/>
    <w:rsid w:val="00B05048"/>
    <w:rsid w:val="00B10CEB"/>
    <w:rsid w:val="00B32D28"/>
    <w:rsid w:val="00B41316"/>
    <w:rsid w:val="00B53844"/>
    <w:rsid w:val="00B5630D"/>
    <w:rsid w:val="00B56381"/>
    <w:rsid w:val="00B60B9C"/>
    <w:rsid w:val="00B63605"/>
    <w:rsid w:val="00B639F8"/>
    <w:rsid w:val="00B6655B"/>
    <w:rsid w:val="00B70556"/>
    <w:rsid w:val="00B7306E"/>
    <w:rsid w:val="00B77032"/>
    <w:rsid w:val="00B829C5"/>
    <w:rsid w:val="00B8486A"/>
    <w:rsid w:val="00B855E8"/>
    <w:rsid w:val="00B94144"/>
    <w:rsid w:val="00B9726B"/>
    <w:rsid w:val="00B97585"/>
    <w:rsid w:val="00BA21BC"/>
    <w:rsid w:val="00BB0611"/>
    <w:rsid w:val="00BB1DE5"/>
    <w:rsid w:val="00BC3268"/>
    <w:rsid w:val="00BC5465"/>
    <w:rsid w:val="00BD3330"/>
    <w:rsid w:val="00BE33A3"/>
    <w:rsid w:val="00BE75D0"/>
    <w:rsid w:val="00BF00F7"/>
    <w:rsid w:val="00BF6300"/>
    <w:rsid w:val="00C00012"/>
    <w:rsid w:val="00C03AE3"/>
    <w:rsid w:val="00C078AA"/>
    <w:rsid w:val="00C1070F"/>
    <w:rsid w:val="00C1272F"/>
    <w:rsid w:val="00C1526C"/>
    <w:rsid w:val="00C17038"/>
    <w:rsid w:val="00C264E8"/>
    <w:rsid w:val="00C377DB"/>
    <w:rsid w:val="00C37C27"/>
    <w:rsid w:val="00C5155E"/>
    <w:rsid w:val="00C5297D"/>
    <w:rsid w:val="00C52FC5"/>
    <w:rsid w:val="00C5547C"/>
    <w:rsid w:val="00C63064"/>
    <w:rsid w:val="00C634E8"/>
    <w:rsid w:val="00C650C3"/>
    <w:rsid w:val="00C65158"/>
    <w:rsid w:val="00C66267"/>
    <w:rsid w:val="00C67540"/>
    <w:rsid w:val="00C70D0C"/>
    <w:rsid w:val="00C72055"/>
    <w:rsid w:val="00C816FB"/>
    <w:rsid w:val="00C8685F"/>
    <w:rsid w:val="00C92AB4"/>
    <w:rsid w:val="00C92D52"/>
    <w:rsid w:val="00CA24F3"/>
    <w:rsid w:val="00CA3CFC"/>
    <w:rsid w:val="00CA4C6A"/>
    <w:rsid w:val="00CA4E81"/>
    <w:rsid w:val="00CA54E4"/>
    <w:rsid w:val="00CA74D9"/>
    <w:rsid w:val="00CB5EA1"/>
    <w:rsid w:val="00CC1EDE"/>
    <w:rsid w:val="00CC50EE"/>
    <w:rsid w:val="00CC5377"/>
    <w:rsid w:val="00CD2739"/>
    <w:rsid w:val="00CD3E75"/>
    <w:rsid w:val="00CD65D7"/>
    <w:rsid w:val="00CE2BF6"/>
    <w:rsid w:val="00CE32CD"/>
    <w:rsid w:val="00CE6359"/>
    <w:rsid w:val="00CF13E3"/>
    <w:rsid w:val="00CF157C"/>
    <w:rsid w:val="00CF173F"/>
    <w:rsid w:val="00CF27DE"/>
    <w:rsid w:val="00CF666B"/>
    <w:rsid w:val="00D04164"/>
    <w:rsid w:val="00D065D2"/>
    <w:rsid w:val="00D23243"/>
    <w:rsid w:val="00D2562A"/>
    <w:rsid w:val="00D25ACF"/>
    <w:rsid w:val="00D3052E"/>
    <w:rsid w:val="00D3374C"/>
    <w:rsid w:val="00D420EB"/>
    <w:rsid w:val="00D47177"/>
    <w:rsid w:val="00D517A3"/>
    <w:rsid w:val="00D55BA2"/>
    <w:rsid w:val="00D63E9C"/>
    <w:rsid w:val="00D664F9"/>
    <w:rsid w:val="00D66E2E"/>
    <w:rsid w:val="00D77B2E"/>
    <w:rsid w:val="00D80E23"/>
    <w:rsid w:val="00D86855"/>
    <w:rsid w:val="00D91680"/>
    <w:rsid w:val="00D927D4"/>
    <w:rsid w:val="00D95066"/>
    <w:rsid w:val="00D95C5D"/>
    <w:rsid w:val="00DA217A"/>
    <w:rsid w:val="00DA2FB5"/>
    <w:rsid w:val="00DA6760"/>
    <w:rsid w:val="00DB3E90"/>
    <w:rsid w:val="00DB6C4C"/>
    <w:rsid w:val="00DB7FE2"/>
    <w:rsid w:val="00DC4157"/>
    <w:rsid w:val="00DC5B9F"/>
    <w:rsid w:val="00DC681D"/>
    <w:rsid w:val="00DD1418"/>
    <w:rsid w:val="00DD19DB"/>
    <w:rsid w:val="00DD425F"/>
    <w:rsid w:val="00DD56DF"/>
    <w:rsid w:val="00DD6E17"/>
    <w:rsid w:val="00DE1884"/>
    <w:rsid w:val="00DF2338"/>
    <w:rsid w:val="00DF2ECC"/>
    <w:rsid w:val="00DF6598"/>
    <w:rsid w:val="00DF71F1"/>
    <w:rsid w:val="00DF7654"/>
    <w:rsid w:val="00E06426"/>
    <w:rsid w:val="00E105C8"/>
    <w:rsid w:val="00E13197"/>
    <w:rsid w:val="00E17F53"/>
    <w:rsid w:val="00E22143"/>
    <w:rsid w:val="00E235FA"/>
    <w:rsid w:val="00E32E5D"/>
    <w:rsid w:val="00E40055"/>
    <w:rsid w:val="00E507BA"/>
    <w:rsid w:val="00E5433A"/>
    <w:rsid w:val="00E60C32"/>
    <w:rsid w:val="00E62E6B"/>
    <w:rsid w:val="00E656C4"/>
    <w:rsid w:val="00E664F4"/>
    <w:rsid w:val="00E676B5"/>
    <w:rsid w:val="00E67DDE"/>
    <w:rsid w:val="00E73F93"/>
    <w:rsid w:val="00E86895"/>
    <w:rsid w:val="00E94294"/>
    <w:rsid w:val="00E94F73"/>
    <w:rsid w:val="00EA0A5F"/>
    <w:rsid w:val="00EA65B9"/>
    <w:rsid w:val="00EA7CBB"/>
    <w:rsid w:val="00EC6194"/>
    <w:rsid w:val="00ED0A00"/>
    <w:rsid w:val="00ED0DF4"/>
    <w:rsid w:val="00ED6706"/>
    <w:rsid w:val="00ED7948"/>
    <w:rsid w:val="00ED7E89"/>
    <w:rsid w:val="00EF2CD7"/>
    <w:rsid w:val="00EF5752"/>
    <w:rsid w:val="00F005E4"/>
    <w:rsid w:val="00F00AB1"/>
    <w:rsid w:val="00F01F4D"/>
    <w:rsid w:val="00F029D2"/>
    <w:rsid w:val="00F11EFD"/>
    <w:rsid w:val="00F12084"/>
    <w:rsid w:val="00F13195"/>
    <w:rsid w:val="00F17E5D"/>
    <w:rsid w:val="00F205A0"/>
    <w:rsid w:val="00F20C84"/>
    <w:rsid w:val="00F23385"/>
    <w:rsid w:val="00F23943"/>
    <w:rsid w:val="00F27FC4"/>
    <w:rsid w:val="00F310ED"/>
    <w:rsid w:val="00F31108"/>
    <w:rsid w:val="00F31E7E"/>
    <w:rsid w:val="00F347E7"/>
    <w:rsid w:val="00F37B41"/>
    <w:rsid w:val="00F41867"/>
    <w:rsid w:val="00F45B45"/>
    <w:rsid w:val="00F57530"/>
    <w:rsid w:val="00F64CBE"/>
    <w:rsid w:val="00F679FF"/>
    <w:rsid w:val="00F71F96"/>
    <w:rsid w:val="00F840E0"/>
    <w:rsid w:val="00F84103"/>
    <w:rsid w:val="00F8431C"/>
    <w:rsid w:val="00F86C68"/>
    <w:rsid w:val="00F86E0D"/>
    <w:rsid w:val="00F91353"/>
    <w:rsid w:val="00FA1D61"/>
    <w:rsid w:val="00FA306D"/>
    <w:rsid w:val="00FA5139"/>
    <w:rsid w:val="00FB2EB6"/>
    <w:rsid w:val="00FC115C"/>
    <w:rsid w:val="00FD0420"/>
    <w:rsid w:val="00FD358D"/>
    <w:rsid w:val="00FD587B"/>
    <w:rsid w:val="00FE1F30"/>
    <w:rsid w:val="00FE4C5A"/>
    <w:rsid w:val="00FE7F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481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547C"/>
    <w:pPr>
      <w:spacing w:line="360" w:lineRule="auto"/>
      <w:jc w:val="both"/>
    </w:pPr>
    <w:rPr>
      <w:rFonts w:ascii="Times New Roman" w:hAnsi="Times New Roman"/>
      <w:kern w:val="0"/>
      <w:sz w:val="24"/>
      <w:lang w:val="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06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061B"/>
    <w:rPr>
      <w:kern w:val="0"/>
      <w14:ligatures w14:val="none"/>
    </w:rPr>
  </w:style>
  <w:style w:type="paragraph" w:styleId="Footer">
    <w:name w:val="footer"/>
    <w:basedOn w:val="Normal"/>
    <w:link w:val="FooterChar"/>
    <w:uiPriority w:val="99"/>
    <w:unhideWhenUsed/>
    <w:rsid w:val="005006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061B"/>
    <w:rPr>
      <w:kern w:val="0"/>
      <w14:ligatures w14:val="none"/>
    </w:rPr>
  </w:style>
  <w:style w:type="paragraph" w:styleId="ListParagraph">
    <w:name w:val="List Paragraph"/>
    <w:basedOn w:val="Normal"/>
    <w:uiPriority w:val="34"/>
    <w:qFormat/>
    <w:rsid w:val="000B747D"/>
    <w:pPr>
      <w:ind w:left="720"/>
      <w:contextualSpacing/>
    </w:pPr>
  </w:style>
  <w:style w:type="paragraph" w:customStyle="1" w:styleId="Default">
    <w:name w:val="Default"/>
    <w:rsid w:val="00392035"/>
    <w:pPr>
      <w:autoSpaceDE w:val="0"/>
      <w:autoSpaceDN w:val="0"/>
      <w:adjustRightInd w:val="0"/>
      <w:spacing w:after="0" w:line="240" w:lineRule="auto"/>
    </w:pPr>
    <w:rPr>
      <w:rFonts w:ascii="Times New Roman" w:hAnsi="Times New Roman" w:cs="Times New Roman"/>
      <w:color w:val="000000"/>
      <w:kern w:val="0"/>
      <w:sz w:val="24"/>
      <w:szCs w:val="24"/>
      <w:lang w:val="en-ZW"/>
      <w14:ligatures w14:val="none"/>
    </w:rPr>
  </w:style>
  <w:style w:type="paragraph" w:styleId="BodyText">
    <w:name w:val="Body Text"/>
    <w:basedOn w:val="Normal"/>
    <w:link w:val="BodyTextChar"/>
    <w:uiPriority w:val="1"/>
    <w:qFormat/>
    <w:rsid w:val="00DD19DB"/>
    <w:pPr>
      <w:widowControl w:val="0"/>
      <w:autoSpaceDE w:val="0"/>
      <w:autoSpaceDN w:val="0"/>
      <w:spacing w:after="0" w:line="240" w:lineRule="auto"/>
    </w:pPr>
    <w:rPr>
      <w:rFonts w:eastAsia="Times New Roman" w:cs="Times New Roman"/>
      <w:szCs w:val="24"/>
      <w:lang w:val="en-US"/>
    </w:rPr>
  </w:style>
  <w:style w:type="character" w:customStyle="1" w:styleId="BodyTextChar">
    <w:name w:val="Body Text Char"/>
    <w:basedOn w:val="DefaultParagraphFont"/>
    <w:link w:val="BodyText"/>
    <w:uiPriority w:val="1"/>
    <w:rsid w:val="00DD19DB"/>
    <w:rPr>
      <w:rFonts w:ascii="Times New Roman" w:eastAsia="Times New Roman" w:hAnsi="Times New Roman" w:cs="Times New Roman"/>
      <w:kern w:val="0"/>
      <w:sz w:val="24"/>
      <w:szCs w:val="24"/>
      <w14:ligatures w14:val="none"/>
    </w:rPr>
  </w:style>
  <w:style w:type="paragraph" w:styleId="FootnoteText">
    <w:name w:val="footnote text"/>
    <w:basedOn w:val="Normal"/>
    <w:link w:val="FootnoteTextChar"/>
    <w:uiPriority w:val="99"/>
    <w:unhideWhenUsed/>
    <w:rsid w:val="0021406C"/>
    <w:pPr>
      <w:spacing w:after="0" w:line="240" w:lineRule="auto"/>
    </w:pPr>
    <w:rPr>
      <w:sz w:val="20"/>
      <w:szCs w:val="20"/>
      <w:lang w:val="en-US"/>
    </w:rPr>
  </w:style>
  <w:style w:type="character" w:customStyle="1" w:styleId="FootnoteTextChar">
    <w:name w:val="Footnote Text Char"/>
    <w:basedOn w:val="DefaultParagraphFont"/>
    <w:link w:val="FootnoteText"/>
    <w:uiPriority w:val="99"/>
    <w:rsid w:val="0021406C"/>
    <w:rPr>
      <w:kern w:val="0"/>
      <w:sz w:val="20"/>
      <w:szCs w:val="20"/>
      <w14:ligatures w14:val="none"/>
    </w:rPr>
  </w:style>
  <w:style w:type="character" w:styleId="FootnoteReference">
    <w:name w:val="footnote reference"/>
    <w:basedOn w:val="DefaultParagraphFont"/>
    <w:uiPriority w:val="99"/>
    <w:semiHidden/>
    <w:unhideWhenUsed/>
    <w:rsid w:val="0021406C"/>
    <w:rPr>
      <w:vertAlign w:val="superscript"/>
    </w:rPr>
  </w:style>
  <w:style w:type="character" w:styleId="CommentReference">
    <w:name w:val="annotation reference"/>
    <w:basedOn w:val="DefaultParagraphFont"/>
    <w:uiPriority w:val="99"/>
    <w:semiHidden/>
    <w:unhideWhenUsed/>
    <w:rsid w:val="00CF173F"/>
    <w:rPr>
      <w:sz w:val="16"/>
      <w:szCs w:val="16"/>
    </w:rPr>
  </w:style>
  <w:style w:type="paragraph" w:styleId="CommentText">
    <w:name w:val="annotation text"/>
    <w:basedOn w:val="Normal"/>
    <w:link w:val="CommentTextChar"/>
    <w:uiPriority w:val="99"/>
    <w:unhideWhenUsed/>
    <w:rsid w:val="00CF173F"/>
    <w:pPr>
      <w:spacing w:line="240" w:lineRule="auto"/>
    </w:pPr>
    <w:rPr>
      <w:sz w:val="20"/>
      <w:szCs w:val="20"/>
    </w:rPr>
  </w:style>
  <w:style w:type="character" w:customStyle="1" w:styleId="CommentTextChar">
    <w:name w:val="Comment Text Char"/>
    <w:basedOn w:val="DefaultParagraphFont"/>
    <w:link w:val="CommentText"/>
    <w:uiPriority w:val="99"/>
    <w:rsid w:val="00CF173F"/>
    <w:rPr>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173F"/>
    <w:rPr>
      <w:b/>
      <w:bCs/>
    </w:rPr>
  </w:style>
  <w:style w:type="character" w:customStyle="1" w:styleId="CommentSubjectChar">
    <w:name w:val="Comment Subject Char"/>
    <w:basedOn w:val="CommentTextChar"/>
    <w:link w:val="CommentSubject"/>
    <w:uiPriority w:val="99"/>
    <w:semiHidden/>
    <w:rsid w:val="00CF173F"/>
    <w:rPr>
      <w:b/>
      <w:bCs/>
      <w:kern w:val="0"/>
      <w:sz w:val="20"/>
      <w:szCs w:val="20"/>
      <w:lang w:val="en-GB"/>
      <w14:ligatures w14:val="none"/>
    </w:rPr>
  </w:style>
  <w:style w:type="paragraph" w:styleId="BalloonText">
    <w:name w:val="Balloon Text"/>
    <w:basedOn w:val="Normal"/>
    <w:link w:val="BalloonTextChar"/>
    <w:uiPriority w:val="99"/>
    <w:semiHidden/>
    <w:unhideWhenUsed/>
    <w:rsid w:val="00CF173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173F"/>
    <w:rPr>
      <w:rFonts w:ascii="Segoe UI" w:hAnsi="Segoe UI" w:cs="Segoe UI"/>
      <w:kern w:val="0"/>
      <w:sz w:val="18"/>
      <w:szCs w:val="18"/>
      <w:lang w:val="en-GB"/>
      <w14:ligatures w14:val="none"/>
    </w:rPr>
  </w:style>
  <w:style w:type="paragraph" w:styleId="Revision">
    <w:name w:val="Revision"/>
    <w:hidden/>
    <w:uiPriority w:val="99"/>
    <w:semiHidden/>
    <w:rsid w:val="00E507BA"/>
    <w:pPr>
      <w:spacing w:after="0" w:line="240" w:lineRule="auto"/>
    </w:pPr>
    <w:rPr>
      <w:kern w:val="0"/>
      <w:lang w:val="en-GB"/>
      <w14:ligatures w14:val="none"/>
    </w:rPr>
  </w:style>
  <w:style w:type="paragraph" w:styleId="NormalWeb">
    <w:name w:val="Normal (Web)"/>
    <w:basedOn w:val="Normal"/>
    <w:uiPriority w:val="99"/>
    <w:semiHidden/>
    <w:unhideWhenUsed/>
    <w:rsid w:val="000C75CB"/>
    <w:pPr>
      <w:spacing w:before="100" w:beforeAutospacing="1" w:after="100" w:afterAutospacing="1" w:line="240" w:lineRule="auto"/>
      <w:jc w:val="left"/>
    </w:pPr>
    <w:rPr>
      <w:rFonts w:eastAsia="Times New Roman" w:cs="Times New Roman"/>
      <w:szCs w:val="24"/>
      <w:lang w:val="en-ZW" w:eastAsia="en-ZW"/>
    </w:rPr>
  </w:style>
  <w:style w:type="character" w:styleId="Emphasis">
    <w:name w:val="Emphasis"/>
    <w:basedOn w:val="DefaultParagraphFont"/>
    <w:uiPriority w:val="20"/>
    <w:qFormat/>
    <w:rsid w:val="000C75CB"/>
    <w:rPr>
      <w:i/>
      <w:iCs/>
    </w:rPr>
  </w:style>
  <w:style w:type="character" w:styleId="Hyperlink">
    <w:name w:val="Hyperlink"/>
    <w:basedOn w:val="DefaultParagraphFont"/>
    <w:uiPriority w:val="99"/>
    <w:unhideWhenUsed/>
    <w:rsid w:val="00785DE1"/>
    <w:rPr>
      <w:color w:val="0563C1" w:themeColor="hyperlink"/>
      <w:u w:val="single"/>
    </w:rPr>
  </w:style>
  <w:style w:type="character" w:customStyle="1" w:styleId="UnresolvedMention">
    <w:name w:val="Unresolved Mention"/>
    <w:basedOn w:val="DefaultParagraphFont"/>
    <w:uiPriority w:val="99"/>
    <w:semiHidden/>
    <w:unhideWhenUsed/>
    <w:rsid w:val="00785DE1"/>
    <w:rPr>
      <w:color w:val="605E5C"/>
      <w:shd w:val="clear" w:color="auto" w:fill="E1DFDD"/>
    </w:rPr>
  </w:style>
  <w:style w:type="paragraph" w:styleId="NoSpacing">
    <w:name w:val="No Spacing"/>
    <w:uiPriority w:val="1"/>
    <w:qFormat/>
    <w:rsid w:val="009864AB"/>
    <w:pPr>
      <w:spacing w:after="0" w:line="240" w:lineRule="auto"/>
    </w:pPr>
    <w:rPr>
      <w:kern w:val="0"/>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547C"/>
    <w:pPr>
      <w:spacing w:line="360" w:lineRule="auto"/>
      <w:jc w:val="both"/>
    </w:pPr>
    <w:rPr>
      <w:rFonts w:ascii="Times New Roman" w:hAnsi="Times New Roman"/>
      <w:kern w:val="0"/>
      <w:sz w:val="24"/>
      <w:lang w:val="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06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061B"/>
    <w:rPr>
      <w:kern w:val="0"/>
      <w14:ligatures w14:val="none"/>
    </w:rPr>
  </w:style>
  <w:style w:type="paragraph" w:styleId="Footer">
    <w:name w:val="footer"/>
    <w:basedOn w:val="Normal"/>
    <w:link w:val="FooterChar"/>
    <w:uiPriority w:val="99"/>
    <w:unhideWhenUsed/>
    <w:rsid w:val="005006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061B"/>
    <w:rPr>
      <w:kern w:val="0"/>
      <w14:ligatures w14:val="none"/>
    </w:rPr>
  </w:style>
  <w:style w:type="paragraph" w:styleId="ListParagraph">
    <w:name w:val="List Paragraph"/>
    <w:basedOn w:val="Normal"/>
    <w:uiPriority w:val="34"/>
    <w:qFormat/>
    <w:rsid w:val="000B747D"/>
    <w:pPr>
      <w:ind w:left="720"/>
      <w:contextualSpacing/>
    </w:pPr>
  </w:style>
  <w:style w:type="paragraph" w:customStyle="1" w:styleId="Default">
    <w:name w:val="Default"/>
    <w:rsid w:val="00392035"/>
    <w:pPr>
      <w:autoSpaceDE w:val="0"/>
      <w:autoSpaceDN w:val="0"/>
      <w:adjustRightInd w:val="0"/>
      <w:spacing w:after="0" w:line="240" w:lineRule="auto"/>
    </w:pPr>
    <w:rPr>
      <w:rFonts w:ascii="Times New Roman" w:hAnsi="Times New Roman" w:cs="Times New Roman"/>
      <w:color w:val="000000"/>
      <w:kern w:val="0"/>
      <w:sz w:val="24"/>
      <w:szCs w:val="24"/>
      <w:lang w:val="en-ZW"/>
      <w14:ligatures w14:val="none"/>
    </w:rPr>
  </w:style>
  <w:style w:type="paragraph" w:styleId="BodyText">
    <w:name w:val="Body Text"/>
    <w:basedOn w:val="Normal"/>
    <w:link w:val="BodyTextChar"/>
    <w:uiPriority w:val="1"/>
    <w:qFormat/>
    <w:rsid w:val="00DD19DB"/>
    <w:pPr>
      <w:widowControl w:val="0"/>
      <w:autoSpaceDE w:val="0"/>
      <w:autoSpaceDN w:val="0"/>
      <w:spacing w:after="0" w:line="240" w:lineRule="auto"/>
    </w:pPr>
    <w:rPr>
      <w:rFonts w:eastAsia="Times New Roman" w:cs="Times New Roman"/>
      <w:szCs w:val="24"/>
      <w:lang w:val="en-US"/>
    </w:rPr>
  </w:style>
  <w:style w:type="character" w:customStyle="1" w:styleId="BodyTextChar">
    <w:name w:val="Body Text Char"/>
    <w:basedOn w:val="DefaultParagraphFont"/>
    <w:link w:val="BodyText"/>
    <w:uiPriority w:val="1"/>
    <w:rsid w:val="00DD19DB"/>
    <w:rPr>
      <w:rFonts w:ascii="Times New Roman" w:eastAsia="Times New Roman" w:hAnsi="Times New Roman" w:cs="Times New Roman"/>
      <w:kern w:val="0"/>
      <w:sz w:val="24"/>
      <w:szCs w:val="24"/>
      <w14:ligatures w14:val="none"/>
    </w:rPr>
  </w:style>
  <w:style w:type="paragraph" w:styleId="FootnoteText">
    <w:name w:val="footnote text"/>
    <w:basedOn w:val="Normal"/>
    <w:link w:val="FootnoteTextChar"/>
    <w:uiPriority w:val="99"/>
    <w:unhideWhenUsed/>
    <w:rsid w:val="0021406C"/>
    <w:pPr>
      <w:spacing w:after="0" w:line="240" w:lineRule="auto"/>
    </w:pPr>
    <w:rPr>
      <w:sz w:val="20"/>
      <w:szCs w:val="20"/>
      <w:lang w:val="en-US"/>
    </w:rPr>
  </w:style>
  <w:style w:type="character" w:customStyle="1" w:styleId="FootnoteTextChar">
    <w:name w:val="Footnote Text Char"/>
    <w:basedOn w:val="DefaultParagraphFont"/>
    <w:link w:val="FootnoteText"/>
    <w:uiPriority w:val="99"/>
    <w:rsid w:val="0021406C"/>
    <w:rPr>
      <w:kern w:val="0"/>
      <w:sz w:val="20"/>
      <w:szCs w:val="20"/>
      <w14:ligatures w14:val="none"/>
    </w:rPr>
  </w:style>
  <w:style w:type="character" w:styleId="FootnoteReference">
    <w:name w:val="footnote reference"/>
    <w:basedOn w:val="DefaultParagraphFont"/>
    <w:uiPriority w:val="99"/>
    <w:semiHidden/>
    <w:unhideWhenUsed/>
    <w:rsid w:val="0021406C"/>
    <w:rPr>
      <w:vertAlign w:val="superscript"/>
    </w:rPr>
  </w:style>
  <w:style w:type="character" w:styleId="CommentReference">
    <w:name w:val="annotation reference"/>
    <w:basedOn w:val="DefaultParagraphFont"/>
    <w:uiPriority w:val="99"/>
    <w:semiHidden/>
    <w:unhideWhenUsed/>
    <w:rsid w:val="00CF173F"/>
    <w:rPr>
      <w:sz w:val="16"/>
      <w:szCs w:val="16"/>
    </w:rPr>
  </w:style>
  <w:style w:type="paragraph" w:styleId="CommentText">
    <w:name w:val="annotation text"/>
    <w:basedOn w:val="Normal"/>
    <w:link w:val="CommentTextChar"/>
    <w:uiPriority w:val="99"/>
    <w:unhideWhenUsed/>
    <w:rsid w:val="00CF173F"/>
    <w:pPr>
      <w:spacing w:line="240" w:lineRule="auto"/>
    </w:pPr>
    <w:rPr>
      <w:sz w:val="20"/>
      <w:szCs w:val="20"/>
    </w:rPr>
  </w:style>
  <w:style w:type="character" w:customStyle="1" w:styleId="CommentTextChar">
    <w:name w:val="Comment Text Char"/>
    <w:basedOn w:val="DefaultParagraphFont"/>
    <w:link w:val="CommentText"/>
    <w:uiPriority w:val="99"/>
    <w:rsid w:val="00CF173F"/>
    <w:rPr>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173F"/>
    <w:rPr>
      <w:b/>
      <w:bCs/>
    </w:rPr>
  </w:style>
  <w:style w:type="character" w:customStyle="1" w:styleId="CommentSubjectChar">
    <w:name w:val="Comment Subject Char"/>
    <w:basedOn w:val="CommentTextChar"/>
    <w:link w:val="CommentSubject"/>
    <w:uiPriority w:val="99"/>
    <w:semiHidden/>
    <w:rsid w:val="00CF173F"/>
    <w:rPr>
      <w:b/>
      <w:bCs/>
      <w:kern w:val="0"/>
      <w:sz w:val="20"/>
      <w:szCs w:val="20"/>
      <w:lang w:val="en-GB"/>
      <w14:ligatures w14:val="none"/>
    </w:rPr>
  </w:style>
  <w:style w:type="paragraph" w:styleId="BalloonText">
    <w:name w:val="Balloon Text"/>
    <w:basedOn w:val="Normal"/>
    <w:link w:val="BalloonTextChar"/>
    <w:uiPriority w:val="99"/>
    <w:semiHidden/>
    <w:unhideWhenUsed/>
    <w:rsid w:val="00CF173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173F"/>
    <w:rPr>
      <w:rFonts w:ascii="Segoe UI" w:hAnsi="Segoe UI" w:cs="Segoe UI"/>
      <w:kern w:val="0"/>
      <w:sz w:val="18"/>
      <w:szCs w:val="18"/>
      <w:lang w:val="en-GB"/>
      <w14:ligatures w14:val="none"/>
    </w:rPr>
  </w:style>
  <w:style w:type="paragraph" w:styleId="Revision">
    <w:name w:val="Revision"/>
    <w:hidden/>
    <w:uiPriority w:val="99"/>
    <w:semiHidden/>
    <w:rsid w:val="00E507BA"/>
    <w:pPr>
      <w:spacing w:after="0" w:line="240" w:lineRule="auto"/>
    </w:pPr>
    <w:rPr>
      <w:kern w:val="0"/>
      <w:lang w:val="en-GB"/>
      <w14:ligatures w14:val="none"/>
    </w:rPr>
  </w:style>
  <w:style w:type="paragraph" w:styleId="NormalWeb">
    <w:name w:val="Normal (Web)"/>
    <w:basedOn w:val="Normal"/>
    <w:uiPriority w:val="99"/>
    <w:semiHidden/>
    <w:unhideWhenUsed/>
    <w:rsid w:val="000C75CB"/>
    <w:pPr>
      <w:spacing w:before="100" w:beforeAutospacing="1" w:after="100" w:afterAutospacing="1" w:line="240" w:lineRule="auto"/>
      <w:jc w:val="left"/>
    </w:pPr>
    <w:rPr>
      <w:rFonts w:eastAsia="Times New Roman" w:cs="Times New Roman"/>
      <w:szCs w:val="24"/>
      <w:lang w:val="en-ZW" w:eastAsia="en-ZW"/>
    </w:rPr>
  </w:style>
  <w:style w:type="character" w:styleId="Emphasis">
    <w:name w:val="Emphasis"/>
    <w:basedOn w:val="DefaultParagraphFont"/>
    <w:uiPriority w:val="20"/>
    <w:qFormat/>
    <w:rsid w:val="000C75CB"/>
    <w:rPr>
      <w:i/>
      <w:iCs/>
    </w:rPr>
  </w:style>
  <w:style w:type="character" w:styleId="Hyperlink">
    <w:name w:val="Hyperlink"/>
    <w:basedOn w:val="DefaultParagraphFont"/>
    <w:uiPriority w:val="99"/>
    <w:unhideWhenUsed/>
    <w:rsid w:val="00785DE1"/>
    <w:rPr>
      <w:color w:val="0563C1" w:themeColor="hyperlink"/>
      <w:u w:val="single"/>
    </w:rPr>
  </w:style>
  <w:style w:type="character" w:customStyle="1" w:styleId="UnresolvedMention">
    <w:name w:val="Unresolved Mention"/>
    <w:basedOn w:val="DefaultParagraphFont"/>
    <w:uiPriority w:val="99"/>
    <w:semiHidden/>
    <w:unhideWhenUsed/>
    <w:rsid w:val="00785DE1"/>
    <w:rPr>
      <w:color w:val="605E5C"/>
      <w:shd w:val="clear" w:color="auto" w:fill="E1DFDD"/>
    </w:rPr>
  </w:style>
  <w:style w:type="paragraph" w:styleId="NoSpacing">
    <w:name w:val="No Spacing"/>
    <w:uiPriority w:val="1"/>
    <w:qFormat/>
    <w:rsid w:val="009864AB"/>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companies.govmu.org/cbrd/wp-content/uploads/2025/11/Companies-Act-200101-09-2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5D16E8-49B5-4927-B401-069B0FEB42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10176</Words>
  <Characters>58004</Characters>
  <Application>Microsoft Office Word</Application>
  <DocSecurity>0</DocSecurity>
  <Lines>483</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Faith Mushure</dc:creator>
  <cp:lastModifiedBy>JSC</cp:lastModifiedBy>
  <cp:revision>2</cp:revision>
  <cp:lastPrinted>2026-02-27T12:42:00Z</cp:lastPrinted>
  <dcterms:created xsi:type="dcterms:W3CDTF">2026-02-27T13:41:00Z</dcterms:created>
  <dcterms:modified xsi:type="dcterms:W3CDTF">2026-02-27T13:41:00Z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8d3b3ed7-2aa1-4f88-a08e-f3681ab17c77</vt:lpwstr>
  </property>
</Properties>
</file>