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9CB" w:rsidRPr="00A437EC" w:rsidRDefault="00DF5ADD">
      <w:pPr>
        <w:rPr>
          <w:b/>
        </w:rPr>
      </w:pPr>
      <w:r w:rsidRPr="00A437EC">
        <w:rPr>
          <w:b/>
        </w:rPr>
        <w:t>IN THE LABOUR COURT OF ZIMBABWE</w:t>
      </w:r>
      <w:r w:rsidRPr="00A437EC">
        <w:rPr>
          <w:b/>
        </w:rPr>
        <w:tab/>
      </w:r>
      <w:r w:rsidRPr="00A437EC">
        <w:rPr>
          <w:b/>
        </w:rPr>
        <w:tab/>
      </w:r>
      <w:r w:rsidRPr="00A437EC">
        <w:rPr>
          <w:b/>
        </w:rPr>
        <w:tab/>
      </w:r>
      <w:r w:rsidRPr="00A437EC">
        <w:rPr>
          <w:b/>
        </w:rPr>
        <w:tab/>
        <w:t>JUDGMENT NO. LC/H//23</w:t>
      </w:r>
    </w:p>
    <w:p w:rsidR="00DF5ADD" w:rsidRPr="00A437EC" w:rsidRDefault="00DF5ADD">
      <w:pPr>
        <w:rPr>
          <w:b/>
        </w:rPr>
      </w:pPr>
      <w:r w:rsidRPr="00A437EC">
        <w:rPr>
          <w:b/>
        </w:rPr>
        <w:t>HELD AT HARARE 16 March 2023</w:t>
      </w:r>
      <w:r w:rsidRPr="00A437EC">
        <w:rPr>
          <w:b/>
        </w:rPr>
        <w:tab/>
      </w:r>
      <w:r w:rsidRPr="00A437EC">
        <w:rPr>
          <w:b/>
        </w:rPr>
        <w:tab/>
      </w:r>
      <w:r w:rsidRPr="00A437EC">
        <w:rPr>
          <w:b/>
        </w:rPr>
        <w:tab/>
      </w:r>
      <w:r w:rsidRPr="00A437EC">
        <w:rPr>
          <w:b/>
        </w:rPr>
        <w:tab/>
        <w:t>CASE NO. LC/H/525/22</w:t>
      </w:r>
    </w:p>
    <w:p w:rsidR="00DF5ADD" w:rsidRPr="00A437EC" w:rsidRDefault="00DF5ADD">
      <w:pPr>
        <w:rPr>
          <w:b/>
        </w:rPr>
      </w:pPr>
      <w:r w:rsidRPr="00A437EC">
        <w:rPr>
          <w:b/>
        </w:rPr>
        <w:t>AND</w:t>
      </w:r>
    </w:p>
    <w:p w:rsidR="00DF5ADD" w:rsidRPr="00A437EC" w:rsidRDefault="00DF5ADD">
      <w:pPr>
        <w:rPr>
          <w:b/>
        </w:rPr>
      </w:pPr>
    </w:p>
    <w:p w:rsidR="00DF5ADD" w:rsidRPr="00A437EC" w:rsidRDefault="00DF5ADD">
      <w:pPr>
        <w:rPr>
          <w:b/>
        </w:rPr>
      </w:pPr>
      <w:r w:rsidRPr="00A437EC">
        <w:rPr>
          <w:b/>
        </w:rPr>
        <w:t>IN THE MATTER BETWEEN:-</w:t>
      </w:r>
    </w:p>
    <w:p w:rsidR="00DF5ADD" w:rsidRPr="00A437EC" w:rsidRDefault="00DF5ADD">
      <w:pPr>
        <w:rPr>
          <w:b/>
        </w:rPr>
      </w:pPr>
      <w:r w:rsidRPr="00A437EC">
        <w:rPr>
          <w:b/>
        </w:rPr>
        <w:t>ZIMBABWE REVENUE AUTHORITY</w:t>
      </w:r>
      <w:r w:rsidRPr="00A437EC">
        <w:rPr>
          <w:b/>
        </w:rPr>
        <w:tab/>
      </w:r>
      <w:r w:rsidRPr="00A437EC">
        <w:rPr>
          <w:b/>
        </w:rPr>
        <w:tab/>
      </w:r>
      <w:r w:rsidRPr="00A437EC">
        <w:rPr>
          <w:b/>
        </w:rPr>
        <w:tab/>
      </w:r>
      <w:r w:rsidRPr="00A437EC">
        <w:rPr>
          <w:b/>
        </w:rPr>
        <w:tab/>
        <w:t>APPELLANT</w:t>
      </w:r>
    </w:p>
    <w:p w:rsidR="00DF5ADD" w:rsidRPr="00A437EC" w:rsidRDefault="00DF5ADD">
      <w:pPr>
        <w:rPr>
          <w:b/>
        </w:rPr>
      </w:pPr>
      <w:r w:rsidRPr="00A437EC">
        <w:rPr>
          <w:b/>
        </w:rPr>
        <w:t>AND</w:t>
      </w:r>
    </w:p>
    <w:p w:rsidR="00DF5ADD" w:rsidRPr="00A437EC" w:rsidRDefault="00DF5ADD">
      <w:pPr>
        <w:rPr>
          <w:b/>
        </w:rPr>
      </w:pPr>
      <w:r w:rsidRPr="00A437EC">
        <w:rPr>
          <w:b/>
        </w:rPr>
        <w:t>ABIGAIL MUKAHIWA</w:t>
      </w:r>
      <w:r w:rsidRPr="00A437EC">
        <w:rPr>
          <w:b/>
        </w:rPr>
        <w:tab/>
      </w:r>
      <w:r w:rsidRPr="00A437EC">
        <w:rPr>
          <w:b/>
        </w:rPr>
        <w:tab/>
      </w:r>
      <w:r w:rsidRPr="00A437EC">
        <w:rPr>
          <w:b/>
        </w:rPr>
        <w:tab/>
      </w:r>
      <w:r w:rsidRPr="00A437EC">
        <w:rPr>
          <w:b/>
        </w:rPr>
        <w:tab/>
      </w:r>
      <w:r w:rsidRPr="00A437EC">
        <w:rPr>
          <w:b/>
        </w:rPr>
        <w:tab/>
      </w:r>
      <w:r w:rsidRPr="00A437EC">
        <w:rPr>
          <w:b/>
        </w:rPr>
        <w:tab/>
        <w:t>RESPONDENT</w:t>
      </w:r>
    </w:p>
    <w:p w:rsidR="00DF5ADD" w:rsidRDefault="00DF5ADD"/>
    <w:p w:rsidR="00DF5ADD" w:rsidRDefault="00DF5ADD">
      <w:r>
        <w:t xml:space="preserve">Before </w:t>
      </w:r>
      <w:proofErr w:type="spellStart"/>
      <w:r>
        <w:t>Honourable</w:t>
      </w:r>
      <w:proofErr w:type="spellEnd"/>
      <w:r>
        <w:t xml:space="preserve"> Mr. Justice L.M. </w:t>
      </w:r>
      <w:proofErr w:type="spellStart"/>
      <w:r>
        <w:t>Murasi</w:t>
      </w:r>
      <w:proofErr w:type="spellEnd"/>
    </w:p>
    <w:p w:rsidR="00DF5ADD" w:rsidRDefault="00DF5ADD"/>
    <w:p w:rsidR="00DF5ADD" w:rsidRPr="00A437EC" w:rsidRDefault="00DF5ADD">
      <w:pPr>
        <w:rPr>
          <w:b/>
        </w:rPr>
      </w:pPr>
      <w:r w:rsidRPr="00A437EC">
        <w:rPr>
          <w:b/>
        </w:rPr>
        <w:t>For Appellant</w:t>
      </w:r>
      <w:r w:rsidRPr="00A437EC">
        <w:rPr>
          <w:b/>
        </w:rPr>
        <w:tab/>
      </w:r>
      <w:r w:rsidRPr="00A437EC">
        <w:rPr>
          <w:b/>
        </w:rPr>
        <w:tab/>
      </w:r>
      <w:r w:rsidRPr="00A437EC">
        <w:rPr>
          <w:b/>
        </w:rPr>
        <w:tab/>
      </w:r>
      <w:r w:rsidRPr="00A437EC">
        <w:rPr>
          <w:b/>
        </w:rPr>
        <w:tab/>
      </w:r>
      <w:r w:rsidRPr="00A437EC">
        <w:rPr>
          <w:b/>
        </w:rPr>
        <w:tab/>
      </w:r>
      <w:proofErr w:type="spellStart"/>
      <w:r w:rsidRPr="00A437EC">
        <w:rPr>
          <w:b/>
        </w:rPr>
        <w:t>Ms</w:t>
      </w:r>
      <w:proofErr w:type="spellEnd"/>
      <w:r w:rsidRPr="00A437EC">
        <w:rPr>
          <w:b/>
        </w:rPr>
        <w:t xml:space="preserve"> T. </w:t>
      </w:r>
      <w:proofErr w:type="spellStart"/>
      <w:r w:rsidRPr="00A437EC">
        <w:rPr>
          <w:b/>
        </w:rPr>
        <w:t>Tazviwana</w:t>
      </w:r>
      <w:proofErr w:type="spellEnd"/>
    </w:p>
    <w:p w:rsidR="00DF5ADD" w:rsidRPr="00A437EC" w:rsidRDefault="00DF5ADD">
      <w:pPr>
        <w:rPr>
          <w:b/>
        </w:rPr>
      </w:pPr>
      <w:r w:rsidRPr="00A437EC">
        <w:rPr>
          <w:b/>
        </w:rPr>
        <w:t>For Respondent</w:t>
      </w:r>
      <w:r w:rsidRPr="00A437EC">
        <w:rPr>
          <w:b/>
        </w:rPr>
        <w:tab/>
      </w:r>
      <w:r w:rsidRPr="00A437EC">
        <w:rPr>
          <w:b/>
        </w:rPr>
        <w:tab/>
      </w:r>
      <w:r w:rsidRPr="00A437EC">
        <w:rPr>
          <w:b/>
        </w:rPr>
        <w:tab/>
      </w:r>
      <w:r w:rsidRPr="00A437EC">
        <w:rPr>
          <w:b/>
        </w:rPr>
        <w:tab/>
        <w:t xml:space="preserve">Mr. T.J. </w:t>
      </w:r>
      <w:proofErr w:type="spellStart"/>
      <w:r w:rsidRPr="00A437EC">
        <w:rPr>
          <w:b/>
        </w:rPr>
        <w:t>Mafongoya</w:t>
      </w:r>
      <w:proofErr w:type="spellEnd"/>
    </w:p>
    <w:p w:rsidR="00DF5ADD" w:rsidRPr="00A437EC" w:rsidRDefault="00DF5ADD">
      <w:pPr>
        <w:rPr>
          <w:b/>
        </w:rPr>
      </w:pPr>
      <w:r w:rsidRPr="00A437EC">
        <w:rPr>
          <w:b/>
        </w:rPr>
        <w:tab/>
      </w:r>
      <w:r w:rsidRPr="00A437EC">
        <w:rPr>
          <w:b/>
        </w:rPr>
        <w:tab/>
      </w:r>
      <w:r w:rsidRPr="00A437EC">
        <w:rPr>
          <w:b/>
        </w:rPr>
        <w:tab/>
      </w:r>
      <w:r w:rsidRPr="00A437EC">
        <w:rPr>
          <w:b/>
        </w:rPr>
        <w:tab/>
      </w:r>
      <w:r w:rsidRPr="00A437EC">
        <w:rPr>
          <w:b/>
        </w:rPr>
        <w:tab/>
      </w:r>
      <w:r w:rsidRPr="00A437EC">
        <w:rPr>
          <w:b/>
        </w:rPr>
        <w:tab/>
        <w:t xml:space="preserve">With Ms. R.P.V. </w:t>
      </w:r>
      <w:proofErr w:type="spellStart"/>
      <w:r w:rsidRPr="00A437EC">
        <w:rPr>
          <w:b/>
        </w:rPr>
        <w:t>Sibanda</w:t>
      </w:r>
      <w:proofErr w:type="spellEnd"/>
    </w:p>
    <w:p w:rsidR="00DF5ADD" w:rsidRDefault="00DF5ADD"/>
    <w:p w:rsidR="00DF5ADD" w:rsidRPr="00A437EC" w:rsidRDefault="00DF5ADD">
      <w:pPr>
        <w:rPr>
          <w:b/>
        </w:rPr>
      </w:pPr>
      <w:r w:rsidRPr="00A437EC">
        <w:rPr>
          <w:b/>
        </w:rPr>
        <w:t>MURASI J:</w:t>
      </w:r>
    </w:p>
    <w:p w:rsidR="00A437EC" w:rsidRDefault="00A437EC" w:rsidP="00A437EC">
      <w:pPr>
        <w:jc w:val="both"/>
        <w:rPr>
          <w:sz w:val="24"/>
          <w:szCs w:val="24"/>
        </w:rPr>
      </w:pPr>
    </w:p>
    <w:p w:rsidR="00CA6284" w:rsidRPr="00A437EC" w:rsidRDefault="00CA6284" w:rsidP="00A437EC">
      <w:pPr>
        <w:jc w:val="both"/>
        <w:rPr>
          <w:sz w:val="24"/>
          <w:szCs w:val="24"/>
        </w:rPr>
      </w:pPr>
      <w:r w:rsidRPr="00A437EC">
        <w:rPr>
          <w:sz w:val="24"/>
          <w:szCs w:val="24"/>
        </w:rPr>
        <w:t>In a judgment dated 6 January 2023, this Court issued the following Order:</w:t>
      </w:r>
    </w:p>
    <w:p w:rsidR="00CA6284" w:rsidRPr="00A437EC" w:rsidRDefault="00CA6284" w:rsidP="00A437EC">
      <w:pPr>
        <w:jc w:val="both"/>
        <w:rPr>
          <w:sz w:val="24"/>
          <w:szCs w:val="24"/>
        </w:rPr>
      </w:pPr>
      <w:r w:rsidRPr="00A437EC">
        <w:rPr>
          <w:sz w:val="24"/>
          <w:szCs w:val="24"/>
        </w:rPr>
        <w:tab/>
        <w:t>“1. The appeal is hereby allowed.</w:t>
      </w:r>
    </w:p>
    <w:p w:rsidR="00CA6284" w:rsidRPr="00A437EC" w:rsidRDefault="00CA6284" w:rsidP="00A437EC">
      <w:pPr>
        <w:ind w:left="720"/>
        <w:jc w:val="both"/>
        <w:rPr>
          <w:sz w:val="24"/>
          <w:szCs w:val="24"/>
        </w:rPr>
      </w:pPr>
      <w:r w:rsidRPr="00A437EC">
        <w:rPr>
          <w:sz w:val="24"/>
          <w:szCs w:val="24"/>
        </w:rPr>
        <w:t xml:space="preserve"> 2.  The decision of the Determining Authority finding the Respondent Not Guilty is hereby set aside and substituted with:</w:t>
      </w:r>
    </w:p>
    <w:p w:rsidR="00CA6284" w:rsidRPr="00A437EC" w:rsidRDefault="00CA6284" w:rsidP="00A437EC">
      <w:pPr>
        <w:ind w:left="720"/>
        <w:jc w:val="both"/>
        <w:rPr>
          <w:sz w:val="24"/>
          <w:szCs w:val="24"/>
        </w:rPr>
      </w:pPr>
      <w:r w:rsidRPr="00A437EC">
        <w:rPr>
          <w:sz w:val="24"/>
          <w:szCs w:val="24"/>
        </w:rPr>
        <w:t>‘a. The claim succeeds.</w:t>
      </w:r>
    </w:p>
    <w:p w:rsidR="00CA6284" w:rsidRPr="00A437EC" w:rsidRDefault="00CA6284" w:rsidP="00A437EC">
      <w:pPr>
        <w:ind w:left="720"/>
        <w:jc w:val="both"/>
        <w:rPr>
          <w:sz w:val="24"/>
          <w:szCs w:val="24"/>
        </w:rPr>
      </w:pPr>
      <w:r w:rsidRPr="00A437EC">
        <w:rPr>
          <w:sz w:val="24"/>
          <w:szCs w:val="24"/>
        </w:rPr>
        <w:t xml:space="preserve"> b. The Defendant is found guilty of Contravening Category D 25 of the ZIMRA Code of Conduct.’</w:t>
      </w:r>
    </w:p>
    <w:p w:rsidR="00CA6284" w:rsidRPr="00A437EC" w:rsidRDefault="00CA6284" w:rsidP="00A437EC">
      <w:pPr>
        <w:ind w:left="720"/>
        <w:jc w:val="both"/>
        <w:rPr>
          <w:sz w:val="24"/>
          <w:szCs w:val="24"/>
        </w:rPr>
      </w:pPr>
      <w:r w:rsidRPr="00A437EC">
        <w:rPr>
          <w:sz w:val="24"/>
          <w:szCs w:val="24"/>
        </w:rPr>
        <w:t xml:space="preserve"> 3. The Registrar is directed to set the matter down at the next available date for the taking of submissions in respect of mitigation and aggravation”.</w:t>
      </w:r>
    </w:p>
    <w:p w:rsidR="00CA6284" w:rsidRPr="00A437EC" w:rsidRDefault="00CA6284" w:rsidP="00A437EC">
      <w:pPr>
        <w:jc w:val="both"/>
        <w:rPr>
          <w:sz w:val="24"/>
          <w:szCs w:val="24"/>
        </w:rPr>
      </w:pPr>
      <w:r w:rsidRPr="00A437EC">
        <w:rPr>
          <w:sz w:val="24"/>
          <w:szCs w:val="24"/>
        </w:rPr>
        <w:t>The parties proceeded to file submissions addressing issues of mitigation and aggravation. The matter was set down for the hearing of oral submissions on 16 March 2023.</w:t>
      </w:r>
    </w:p>
    <w:p w:rsidR="00A437EC" w:rsidRDefault="00A437EC" w:rsidP="00A437EC">
      <w:pPr>
        <w:jc w:val="both"/>
        <w:rPr>
          <w:b/>
          <w:sz w:val="24"/>
          <w:szCs w:val="24"/>
        </w:rPr>
      </w:pPr>
    </w:p>
    <w:p w:rsidR="00CA6284" w:rsidRPr="00A437EC" w:rsidRDefault="000F4A6B" w:rsidP="00A437EC">
      <w:pPr>
        <w:jc w:val="both"/>
        <w:rPr>
          <w:b/>
          <w:sz w:val="24"/>
          <w:szCs w:val="24"/>
        </w:rPr>
      </w:pPr>
      <w:r w:rsidRPr="00A437EC">
        <w:rPr>
          <w:b/>
          <w:sz w:val="24"/>
          <w:szCs w:val="24"/>
        </w:rPr>
        <w:lastRenderedPageBreak/>
        <w:t>RESPONDENT’S SUBMISSIONS</w:t>
      </w:r>
    </w:p>
    <w:p w:rsidR="000F4A6B" w:rsidRPr="00A437EC" w:rsidRDefault="000F4A6B" w:rsidP="00A437EC">
      <w:pPr>
        <w:jc w:val="both"/>
        <w:rPr>
          <w:sz w:val="24"/>
          <w:szCs w:val="24"/>
        </w:rPr>
      </w:pPr>
      <w:r w:rsidRPr="00A437EC">
        <w:rPr>
          <w:sz w:val="24"/>
          <w:szCs w:val="24"/>
        </w:rPr>
        <w:t xml:space="preserve">Mr. </w:t>
      </w:r>
      <w:proofErr w:type="spellStart"/>
      <w:r w:rsidRPr="00A437EC">
        <w:rPr>
          <w:sz w:val="24"/>
          <w:szCs w:val="24"/>
        </w:rPr>
        <w:t>Mafongoya</w:t>
      </w:r>
      <w:proofErr w:type="spellEnd"/>
      <w:r w:rsidRPr="00A437EC">
        <w:rPr>
          <w:sz w:val="24"/>
          <w:szCs w:val="24"/>
        </w:rPr>
        <w:t xml:space="preserve"> submitted that the appropriate penalty in the matter was not dismissal. He referred to section 65 of the Constitution of Zimbabwe which provides for citizens being accorded the right to fair </w:t>
      </w:r>
      <w:proofErr w:type="spellStart"/>
      <w:r w:rsidRPr="00A437EC">
        <w:rPr>
          <w:sz w:val="24"/>
          <w:szCs w:val="24"/>
        </w:rPr>
        <w:t>labour</w:t>
      </w:r>
      <w:proofErr w:type="spellEnd"/>
      <w:r w:rsidRPr="00A437EC">
        <w:rPr>
          <w:sz w:val="24"/>
          <w:szCs w:val="24"/>
        </w:rPr>
        <w:t xml:space="preserve"> practices. He also referred to the ZIMRA Code of Conduct particularly Clauses 6.2, 6.3, 6.4 with the latter providing that training and education should be the paramount features of any punishment and any punitive penalty should be adopted as a last resort. He referred to case law which provides that an employer has the discretion to mete a penalty of dismissal where the misconduct in question goes to the root of the employment contract. Mr. </w:t>
      </w:r>
      <w:proofErr w:type="spellStart"/>
      <w:r w:rsidRPr="00A437EC">
        <w:rPr>
          <w:sz w:val="24"/>
          <w:szCs w:val="24"/>
        </w:rPr>
        <w:t>Mafongoya</w:t>
      </w:r>
      <w:proofErr w:type="spellEnd"/>
      <w:r w:rsidRPr="00A437EC">
        <w:rPr>
          <w:sz w:val="24"/>
          <w:szCs w:val="24"/>
        </w:rPr>
        <w:t xml:space="preserve"> however argued that this common law position should not ignore the provisions of the Code of Conduct in which the employer and the employees have agreed on how to treat issues of misconduct. He also referred to Clause 6.16 of the ZIMRA Code of Conduct which provides that a lesser penalty can be imposed depending on circumstances. He also referred to the case of </w:t>
      </w:r>
      <w:proofErr w:type="spellStart"/>
      <w:r w:rsidRPr="00A437EC">
        <w:rPr>
          <w:sz w:val="24"/>
          <w:szCs w:val="24"/>
        </w:rPr>
        <w:t>Mapondera</w:t>
      </w:r>
      <w:proofErr w:type="spellEnd"/>
      <w:r w:rsidRPr="00A437EC">
        <w:rPr>
          <w:sz w:val="24"/>
          <w:szCs w:val="24"/>
        </w:rPr>
        <w:t xml:space="preserve"> and 55 others v Freda Rebecca Gold Mine Holdings Limited SC81/22.</w:t>
      </w:r>
    </w:p>
    <w:p w:rsidR="000F4A6B" w:rsidRPr="00A437EC" w:rsidRDefault="000F4A6B" w:rsidP="00A437EC">
      <w:pPr>
        <w:jc w:val="both"/>
        <w:rPr>
          <w:sz w:val="24"/>
          <w:szCs w:val="24"/>
        </w:rPr>
      </w:pPr>
      <w:r w:rsidRPr="00A437EC">
        <w:rPr>
          <w:sz w:val="24"/>
          <w:szCs w:val="24"/>
        </w:rPr>
        <w:t xml:space="preserve">It was also argued that Clause 6.18 provided that personal likes and dislikes were discouraged and should not influence decisions in case of misconduct. Mr. </w:t>
      </w:r>
      <w:proofErr w:type="spellStart"/>
      <w:r w:rsidRPr="00A437EC">
        <w:rPr>
          <w:sz w:val="24"/>
          <w:szCs w:val="24"/>
        </w:rPr>
        <w:t>Mafongoya</w:t>
      </w:r>
      <w:proofErr w:type="spellEnd"/>
      <w:r w:rsidRPr="00A437EC">
        <w:rPr>
          <w:sz w:val="24"/>
          <w:szCs w:val="24"/>
        </w:rPr>
        <w:t xml:space="preserve"> further submitted that Respondent had worked for the Appellant for 22 years and had not been convicted of any misconduct. She was a married woman with children and also supported her extended family. She had also shown remorsefulness and therefore the sentencing in this case should be blended with mercy. He further pointed out that the penalty of dismissal was not a mandatory penalty but the maximum.</w:t>
      </w:r>
    </w:p>
    <w:p w:rsidR="000F4A6B" w:rsidRPr="00A437EC" w:rsidRDefault="000F4A6B" w:rsidP="00A437EC">
      <w:pPr>
        <w:jc w:val="both"/>
        <w:rPr>
          <w:sz w:val="24"/>
          <w:szCs w:val="24"/>
        </w:rPr>
      </w:pPr>
      <w:r w:rsidRPr="00A437EC">
        <w:rPr>
          <w:sz w:val="24"/>
          <w:szCs w:val="24"/>
        </w:rPr>
        <w:t>In the heads of argument, Respondent’s legal practitioners refer to the Model Code, Statutory Instrument 15 of 2006, particularly section 7 thereof which provides that punitive action should only be taken when the educational and corrective routes have proved ineffective. Most of the issues canvassed in the heads of argument were indeed covered in the oral submissions.</w:t>
      </w:r>
    </w:p>
    <w:p w:rsidR="000F4A6B" w:rsidRPr="00A437EC" w:rsidRDefault="000F4A6B" w:rsidP="00A437EC">
      <w:pPr>
        <w:jc w:val="both"/>
        <w:rPr>
          <w:b/>
          <w:sz w:val="24"/>
          <w:szCs w:val="24"/>
        </w:rPr>
      </w:pPr>
      <w:r w:rsidRPr="00A437EC">
        <w:rPr>
          <w:b/>
          <w:sz w:val="24"/>
          <w:szCs w:val="24"/>
        </w:rPr>
        <w:t>APPELLANT’S SUBMISSIONS</w:t>
      </w:r>
    </w:p>
    <w:p w:rsidR="000F4A6B" w:rsidRPr="00A437EC" w:rsidRDefault="000F4A6B" w:rsidP="00A437EC">
      <w:pPr>
        <w:jc w:val="both"/>
        <w:rPr>
          <w:sz w:val="24"/>
          <w:szCs w:val="24"/>
        </w:rPr>
      </w:pPr>
      <w:proofErr w:type="spellStart"/>
      <w:r w:rsidRPr="00A437EC">
        <w:rPr>
          <w:sz w:val="24"/>
          <w:szCs w:val="24"/>
        </w:rPr>
        <w:t>M</w:t>
      </w:r>
      <w:r w:rsidR="00A437EC">
        <w:rPr>
          <w:sz w:val="24"/>
          <w:szCs w:val="24"/>
        </w:rPr>
        <w:t>r</w:t>
      </w:r>
      <w:r w:rsidRPr="00A437EC">
        <w:rPr>
          <w:sz w:val="24"/>
          <w:szCs w:val="24"/>
        </w:rPr>
        <w:t>s</w:t>
      </w:r>
      <w:proofErr w:type="spellEnd"/>
      <w:r w:rsidRPr="00A437EC">
        <w:rPr>
          <w:sz w:val="24"/>
          <w:szCs w:val="24"/>
        </w:rPr>
        <w:t xml:space="preserve"> </w:t>
      </w:r>
      <w:proofErr w:type="spellStart"/>
      <w:r w:rsidRPr="00A437EC">
        <w:rPr>
          <w:sz w:val="24"/>
          <w:szCs w:val="24"/>
        </w:rPr>
        <w:t>Tazviwana</w:t>
      </w:r>
      <w:proofErr w:type="spellEnd"/>
      <w:r w:rsidRPr="00A437EC">
        <w:rPr>
          <w:sz w:val="24"/>
          <w:szCs w:val="24"/>
        </w:rPr>
        <w:t xml:space="preserve"> stated that she was abiding by the documents filed of record. She stated that in terms of section 12 B (4), the Court was enjoined to also consider issues of aggravation and the Court has the discretion to impose the appropriate penalty.</w:t>
      </w:r>
      <w:r w:rsidR="008D1D47" w:rsidRPr="00A437EC">
        <w:rPr>
          <w:sz w:val="24"/>
          <w:szCs w:val="24"/>
        </w:rPr>
        <w:t xml:space="preserve"> She submitted that it should not be ignored that the Respondent faced a serious offence with a dismissal penalty even for a first infraction. She argued that the appropriate penalty in this case was dismissal as the misconduct went to the root of the employment contract. She alluded to the facts of the matter stating that the motor vehicle which the Respondent had stated to be a 2005 model was in fact a 2017 model. She also stated that this had adverse effects on the quantum of revenue which the Appellant was entitled to collect in the circumstances. Ms. </w:t>
      </w:r>
      <w:proofErr w:type="spellStart"/>
      <w:r w:rsidR="008D1D47" w:rsidRPr="00A437EC">
        <w:rPr>
          <w:sz w:val="24"/>
          <w:szCs w:val="24"/>
        </w:rPr>
        <w:t>Tazviwana</w:t>
      </w:r>
      <w:proofErr w:type="spellEnd"/>
      <w:r w:rsidR="008D1D47" w:rsidRPr="00A437EC">
        <w:rPr>
          <w:sz w:val="24"/>
          <w:szCs w:val="24"/>
        </w:rPr>
        <w:t xml:space="preserve"> argued that the Respondent had been negligent in that she had not conducted a physical check of that motor vehicle as expected. She further pointed out that the conduct was not excusable.</w:t>
      </w:r>
    </w:p>
    <w:p w:rsidR="008D1D47" w:rsidRPr="00A437EC" w:rsidRDefault="008D1D47" w:rsidP="00A437EC">
      <w:pPr>
        <w:jc w:val="both"/>
        <w:rPr>
          <w:sz w:val="24"/>
          <w:szCs w:val="24"/>
        </w:rPr>
      </w:pPr>
      <w:r w:rsidRPr="00A437EC">
        <w:rPr>
          <w:sz w:val="24"/>
          <w:szCs w:val="24"/>
        </w:rPr>
        <w:lastRenderedPageBreak/>
        <w:t xml:space="preserve">As far as the provisions of Clause 6.16 of the ZIMRA Code of Conduct were concerned, </w:t>
      </w:r>
      <w:proofErr w:type="spellStart"/>
      <w:r w:rsidRPr="00A437EC">
        <w:rPr>
          <w:sz w:val="24"/>
          <w:szCs w:val="24"/>
        </w:rPr>
        <w:t>Ms</w:t>
      </w:r>
      <w:proofErr w:type="spellEnd"/>
      <w:r w:rsidRPr="00A437EC">
        <w:rPr>
          <w:sz w:val="24"/>
          <w:szCs w:val="24"/>
        </w:rPr>
        <w:t xml:space="preserve"> </w:t>
      </w:r>
      <w:proofErr w:type="spellStart"/>
      <w:r w:rsidRPr="00A437EC">
        <w:rPr>
          <w:sz w:val="24"/>
          <w:szCs w:val="24"/>
        </w:rPr>
        <w:t>Tazviwana</w:t>
      </w:r>
      <w:proofErr w:type="spellEnd"/>
      <w:r w:rsidRPr="00A437EC">
        <w:rPr>
          <w:sz w:val="24"/>
          <w:szCs w:val="24"/>
        </w:rPr>
        <w:t xml:space="preserve"> stated that Respondent had abdicated on her duties and therefore the maximum penalty was what she deserved. Asked by the Court as what the employer’s attitude was if a less penalty were to be meted on the Respondent, M</w:t>
      </w:r>
      <w:r w:rsidR="00A437EC">
        <w:rPr>
          <w:sz w:val="24"/>
          <w:szCs w:val="24"/>
        </w:rPr>
        <w:t>r</w:t>
      </w:r>
      <w:r w:rsidRPr="00A437EC">
        <w:rPr>
          <w:sz w:val="24"/>
          <w:szCs w:val="24"/>
        </w:rPr>
        <w:t xml:space="preserve">s. </w:t>
      </w:r>
      <w:proofErr w:type="spellStart"/>
      <w:r w:rsidRPr="00A437EC">
        <w:rPr>
          <w:sz w:val="24"/>
          <w:szCs w:val="24"/>
        </w:rPr>
        <w:t>Tazviwana</w:t>
      </w:r>
      <w:proofErr w:type="spellEnd"/>
      <w:r w:rsidRPr="00A437EC">
        <w:rPr>
          <w:sz w:val="24"/>
          <w:szCs w:val="24"/>
        </w:rPr>
        <w:t xml:space="preserve"> stated that the Appellant was not prepared to accept the Respondent back into its employment. A reading of the Appellant’s heads of argument shows that most of the issues raised therein were canvassed in the oral submissions.</w:t>
      </w:r>
    </w:p>
    <w:p w:rsidR="008D1D47" w:rsidRPr="00A437EC" w:rsidRDefault="008D1D47" w:rsidP="00A437EC">
      <w:pPr>
        <w:jc w:val="both"/>
        <w:rPr>
          <w:b/>
          <w:sz w:val="24"/>
          <w:szCs w:val="24"/>
        </w:rPr>
      </w:pPr>
      <w:r w:rsidRPr="00A437EC">
        <w:rPr>
          <w:b/>
          <w:sz w:val="24"/>
          <w:szCs w:val="24"/>
        </w:rPr>
        <w:t>DETERMINATION</w:t>
      </w:r>
    </w:p>
    <w:p w:rsidR="008D1D47" w:rsidRPr="00A437EC" w:rsidRDefault="00E211C9" w:rsidP="00A437EC">
      <w:pPr>
        <w:jc w:val="both"/>
        <w:rPr>
          <w:sz w:val="24"/>
          <w:szCs w:val="24"/>
        </w:rPr>
      </w:pPr>
      <w:r w:rsidRPr="00A437EC">
        <w:rPr>
          <w:sz w:val="24"/>
          <w:szCs w:val="24"/>
        </w:rPr>
        <w:t xml:space="preserve">It is undeniable that the </w:t>
      </w:r>
      <w:proofErr w:type="spellStart"/>
      <w:r w:rsidRPr="00A437EC">
        <w:rPr>
          <w:sz w:val="24"/>
          <w:szCs w:val="24"/>
        </w:rPr>
        <w:t>Labour</w:t>
      </w:r>
      <w:proofErr w:type="spellEnd"/>
      <w:r w:rsidRPr="00A437EC">
        <w:rPr>
          <w:sz w:val="24"/>
          <w:szCs w:val="24"/>
        </w:rPr>
        <w:t xml:space="preserve"> Court has churned many a decision based on precedent emanating from judgments of the Supreme Court which are binding on the Court. Many of the decisions have been anchored on the common law principles that the employer is entitled to dismiss an employee for misconduct which goes to the root of the employment contract. Such decision can only be interfered with where there is evidence of unreasonableness or irrationality. The following cases are but a few of those:</w:t>
      </w:r>
    </w:p>
    <w:p w:rsidR="00E211C9" w:rsidRPr="00A437EC" w:rsidRDefault="00E211C9" w:rsidP="00A437EC">
      <w:pPr>
        <w:pStyle w:val="ListParagraph"/>
        <w:numPr>
          <w:ilvl w:val="0"/>
          <w:numId w:val="1"/>
        </w:numPr>
        <w:jc w:val="both"/>
        <w:rPr>
          <w:sz w:val="24"/>
          <w:szCs w:val="24"/>
        </w:rPr>
      </w:pPr>
      <w:r w:rsidRPr="00A437EC">
        <w:rPr>
          <w:sz w:val="24"/>
          <w:szCs w:val="24"/>
        </w:rPr>
        <w:t xml:space="preserve">Mashonaland Turf Club v </w:t>
      </w:r>
      <w:proofErr w:type="spellStart"/>
      <w:r w:rsidRPr="00A437EC">
        <w:rPr>
          <w:sz w:val="24"/>
          <w:szCs w:val="24"/>
        </w:rPr>
        <w:t>Mutangadura</w:t>
      </w:r>
      <w:proofErr w:type="spellEnd"/>
      <w:r w:rsidRPr="00A437EC">
        <w:rPr>
          <w:sz w:val="24"/>
          <w:szCs w:val="24"/>
        </w:rPr>
        <w:t xml:space="preserve"> 2012 (1) ZLR 183 (S)</w:t>
      </w:r>
    </w:p>
    <w:p w:rsidR="00E211C9" w:rsidRPr="00A437EC" w:rsidRDefault="00E211C9" w:rsidP="00A437EC">
      <w:pPr>
        <w:pStyle w:val="ListParagraph"/>
        <w:numPr>
          <w:ilvl w:val="0"/>
          <w:numId w:val="1"/>
        </w:numPr>
        <w:jc w:val="both"/>
        <w:rPr>
          <w:sz w:val="24"/>
          <w:szCs w:val="24"/>
        </w:rPr>
      </w:pPr>
      <w:r w:rsidRPr="00A437EC">
        <w:rPr>
          <w:sz w:val="24"/>
          <w:szCs w:val="24"/>
        </w:rPr>
        <w:t xml:space="preserve">ZB Financial Holdings v Maureen </w:t>
      </w:r>
      <w:proofErr w:type="spellStart"/>
      <w:r w:rsidRPr="00A437EC">
        <w:rPr>
          <w:sz w:val="24"/>
          <w:szCs w:val="24"/>
        </w:rPr>
        <w:t>Manyarara</w:t>
      </w:r>
      <w:proofErr w:type="spellEnd"/>
      <w:r w:rsidRPr="00A437EC">
        <w:rPr>
          <w:sz w:val="24"/>
          <w:szCs w:val="24"/>
        </w:rPr>
        <w:t xml:space="preserve"> SC 3/12</w:t>
      </w:r>
    </w:p>
    <w:p w:rsidR="00E211C9" w:rsidRPr="00A437EC" w:rsidRDefault="00E211C9" w:rsidP="00A437EC">
      <w:pPr>
        <w:pStyle w:val="ListParagraph"/>
        <w:numPr>
          <w:ilvl w:val="0"/>
          <w:numId w:val="1"/>
        </w:numPr>
        <w:jc w:val="both"/>
        <w:rPr>
          <w:sz w:val="24"/>
          <w:szCs w:val="24"/>
        </w:rPr>
      </w:pPr>
      <w:proofErr w:type="spellStart"/>
      <w:r w:rsidRPr="00A437EC">
        <w:rPr>
          <w:sz w:val="24"/>
          <w:szCs w:val="24"/>
        </w:rPr>
        <w:t>Innscor</w:t>
      </w:r>
      <w:proofErr w:type="spellEnd"/>
      <w:r w:rsidRPr="00A437EC">
        <w:rPr>
          <w:sz w:val="24"/>
          <w:szCs w:val="24"/>
        </w:rPr>
        <w:t xml:space="preserve"> Africa (</w:t>
      </w:r>
      <w:proofErr w:type="spellStart"/>
      <w:r w:rsidRPr="00A437EC">
        <w:rPr>
          <w:sz w:val="24"/>
          <w:szCs w:val="24"/>
        </w:rPr>
        <w:t>Pvt</w:t>
      </w:r>
      <w:proofErr w:type="spellEnd"/>
      <w:r w:rsidRPr="00A437EC">
        <w:rPr>
          <w:sz w:val="24"/>
          <w:szCs w:val="24"/>
        </w:rPr>
        <w:t xml:space="preserve">) Ltd v </w:t>
      </w:r>
      <w:proofErr w:type="spellStart"/>
      <w:r w:rsidRPr="00A437EC">
        <w:rPr>
          <w:sz w:val="24"/>
          <w:szCs w:val="24"/>
        </w:rPr>
        <w:t>Letron</w:t>
      </w:r>
      <w:proofErr w:type="spellEnd"/>
      <w:r w:rsidRPr="00A437EC">
        <w:rPr>
          <w:sz w:val="24"/>
          <w:szCs w:val="24"/>
        </w:rPr>
        <w:t xml:space="preserve"> </w:t>
      </w:r>
      <w:proofErr w:type="spellStart"/>
      <w:r w:rsidRPr="00A437EC">
        <w:rPr>
          <w:sz w:val="24"/>
          <w:szCs w:val="24"/>
        </w:rPr>
        <w:t>Chimoto</w:t>
      </w:r>
      <w:proofErr w:type="spellEnd"/>
      <w:r w:rsidRPr="00A437EC">
        <w:rPr>
          <w:sz w:val="24"/>
          <w:szCs w:val="24"/>
        </w:rPr>
        <w:t>.</w:t>
      </w:r>
    </w:p>
    <w:p w:rsidR="00E211C9" w:rsidRPr="00A437EC" w:rsidRDefault="00E211C9" w:rsidP="00A437EC">
      <w:pPr>
        <w:jc w:val="both"/>
        <w:rPr>
          <w:sz w:val="24"/>
          <w:szCs w:val="24"/>
        </w:rPr>
      </w:pPr>
      <w:r w:rsidRPr="00A437EC">
        <w:rPr>
          <w:sz w:val="24"/>
          <w:szCs w:val="24"/>
        </w:rPr>
        <w:t>This Court acknowledges the importance of precedent in making Court decisions. It ensures certainty in any legal system. However I am of the considered view that most of these cases have not taken statutory interventions in the field of meting out penalties in the employment field. I also accept that it is a truism that statute does not necessarily amend the common unless it expressly provides for such amendment. In this respect I am referring to direct delegated legislation in the form of Statutory Instruments and Collective Bargaining Agreements.</w:t>
      </w:r>
    </w:p>
    <w:p w:rsidR="00E211C9" w:rsidRPr="00A437EC" w:rsidRDefault="00E211C9" w:rsidP="00A437EC">
      <w:pPr>
        <w:jc w:val="both"/>
        <w:rPr>
          <w:sz w:val="24"/>
          <w:szCs w:val="24"/>
        </w:rPr>
      </w:pPr>
      <w:r w:rsidRPr="00A437EC">
        <w:rPr>
          <w:sz w:val="24"/>
          <w:szCs w:val="24"/>
        </w:rPr>
        <w:t>I</w:t>
      </w:r>
      <w:r w:rsidR="00981984" w:rsidRPr="00A437EC">
        <w:rPr>
          <w:sz w:val="24"/>
          <w:szCs w:val="24"/>
        </w:rPr>
        <w:t xml:space="preserve"> will start with the Model Code, Statutory Instrument 15 of 2006. Section 7 (1)</w:t>
      </w:r>
      <w:proofErr w:type="gramStart"/>
      <w:r w:rsidR="00981984" w:rsidRPr="00A437EC">
        <w:rPr>
          <w:sz w:val="24"/>
          <w:szCs w:val="24"/>
        </w:rPr>
        <w:t>,(</w:t>
      </w:r>
      <w:proofErr w:type="gramEnd"/>
      <w:r w:rsidR="00981984" w:rsidRPr="00A437EC">
        <w:rPr>
          <w:sz w:val="24"/>
          <w:szCs w:val="24"/>
        </w:rPr>
        <w:t>2) and (3) provides as follows:</w:t>
      </w:r>
    </w:p>
    <w:p w:rsidR="00981984" w:rsidRPr="00A437EC" w:rsidRDefault="00981984" w:rsidP="00A437EC">
      <w:pPr>
        <w:ind w:left="720"/>
        <w:jc w:val="both"/>
        <w:rPr>
          <w:sz w:val="24"/>
          <w:szCs w:val="24"/>
        </w:rPr>
      </w:pPr>
      <w:r w:rsidRPr="00A437EC">
        <w:rPr>
          <w:sz w:val="24"/>
          <w:szCs w:val="24"/>
        </w:rPr>
        <w:t xml:space="preserve">“(1) </w:t>
      </w:r>
      <w:proofErr w:type="gramStart"/>
      <w:r w:rsidRPr="00A437EC">
        <w:rPr>
          <w:sz w:val="24"/>
          <w:szCs w:val="24"/>
        </w:rPr>
        <w:t>In</w:t>
      </w:r>
      <w:proofErr w:type="gramEnd"/>
      <w:r w:rsidRPr="00A437EC">
        <w:rPr>
          <w:sz w:val="24"/>
          <w:szCs w:val="24"/>
        </w:rPr>
        <w:t xml:space="preserve"> general, disciplinary action should, in the first instance, be educational and then corrective. Punitive action should only be taken when the said earlier steps have proved ineffective.</w:t>
      </w:r>
    </w:p>
    <w:p w:rsidR="00981984" w:rsidRPr="00A437EC" w:rsidRDefault="00981984" w:rsidP="00A437EC">
      <w:pPr>
        <w:ind w:left="720"/>
        <w:jc w:val="both"/>
        <w:rPr>
          <w:sz w:val="24"/>
          <w:szCs w:val="24"/>
        </w:rPr>
      </w:pPr>
      <w:r w:rsidRPr="00A437EC">
        <w:rPr>
          <w:sz w:val="24"/>
          <w:szCs w:val="24"/>
        </w:rPr>
        <w:t xml:space="preserve">(2) </w:t>
      </w:r>
      <w:proofErr w:type="gramStart"/>
      <w:r w:rsidRPr="00A437EC">
        <w:rPr>
          <w:sz w:val="24"/>
          <w:szCs w:val="24"/>
        </w:rPr>
        <w:t>As</w:t>
      </w:r>
      <w:proofErr w:type="gramEnd"/>
      <w:r w:rsidRPr="00A437EC">
        <w:rPr>
          <w:sz w:val="24"/>
          <w:szCs w:val="24"/>
        </w:rPr>
        <w:t xml:space="preserve"> far as is possible similar offences committed in similar circumstances should be treated equitably through the award of similar penalties allowing for mitigating and aggravating circumstances.</w:t>
      </w:r>
    </w:p>
    <w:p w:rsidR="00981984" w:rsidRPr="00A437EC" w:rsidRDefault="00981984" w:rsidP="00A437EC">
      <w:pPr>
        <w:ind w:left="720"/>
        <w:jc w:val="both"/>
        <w:rPr>
          <w:sz w:val="24"/>
          <w:szCs w:val="24"/>
        </w:rPr>
      </w:pPr>
      <w:r w:rsidRPr="00A437EC">
        <w:rPr>
          <w:sz w:val="24"/>
          <w:szCs w:val="24"/>
        </w:rPr>
        <w:t>(3) The dismissal penalty to be imposed for an offence in section 4 is not obligatory but is meant as guide to employers and an employer may, at his or her discretion apply a lesser penalty for example, a written warning.</w:t>
      </w:r>
    </w:p>
    <w:p w:rsidR="00981984" w:rsidRPr="00A437EC" w:rsidRDefault="00981984" w:rsidP="00A437EC">
      <w:pPr>
        <w:ind w:left="720"/>
        <w:jc w:val="both"/>
        <w:rPr>
          <w:sz w:val="24"/>
          <w:szCs w:val="24"/>
        </w:rPr>
      </w:pPr>
      <w:r w:rsidRPr="00A437EC">
        <w:rPr>
          <w:sz w:val="24"/>
          <w:szCs w:val="24"/>
        </w:rPr>
        <w:t>(4) For offences which do not warrant dismissal an employer may issue a verbal or written warning as the case may be.”</w:t>
      </w:r>
    </w:p>
    <w:p w:rsidR="00981984" w:rsidRPr="00A437EC" w:rsidRDefault="00981984" w:rsidP="00A437EC">
      <w:pPr>
        <w:jc w:val="both"/>
        <w:rPr>
          <w:sz w:val="24"/>
          <w:szCs w:val="24"/>
        </w:rPr>
      </w:pPr>
      <w:r w:rsidRPr="00A437EC">
        <w:rPr>
          <w:sz w:val="24"/>
          <w:szCs w:val="24"/>
        </w:rPr>
        <w:lastRenderedPageBreak/>
        <w:t>The Zimbabwe Revenue Authority Code of Conduct provides as follows:</w:t>
      </w:r>
    </w:p>
    <w:p w:rsidR="00981984" w:rsidRPr="00A437EC" w:rsidRDefault="00981984" w:rsidP="00A437EC">
      <w:pPr>
        <w:ind w:left="720"/>
        <w:jc w:val="both"/>
        <w:rPr>
          <w:sz w:val="24"/>
          <w:szCs w:val="24"/>
        </w:rPr>
      </w:pPr>
      <w:r w:rsidRPr="00A437EC">
        <w:rPr>
          <w:sz w:val="24"/>
          <w:szCs w:val="24"/>
        </w:rPr>
        <w:t>“6.3 The prime reason for disciplinary action is to encourage high standards of work and to make employees efficient and productive. Discipline should be educational and corrective in the first instance.</w:t>
      </w:r>
    </w:p>
    <w:p w:rsidR="00981984" w:rsidRPr="00A437EC" w:rsidRDefault="004E25B5" w:rsidP="00A437EC">
      <w:pPr>
        <w:ind w:left="720"/>
        <w:jc w:val="both"/>
        <w:rPr>
          <w:sz w:val="24"/>
          <w:szCs w:val="24"/>
        </w:rPr>
      </w:pPr>
      <w:r w:rsidRPr="00A437EC">
        <w:rPr>
          <w:sz w:val="24"/>
          <w:szCs w:val="24"/>
        </w:rPr>
        <w:t xml:space="preserve">6.4 Discipline encompasses training that </w:t>
      </w:r>
      <w:proofErr w:type="spellStart"/>
      <w:r w:rsidRPr="00A437EC">
        <w:rPr>
          <w:sz w:val="24"/>
          <w:szCs w:val="24"/>
        </w:rPr>
        <w:t>moulds</w:t>
      </w:r>
      <w:proofErr w:type="spellEnd"/>
      <w:r w:rsidRPr="00A437EC">
        <w:rPr>
          <w:sz w:val="24"/>
          <w:szCs w:val="24"/>
        </w:rPr>
        <w:t>, corrects, strengthens and perfects attitudes and behavior. It may be used as punishment when these measures have failed.</w:t>
      </w:r>
    </w:p>
    <w:p w:rsidR="004E25B5" w:rsidRPr="00A437EC" w:rsidRDefault="004E25B5" w:rsidP="00A437EC">
      <w:pPr>
        <w:ind w:left="720"/>
        <w:jc w:val="both"/>
        <w:rPr>
          <w:sz w:val="24"/>
          <w:szCs w:val="24"/>
        </w:rPr>
      </w:pPr>
      <w:r w:rsidRPr="00A437EC">
        <w:rPr>
          <w:sz w:val="24"/>
          <w:szCs w:val="24"/>
        </w:rPr>
        <w:t>6.16 The maximum penalties to be imposed for each offence are found in this Code of Conduct. However, Disciplinary Officers or the Disciplinary and Grievance Committee(s) may apply a lesser penalty at their discretion if there are good reasons for doing so.”</w:t>
      </w:r>
    </w:p>
    <w:p w:rsidR="004E25B5" w:rsidRPr="00A437EC" w:rsidRDefault="004E25B5" w:rsidP="00A437EC">
      <w:pPr>
        <w:jc w:val="both"/>
        <w:rPr>
          <w:sz w:val="24"/>
          <w:szCs w:val="24"/>
        </w:rPr>
      </w:pPr>
      <w:r w:rsidRPr="00A437EC">
        <w:rPr>
          <w:sz w:val="24"/>
          <w:szCs w:val="24"/>
        </w:rPr>
        <w:t>Generally, it is accepted that the terms of employment enunciated in legislative instruments provide a ‘floor of rights’, that is, they set a minimum standard. Employers are exhorted to provide conditions that are higher than the minimum standards. In respect of the ZIMRA Code of Conduct, this is an agreement reached by the employer and the employees. The agreement shows that the parties were ad idem as to the issue of discipline in the workplace. Clause 6.16 clearly enunciates that the maximum penalty was not ‘mandatory’.</w:t>
      </w:r>
      <w:r w:rsidR="000B3B8C" w:rsidRPr="00A437EC">
        <w:rPr>
          <w:sz w:val="24"/>
          <w:szCs w:val="24"/>
        </w:rPr>
        <w:t xml:space="preserve"> This clearly shows that it is not always necessary to impose the dismissal penalty where an employee has transgressed and such offence falls in the ‘D Category’!! The word ‘maximum’ is defined in the Oxford Advanced learner’s Dictionary as follows:</w:t>
      </w:r>
    </w:p>
    <w:p w:rsidR="000B3B8C" w:rsidRPr="00A437EC" w:rsidRDefault="000B3B8C" w:rsidP="00A437EC">
      <w:pPr>
        <w:ind w:left="720"/>
        <w:jc w:val="both"/>
        <w:rPr>
          <w:sz w:val="24"/>
          <w:szCs w:val="24"/>
        </w:rPr>
      </w:pPr>
      <w:r w:rsidRPr="00A437EC">
        <w:rPr>
          <w:sz w:val="24"/>
          <w:szCs w:val="24"/>
        </w:rPr>
        <w:t>“,</w:t>
      </w:r>
      <w:proofErr w:type="gramStart"/>
      <w:r w:rsidRPr="00A437EC">
        <w:rPr>
          <w:sz w:val="24"/>
          <w:szCs w:val="24"/>
        </w:rPr>
        <w:t>,the</w:t>
      </w:r>
      <w:proofErr w:type="gramEnd"/>
      <w:r w:rsidRPr="00A437EC">
        <w:rPr>
          <w:sz w:val="24"/>
          <w:szCs w:val="24"/>
        </w:rPr>
        <w:t xml:space="preserve"> most that is possible or allowed…the greatest amount, size, speed </w:t>
      </w:r>
      <w:proofErr w:type="spellStart"/>
      <w:r w:rsidRPr="00A437EC">
        <w:rPr>
          <w:sz w:val="24"/>
          <w:szCs w:val="24"/>
        </w:rPr>
        <w:t>etc</w:t>
      </w:r>
      <w:proofErr w:type="spellEnd"/>
      <w:r w:rsidRPr="00A437EC">
        <w:rPr>
          <w:sz w:val="24"/>
          <w:szCs w:val="24"/>
        </w:rPr>
        <w:t xml:space="preserve"> that is possible, recorded or allowed.”</w:t>
      </w:r>
    </w:p>
    <w:p w:rsidR="000B3B8C" w:rsidRPr="00A437EC" w:rsidRDefault="000B3B8C" w:rsidP="00A437EC">
      <w:pPr>
        <w:jc w:val="both"/>
        <w:rPr>
          <w:sz w:val="24"/>
          <w:szCs w:val="24"/>
        </w:rPr>
      </w:pPr>
      <w:r w:rsidRPr="00A437EC">
        <w:rPr>
          <w:sz w:val="24"/>
          <w:szCs w:val="24"/>
        </w:rPr>
        <w:t xml:space="preserve">My view is that the parties to the Code of Conduct envisaged a situation where other penalties could be imposed up to the </w:t>
      </w:r>
      <w:r w:rsidRPr="00A437EC">
        <w:rPr>
          <w:sz w:val="24"/>
          <w:szCs w:val="24"/>
          <w:u w:val="single"/>
        </w:rPr>
        <w:t>maximum</w:t>
      </w:r>
      <w:r w:rsidRPr="00A437EC">
        <w:rPr>
          <w:sz w:val="24"/>
          <w:szCs w:val="24"/>
        </w:rPr>
        <w:t xml:space="preserve"> of dismissal.</w:t>
      </w:r>
      <w:r w:rsidR="0059198B" w:rsidRPr="00A437EC">
        <w:rPr>
          <w:sz w:val="24"/>
          <w:szCs w:val="24"/>
        </w:rPr>
        <w:t xml:space="preserve"> Professor </w:t>
      </w:r>
      <w:proofErr w:type="spellStart"/>
      <w:r w:rsidR="0059198B" w:rsidRPr="00A437EC">
        <w:rPr>
          <w:sz w:val="24"/>
          <w:szCs w:val="24"/>
        </w:rPr>
        <w:t>Madhuku</w:t>
      </w:r>
      <w:proofErr w:type="spellEnd"/>
      <w:r w:rsidR="0059198B" w:rsidRPr="00A437EC">
        <w:rPr>
          <w:sz w:val="24"/>
          <w:szCs w:val="24"/>
        </w:rPr>
        <w:t xml:space="preserve"> makes an interesting reference to punishments under the Master and Servant Ordinance of 1901 in his book,</w:t>
      </w:r>
      <w:r w:rsidR="00494DC2" w:rsidRPr="00A437EC">
        <w:rPr>
          <w:sz w:val="24"/>
          <w:szCs w:val="24"/>
        </w:rPr>
        <w:t xml:space="preserve"> </w:t>
      </w:r>
      <w:proofErr w:type="spellStart"/>
      <w:r w:rsidR="00494DC2" w:rsidRPr="00A437EC">
        <w:rPr>
          <w:sz w:val="24"/>
          <w:szCs w:val="24"/>
        </w:rPr>
        <w:t>Labour</w:t>
      </w:r>
      <w:proofErr w:type="spellEnd"/>
      <w:r w:rsidR="00494DC2" w:rsidRPr="00A437EC">
        <w:rPr>
          <w:sz w:val="24"/>
          <w:szCs w:val="24"/>
        </w:rPr>
        <w:t xml:space="preserve"> Law in Zimbabwe. It is recorded as follows:</w:t>
      </w:r>
    </w:p>
    <w:p w:rsidR="00494DC2" w:rsidRPr="00A437EC" w:rsidRDefault="00494DC2" w:rsidP="00A437EC">
      <w:pPr>
        <w:ind w:left="720"/>
        <w:jc w:val="both"/>
        <w:rPr>
          <w:sz w:val="24"/>
          <w:szCs w:val="24"/>
        </w:rPr>
      </w:pPr>
      <w:r w:rsidRPr="00A437EC">
        <w:rPr>
          <w:sz w:val="24"/>
          <w:szCs w:val="24"/>
        </w:rPr>
        <w:t>“</w:t>
      </w:r>
      <w:proofErr w:type="gramStart"/>
      <w:r w:rsidRPr="00A437EC">
        <w:rPr>
          <w:sz w:val="24"/>
          <w:szCs w:val="24"/>
        </w:rPr>
        <w:t>the</w:t>
      </w:r>
      <w:proofErr w:type="gramEnd"/>
      <w:r w:rsidRPr="00A437EC">
        <w:rPr>
          <w:sz w:val="24"/>
          <w:szCs w:val="24"/>
        </w:rPr>
        <w:t xml:space="preserve"> servant or apprentice shall be bound to return to his Master immediately after having complied with the terms of his punishment in order to serve the unexpired period of his service.”</w:t>
      </w:r>
    </w:p>
    <w:p w:rsidR="00494DC2" w:rsidRPr="00A437EC" w:rsidRDefault="00494DC2" w:rsidP="00A437EC">
      <w:pPr>
        <w:jc w:val="both"/>
        <w:rPr>
          <w:sz w:val="24"/>
          <w:szCs w:val="24"/>
        </w:rPr>
      </w:pPr>
      <w:r w:rsidRPr="00A437EC">
        <w:rPr>
          <w:sz w:val="24"/>
          <w:szCs w:val="24"/>
        </w:rPr>
        <w:t>This shows that as early as 1901 under the revered Ordinance conviction under the Ordinance did not have the effect of cancelling the employment contract. In this day and age when humanity professes development on both the economic and social fronts, courts should be seen to promote a better working system at the work-place as far as punishments for misconduct are concerned. I should hazard to add the fact that in the country, presently, it is a notorious fact that once one loses employment, one is unlikely to be re-engaged elsewhere due the economic factors prevailing in the country. Breadwinners are therefore to start scrounging for their families’ survival.</w:t>
      </w:r>
    </w:p>
    <w:p w:rsidR="00494DC2" w:rsidRPr="00A437EC" w:rsidRDefault="00493040" w:rsidP="00A437EC">
      <w:pPr>
        <w:jc w:val="both"/>
        <w:rPr>
          <w:sz w:val="24"/>
          <w:szCs w:val="24"/>
        </w:rPr>
      </w:pPr>
      <w:r w:rsidRPr="00A437EC">
        <w:rPr>
          <w:sz w:val="24"/>
          <w:szCs w:val="24"/>
        </w:rPr>
        <w:lastRenderedPageBreak/>
        <w:t xml:space="preserve">It was argued by </w:t>
      </w:r>
      <w:proofErr w:type="spellStart"/>
      <w:r w:rsidRPr="00A437EC">
        <w:rPr>
          <w:sz w:val="24"/>
          <w:szCs w:val="24"/>
        </w:rPr>
        <w:t>Mrs</w:t>
      </w:r>
      <w:proofErr w:type="spellEnd"/>
      <w:r w:rsidRPr="00A437EC">
        <w:rPr>
          <w:sz w:val="24"/>
          <w:szCs w:val="24"/>
        </w:rPr>
        <w:t xml:space="preserve"> </w:t>
      </w:r>
      <w:proofErr w:type="spellStart"/>
      <w:r w:rsidRPr="00A437EC">
        <w:rPr>
          <w:sz w:val="24"/>
          <w:szCs w:val="24"/>
        </w:rPr>
        <w:t>Tazviwana</w:t>
      </w:r>
      <w:proofErr w:type="spellEnd"/>
      <w:r w:rsidRPr="00A437EC">
        <w:rPr>
          <w:sz w:val="24"/>
          <w:szCs w:val="24"/>
        </w:rPr>
        <w:t xml:space="preserve"> that the Respondent was negligent in the performance of her duties and this warranted her dismissal. The Court indeed recognized that Respondent was negligent in the circumstances which was the reason it overturned the decision of the Determining Authority. The question remains, was the negligence such that it warrants a dismissal? In this regard I would want to refer to the words of </w:t>
      </w:r>
      <w:proofErr w:type="spellStart"/>
      <w:r w:rsidRPr="00A437EC">
        <w:rPr>
          <w:sz w:val="24"/>
          <w:szCs w:val="24"/>
        </w:rPr>
        <w:t>Preet</w:t>
      </w:r>
      <w:proofErr w:type="spellEnd"/>
      <w:r w:rsidRPr="00A437EC">
        <w:rPr>
          <w:sz w:val="24"/>
          <w:szCs w:val="24"/>
        </w:rPr>
        <w:t xml:space="preserve"> </w:t>
      </w:r>
      <w:proofErr w:type="spellStart"/>
      <w:r w:rsidRPr="00A437EC">
        <w:rPr>
          <w:sz w:val="24"/>
          <w:szCs w:val="24"/>
        </w:rPr>
        <w:t>Bharara</w:t>
      </w:r>
      <w:proofErr w:type="spellEnd"/>
      <w:r w:rsidRPr="00A437EC">
        <w:rPr>
          <w:sz w:val="24"/>
          <w:szCs w:val="24"/>
        </w:rPr>
        <w:t xml:space="preserve"> former U.S </w:t>
      </w:r>
      <w:proofErr w:type="spellStart"/>
      <w:r w:rsidRPr="00A437EC">
        <w:rPr>
          <w:sz w:val="24"/>
          <w:szCs w:val="24"/>
        </w:rPr>
        <w:t>Attroney</w:t>
      </w:r>
      <w:proofErr w:type="spellEnd"/>
      <w:r w:rsidRPr="00A437EC">
        <w:rPr>
          <w:sz w:val="24"/>
          <w:szCs w:val="24"/>
        </w:rPr>
        <w:t xml:space="preserve"> for the Southern District of New York from 2009 to 2017 in his book “</w:t>
      </w:r>
      <w:r w:rsidRPr="00A437EC">
        <w:rPr>
          <w:i/>
          <w:sz w:val="24"/>
          <w:szCs w:val="24"/>
        </w:rPr>
        <w:t>Doing Justice”:</w:t>
      </w:r>
    </w:p>
    <w:p w:rsidR="00493040" w:rsidRPr="00A437EC" w:rsidRDefault="00493040" w:rsidP="00A437EC">
      <w:pPr>
        <w:ind w:left="720"/>
        <w:jc w:val="both"/>
        <w:rPr>
          <w:sz w:val="24"/>
          <w:szCs w:val="24"/>
        </w:rPr>
      </w:pPr>
      <w:r w:rsidRPr="00A437EC">
        <w:rPr>
          <w:sz w:val="24"/>
          <w:szCs w:val="24"/>
        </w:rPr>
        <w:t xml:space="preserve">“In lines of work where pain and drama are common, there lurks a danger that ordinary people who suffer harm will recede in importance, become part of the occupational furniture, rather than flesh-and-blood human beings. There is a risk that the professionals charged with helping them will become inured and desensitized to their particular pain. I presume it takes a special kind of oncologist to be as empathetic toward, and solicitous of, </w:t>
      </w:r>
      <w:r w:rsidRPr="00A437EC">
        <w:rPr>
          <w:i/>
          <w:sz w:val="24"/>
          <w:szCs w:val="24"/>
        </w:rPr>
        <w:t>the thousandth patient she diagnoses with cancer as she was with the very first.</w:t>
      </w:r>
      <w:r w:rsidRPr="00A437EC">
        <w:rPr>
          <w:sz w:val="24"/>
          <w:szCs w:val="24"/>
        </w:rPr>
        <w:t xml:space="preserve"> Over time for some, I imagine, the compassion and care needed for hand-holding and sympathetic bedside manner </w:t>
      </w:r>
      <w:r w:rsidRPr="00A437EC">
        <w:rPr>
          <w:i/>
          <w:sz w:val="24"/>
          <w:szCs w:val="24"/>
        </w:rPr>
        <w:t xml:space="preserve">become an afterthought or a nuisance. </w:t>
      </w:r>
      <w:r w:rsidRPr="00A437EC">
        <w:rPr>
          <w:sz w:val="24"/>
          <w:szCs w:val="24"/>
        </w:rPr>
        <w:t>Even the excellent doctor may focus on the disease as abstraction rather than the real h</w:t>
      </w:r>
      <w:bookmarkStart w:id="0" w:name="_GoBack"/>
      <w:bookmarkEnd w:id="0"/>
      <w:r w:rsidRPr="00A437EC">
        <w:rPr>
          <w:sz w:val="24"/>
          <w:szCs w:val="24"/>
        </w:rPr>
        <w:t>uman being who is its victim.”</w:t>
      </w:r>
    </w:p>
    <w:p w:rsidR="00493040" w:rsidRPr="00A437EC" w:rsidRDefault="00493040" w:rsidP="00A437EC">
      <w:pPr>
        <w:jc w:val="both"/>
        <w:rPr>
          <w:sz w:val="24"/>
          <w:szCs w:val="24"/>
        </w:rPr>
      </w:pPr>
      <w:r w:rsidRPr="00A437EC">
        <w:rPr>
          <w:sz w:val="24"/>
          <w:szCs w:val="24"/>
        </w:rPr>
        <w:t xml:space="preserve">This is an insight of what becomes of a doctor who does his/her work very diligently but with time focus is often lost. This situation also applies to legal practitioners. They are also human beings capable of fault. At times fatigue, familiarity take away the attention they need to put to a particular case and it is the requirements of the profession that sometimes keeps them awake. In this regard, what I </w:t>
      </w:r>
      <w:r w:rsidR="00170254" w:rsidRPr="00A437EC">
        <w:rPr>
          <w:sz w:val="24"/>
          <w:szCs w:val="24"/>
        </w:rPr>
        <w:t xml:space="preserve">am </w:t>
      </w:r>
      <w:r w:rsidRPr="00A437EC">
        <w:rPr>
          <w:sz w:val="24"/>
          <w:szCs w:val="24"/>
        </w:rPr>
        <w:t>trying to point out is the fact that employees are still to be judged as human beings, that is, capable of fault. It is my considered view that the ultimate penalty of dismissal should be reserved for the extreme cases of misconduct.</w:t>
      </w:r>
      <w:r w:rsidR="00170254" w:rsidRPr="00A437EC">
        <w:rPr>
          <w:sz w:val="24"/>
          <w:szCs w:val="24"/>
        </w:rPr>
        <w:t xml:space="preserve"> Such misconduct should, I believe, be accompanied by a record of a previous failure of efforts to correct and educate the employee.</w:t>
      </w:r>
    </w:p>
    <w:p w:rsidR="00170254" w:rsidRPr="00A437EC" w:rsidRDefault="00170254" w:rsidP="00A437EC">
      <w:pPr>
        <w:jc w:val="both"/>
        <w:rPr>
          <w:sz w:val="24"/>
          <w:szCs w:val="24"/>
        </w:rPr>
      </w:pPr>
      <w:r w:rsidRPr="00A437EC">
        <w:rPr>
          <w:sz w:val="24"/>
          <w:szCs w:val="24"/>
        </w:rPr>
        <w:t>In the result, the Court is of the view that the following is appropriate in the circumstances.</w:t>
      </w:r>
    </w:p>
    <w:p w:rsidR="00170254" w:rsidRPr="00A437EC" w:rsidRDefault="00170254" w:rsidP="00A437EC">
      <w:pPr>
        <w:pStyle w:val="ListParagraph"/>
        <w:numPr>
          <w:ilvl w:val="0"/>
          <w:numId w:val="2"/>
        </w:numPr>
        <w:jc w:val="both"/>
        <w:rPr>
          <w:sz w:val="24"/>
          <w:szCs w:val="24"/>
        </w:rPr>
      </w:pPr>
      <w:r w:rsidRPr="00A437EC">
        <w:rPr>
          <w:sz w:val="24"/>
          <w:szCs w:val="24"/>
        </w:rPr>
        <w:t>The Respondent is sentenced to a Final Written Warning.</w:t>
      </w:r>
    </w:p>
    <w:p w:rsidR="00170254" w:rsidRPr="00A437EC" w:rsidRDefault="00170254" w:rsidP="00A437EC">
      <w:pPr>
        <w:pStyle w:val="ListParagraph"/>
        <w:numPr>
          <w:ilvl w:val="0"/>
          <w:numId w:val="2"/>
        </w:numPr>
        <w:jc w:val="both"/>
        <w:rPr>
          <w:sz w:val="24"/>
          <w:szCs w:val="24"/>
        </w:rPr>
      </w:pPr>
      <w:r w:rsidRPr="00A437EC">
        <w:rPr>
          <w:sz w:val="24"/>
          <w:szCs w:val="24"/>
        </w:rPr>
        <w:t>The Respondent is hereby reinstated to her former position without loss of salary and benefits.</w:t>
      </w:r>
    </w:p>
    <w:p w:rsidR="00170254" w:rsidRPr="00A437EC" w:rsidRDefault="00170254" w:rsidP="00A437EC">
      <w:pPr>
        <w:pStyle w:val="ListParagraph"/>
        <w:numPr>
          <w:ilvl w:val="0"/>
          <w:numId w:val="2"/>
        </w:numPr>
        <w:jc w:val="both"/>
        <w:rPr>
          <w:sz w:val="24"/>
          <w:szCs w:val="24"/>
        </w:rPr>
      </w:pPr>
      <w:r w:rsidRPr="00A437EC">
        <w:rPr>
          <w:sz w:val="24"/>
          <w:szCs w:val="24"/>
        </w:rPr>
        <w:t>If reinstatement is no longer possible, the Respondent shall be entitled to damages in lieu of reinstatement which damages may be agreed upon by the parties.</w:t>
      </w:r>
    </w:p>
    <w:p w:rsidR="00170254" w:rsidRPr="00A437EC" w:rsidRDefault="00170254" w:rsidP="00A437EC">
      <w:pPr>
        <w:pStyle w:val="ListParagraph"/>
        <w:numPr>
          <w:ilvl w:val="0"/>
          <w:numId w:val="2"/>
        </w:numPr>
        <w:jc w:val="both"/>
        <w:rPr>
          <w:sz w:val="24"/>
          <w:szCs w:val="24"/>
        </w:rPr>
      </w:pPr>
      <w:r w:rsidRPr="00A437EC">
        <w:rPr>
          <w:sz w:val="24"/>
          <w:szCs w:val="24"/>
        </w:rPr>
        <w:t>In the event that the parties disagree on the quantum of the damages, either party may approach this Court for quantification.</w:t>
      </w:r>
    </w:p>
    <w:p w:rsidR="00170254" w:rsidRPr="00A437EC" w:rsidRDefault="00170254" w:rsidP="00A437EC">
      <w:pPr>
        <w:pStyle w:val="ListParagraph"/>
        <w:numPr>
          <w:ilvl w:val="0"/>
          <w:numId w:val="2"/>
        </w:numPr>
        <w:jc w:val="both"/>
        <w:rPr>
          <w:sz w:val="24"/>
          <w:szCs w:val="24"/>
        </w:rPr>
      </w:pPr>
      <w:r w:rsidRPr="00A437EC">
        <w:rPr>
          <w:sz w:val="24"/>
          <w:szCs w:val="24"/>
        </w:rPr>
        <w:t>Each party to meet its own costs.</w:t>
      </w:r>
    </w:p>
    <w:p w:rsidR="00170254" w:rsidRPr="00A437EC" w:rsidRDefault="00170254" w:rsidP="00A437EC">
      <w:pPr>
        <w:jc w:val="both"/>
        <w:rPr>
          <w:sz w:val="24"/>
          <w:szCs w:val="24"/>
        </w:rPr>
      </w:pPr>
    </w:p>
    <w:p w:rsidR="00170254" w:rsidRPr="00A437EC" w:rsidRDefault="00170254" w:rsidP="00A437EC">
      <w:pPr>
        <w:jc w:val="both"/>
        <w:rPr>
          <w:sz w:val="24"/>
          <w:szCs w:val="24"/>
        </w:rPr>
      </w:pPr>
    </w:p>
    <w:p w:rsidR="00170254" w:rsidRPr="00A437EC" w:rsidRDefault="00170254" w:rsidP="00A437EC">
      <w:pPr>
        <w:jc w:val="both"/>
        <w:rPr>
          <w:sz w:val="24"/>
          <w:szCs w:val="24"/>
        </w:rPr>
      </w:pPr>
    </w:p>
    <w:p w:rsidR="00170254" w:rsidRPr="00A437EC" w:rsidRDefault="00170254" w:rsidP="00A437EC">
      <w:pPr>
        <w:jc w:val="both"/>
        <w:rPr>
          <w:sz w:val="24"/>
          <w:szCs w:val="24"/>
        </w:rPr>
      </w:pPr>
    </w:p>
    <w:p w:rsidR="00170254" w:rsidRPr="00A437EC" w:rsidRDefault="00170254" w:rsidP="00A437EC">
      <w:pPr>
        <w:jc w:val="both"/>
        <w:rPr>
          <w:sz w:val="24"/>
          <w:szCs w:val="24"/>
        </w:rPr>
      </w:pPr>
    </w:p>
    <w:p w:rsidR="00170254" w:rsidRPr="00A437EC" w:rsidRDefault="00170254" w:rsidP="00A437EC">
      <w:pPr>
        <w:jc w:val="both"/>
        <w:rPr>
          <w:sz w:val="24"/>
          <w:szCs w:val="24"/>
        </w:rPr>
      </w:pPr>
      <w:r w:rsidRPr="00A437EC">
        <w:rPr>
          <w:sz w:val="24"/>
          <w:szCs w:val="24"/>
        </w:rPr>
        <w:t>ZIMRA Legal Services Division-</w:t>
      </w:r>
      <w:r w:rsidRPr="00A437EC">
        <w:rPr>
          <w:sz w:val="24"/>
          <w:szCs w:val="24"/>
        </w:rPr>
        <w:tab/>
      </w:r>
      <w:r w:rsidRPr="00A437EC">
        <w:rPr>
          <w:sz w:val="24"/>
          <w:szCs w:val="24"/>
        </w:rPr>
        <w:tab/>
      </w:r>
      <w:r w:rsidRPr="00A437EC">
        <w:rPr>
          <w:sz w:val="24"/>
          <w:szCs w:val="24"/>
        </w:rPr>
        <w:tab/>
        <w:t>Appellant’s representatives</w:t>
      </w:r>
    </w:p>
    <w:p w:rsidR="00170254" w:rsidRPr="00A437EC" w:rsidRDefault="00170254" w:rsidP="00A437EC">
      <w:pPr>
        <w:jc w:val="both"/>
        <w:rPr>
          <w:sz w:val="24"/>
          <w:szCs w:val="24"/>
        </w:rPr>
      </w:pPr>
      <w:proofErr w:type="spellStart"/>
      <w:r w:rsidRPr="00A437EC">
        <w:rPr>
          <w:sz w:val="24"/>
          <w:szCs w:val="24"/>
        </w:rPr>
        <w:t>Mafongoya</w:t>
      </w:r>
      <w:proofErr w:type="spellEnd"/>
      <w:r w:rsidRPr="00A437EC">
        <w:rPr>
          <w:sz w:val="24"/>
          <w:szCs w:val="24"/>
        </w:rPr>
        <w:t xml:space="preserve"> and </w:t>
      </w:r>
      <w:proofErr w:type="spellStart"/>
      <w:r w:rsidRPr="00A437EC">
        <w:rPr>
          <w:sz w:val="24"/>
          <w:szCs w:val="24"/>
        </w:rPr>
        <w:t>Matapura</w:t>
      </w:r>
      <w:proofErr w:type="spellEnd"/>
      <w:r w:rsidRPr="00A437EC">
        <w:rPr>
          <w:sz w:val="24"/>
          <w:szCs w:val="24"/>
        </w:rPr>
        <w:t xml:space="preserve"> Law Practice-</w:t>
      </w:r>
      <w:r w:rsidRPr="00A437EC">
        <w:rPr>
          <w:sz w:val="24"/>
          <w:szCs w:val="24"/>
        </w:rPr>
        <w:tab/>
      </w:r>
      <w:r w:rsidRPr="00A437EC">
        <w:rPr>
          <w:sz w:val="24"/>
          <w:szCs w:val="24"/>
        </w:rPr>
        <w:tab/>
        <w:t>Respondent’s legal practitioners</w:t>
      </w:r>
    </w:p>
    <w:p w:rsidR="00981984" w:rsidRPr="00A437EC" w:rsidRDefault="00981984" w:rsidP="00A437EC">
      <w:pPr>
        <w:ind w:left="720"/>
        <w:jc w:val="both"/>
        <w:rPr>
          <w:sz w:val="24"/>
          <w:szCs w:val="24"/>
        </w:rPr>
      </w:pPr>
    </w:p>
    <w:p w:rsidR="00DF5ADD" w:rsidRPr="00A437EC" w:rsidRDefault="00DF5ADD" w:rsidP="00A437EC">
      <w:pPr>
        <w:jc w:val="both"/>
        <w:rPr>
          <w:sz w:val="24"/>
          <w:szCs w:val="24"/>
        </w:rPr>
      </w:pPr>
    </w:p>
    <w:sectPr w:rsidR="00DF5ADD" w:rsidRPr="00A437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26C01"/>
    <w:multiLevelType w:val="hybridMultilevel"/>
    <w:tmpl w:val="64048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5F2047"/>
    <w:multiLevelType w:val="hybridMultilevel"/>
    <w:tmpl w:val="EFE26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DD"/>
    <w:rsid w:val="000B3B8C"/>
    <w:rsid w:val="000F4A6B"/>
    <w:rsid w:val="00170254"/>
    <w:rsid w:val="00493040"/>
    <w:rsid w:val="00494DC2"/>
    <w:rsid w:val="004E25B5"/>
    <w:rsid w:val="005029CB"/>
    <w:rsid w:val="0059198B"/>
    <w:rsid w:val="008D1D47"/>
    <w:rsid w:val="00981984"/>
    <w:rsid w:val="00A437EC"/>
    <w:rsid w:val="00CA6284"/>
    <w:rsid w:val="00DF5ADD"/>
    <w:rsid w:val="00E21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9F4DC-FBD9-4DA9-9DEE-2C4A61CF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1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6</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MURASI J</dc:creator>
  <cp:keywords/>
  <dc:description/>
  <cp:lastModifiedBy>MURASI J</cp:lastModifiedBy>
  <cp:revision>4</cp:revision>
  <dcterms:created xsi:type="dcterms:W3CDTF">2023-04-08T09:07:00Z</dcterms:created>
  <dcterms:modified xsi:type="dcterms:W3CDTF">2023-04-08T13:15:00Z</dcterms:modified>
</cp:coreProperties>
</file>