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18" w:rsidRDefault="002A3418" w:rsidP="009F380D">
      <w:pPr>
        <w:spacing w:after="0" w:line="240" w:lineRule="auto"/>
        <w:jc w:val="both"/>
        <w:rPr>
          <w:rFonts w:ascii="Times New Roman" w:hAnsi="Times New Roman" w:cs="Times New Roman"/>
          <w:b/>
          <w:sz w:val="24"/>
          <w:szCs w:val="24"/>
        </w:rPr>
      </w:pPr>
    </w:p>
    <w:p w:rsidR="009F380D" w:rsidRPr="00E16EDF" w:rsidRDefault="00B33A77" w:rsidP="009F380D">
      <w:pPr>
        <w:spacing w:after="0" w:line="240" w:lineRule="auto"/>
        <w:jc w:val="both"/>
        <w:rPr>
          <w:rFonts w:ascii="Tahoma" w:hAnsi="Tahoma" w:cs="Tahoma"/>
          <w:b/>
          <w:sz w:val="24"/>
          <w:szCs w:val="24"/>
        </w:rPr>
      </w:pPr>
      <w:r w:rsidRPr="00E16EDF">
        <w:rPr>
          <w:rFonts w:ascii="Tahoma" w:hAnsi="Tahoma" w:cs="Tahoma"/>
          <w:b/>
          <w:sz w:val="24"/>
          <w:szCs w:val="24"/>
        </w:rPr>
        <w:t>I</w:t>
      </w:r>
      <w:r w:rsidR="009F380D" w:rsidRPr="00E16EDF">
        <w:rPr>
          <w:rFonts w:ascii="Tahoma" w:hAnsi="Tahoma" w:cs="Tahoma"/>
          <w:b/>
          <w:sz w:val="24"/>
          <w:szCs w:val="24"/>
        </w:rPr>
        <w:t>N THE LABOUR COURT OF ZIMBABWE</w:t>
      </w:r>
      <w:r w:rsidR="00A018F8" w:rsidRPr="00E16EDF">
        <w:rPr>
          <w:rFonts w:ascii="Tahoma" w:hAnsi="Tahoma" w:cs="Tahoma"/>
          <w:b/>
          <w:sz w:val="24"/>
          <w:szCs w:val="24"/>
        </w:rPr>
        <w:tab/>
        <w:t xml:space="preserve">         JUDGMENT NO LC/H//202</w:t>
      </w:r>
      <w:r w:rsidR="002F1523" w:rsidRPr="00E16EDF">
        <w:rPr>
          <w:rFonts w:ascii="Tahoma" w:hAnsi="Tahoma" w:cs="Tahoma"/>
          <w:b/>
          <w:sz w:val="24"/>
          <w:szCs w:val="24"/>
        </w:rPr>
        <w:t>6</w:t>
      </w:r>
    </w:p>
    <w:p w:rsidR="009F380D" w:rsidRPr="00E16EDF" w:rsidRDefault="009F380D" w:rsidP="009F380D">
      <w:pPr>
        <w:spacing w:after="0" w:line="240" w:lineRule="auto"/>
        <w:jc w:val="both"/>
        <w:rPr>
          <w:rFonts w:ascii="Tahoma" w:hAnsi="Tahoma" w:cs="Tahoma"/>
          <w:b/>
          <w:sz w:val="24"/>
          <w:szCs w:val="24"/>
        </w:rPr>
      </w:pPr>
    </w:p>
    <w:p w:rsidR="009F380D" w:rsidRPr="00E16EDF" w:rsidRDefault="009F380D" w:rsidP="002A3418">
      <w:pPr>
        <w:spacing w:after="0" w:line="240" w:lineRule="auto"/>
        <w:jc w:val="both"/>
        <w:rPr>
          <w:rFonts w:ascii="Tahoma" w:hAnsi="Tahoma" w:cs="Tahoma"/>
          <w:b/>
          <w:sz w:val="24"/>
          <w:szCs w:val="24"/>
        </w:rPr>
      </w:pPr>
      <w:r w:rsidRPr="00E16EDF">
        <w:rPr>
          <w:rFonts w:ascii="Tahoma" w:hAnsi="Tahoma" w:cs="Tahoma"/>
          <w:b/>
          <w:sz w:val="24"/>
          <w:szCs w:val="24"/>
        </w:rPr>
        <w:t>HARARE</w:t>
      </w:r>
      <w:r w:rsidR="00E16EDF" w:rsidRPr="00E16EDF">
        <w:rPr>
          <w:rFonts w:ascii="Tahoma" w:hAnsi="Tahoma" w:cs="Tahoma"/>
          <w:b/>
          <w:sz w:val="24"/>
          <w:szCs w:val="24"/>
        </w:rPr>
        <w:t>, 13 MAY</w:t>
      </w:r>
      <w:r w:rsidR="00E16EDF">
        <w:rPr>
          <w:rFonts w:ascii="Tahoma" w:hAnsi="Tahoma" w:cs="Tahoma"/>
          <w:b/>
          <w:sz w:val="24"/>
          <w:szCs w:val="24"/>
        </w:rPr>
        <w:t>,</w:t>
      </w:r>
      <w:r w:rsidR="007C2D54" w:rsidRPr="00E16EDF">
        <w:rPr>
          <w:rFonts w:ascii="Tahoma" w:hAnsi="Tahoma" w:cs="Tahoma"/>
          <w:b/>
          <w:sz w:val="24"/>
          <w:szCs w:val="24"/>
        </w:rPr>
        <w:t xml:space="preserve"> 2026</w:t>
      </w:r>
      <w:r w:rsidR="008B7E99" w:rsidRPr="00E16EDF">
        <w:rPr>
          <w:rFonts w:ascii="Tahoma" w:hAnsi="Tahoma" w:cs="Tahoma"/>
          <w:b/>
          <w:sz w:val="24"/>
          <w:szCs w:val="24"/>
        </w:rPr>
        <w:tab/>
      </w:r>
      <w:r w:rsidRPr="00E16EDF">
        <w:rPr>
          <w:rFonts w:ascii="Tahoma" w:hAnsi="Tahoma" w:cs="Tahoma"/>
          <w:b/>
          <w:sz w:val="24"/>
          <w:szCs w:val="24"/>
        </w:rPr>
        <w:t xml:space="preserve">                    </w:t>
      </w:r>
      <w:r w:rsidR="00A646C4" w:rsidRPr="00E16EDF">
        <w:rPr>
          <w:rFonts w:ascii="Tahoma" w:hAnsi="Tahoma" w:cs="Tahoma"/>
          <w:b/>
          <w:sz w:val="24"/>
          <w:szCs w:val="24"/>
        </w:rPr>
        <w:t xml:space="preserve">         </w:t>
      </w:r>
      <w:r w:rsidR="00A646C4" w:rsidRPr="00E16EDF">
        <w:rPr>
          <w:rFonts w:ascii="Tahoma" w:hAnsi="Tahoma" w:cs="Tahoma"/>
          <w:b/>
          <w:sz w:val="24"/>
          <w:szCs w:val="24"/>
        </w:rPr>
        <w:tab/>
      </w:r>
      <w:r w:rsidR="00E16EDF" w:rsidRPr="00E16EDF">
        <w:rPr>
          <w:rFonts w:ascii="Tahoma" w:hAnsi="Tahoma" w:cs="Tahoma"/>
          <w:b/>
          <w:sz w:val="24"/>
          <w:szCs w:val="24"/>
        </w:rPr>
        <w:tab/>
      </w:r>
      <w:r w:rsidR="0026325C" w:rsidRPr="00E16EDF">
        <w:rPr>
          <w:rFonts w:ascii="Tahoma" w:hAnsi="Tahoma" w:cs="Tahoma"/>
          <w:b/>
          <w:sz w:val="24"/>
          <w:szCs w:val="24"/>
        </w:rPr>
        <w:t>CASE NO LC/</w:t>
      </w:r>
      <w:r w:rsidR="00370D5A" w:rsidRPr="00E16EDF">
        <w:rPr>
          <w:rFonts w:ascii="Tahoma" w:hAnsi="Tahoma" w:cs="Tahoma"/>
          <w:b/>
          <w:sz w:val="24"/>
          <w:szCs w:val="24"/>
        </w:rPr>
        <w:t>H/</w:t>
      </w:r>
      <w:r w:rsidR="001245C7">
        <w:rPr>
          <w:rFonts w:ascii="Tahoma" w:hAnsi="Tahoma" w:cs="Tahoma"/>
          <w:b/>
          <w:sz w:val="24"/>
          <w:szCs w:val="24"/>
        </w:rPr>
        <w:t>145</w:t>
      </w:r>
      <w:r w:rsidR="004C0A4D" w:rsidRPr="00E16EDF">
        <w:rPr>
          <w:rFonts w:ascii="Tahoma" w:hAnsi="Tahoma" w:cs="Tahoma"/>
          <w:b/>
          <w:sz w:val="24"/>
          <w:szCs w:val="24"/>
        </w:rPr>
        <w:t>/</w:t>
      </w:r>
      <w:r w:rsidR="009B5B90">
        <w:rPr>
          <w:rFonts w:ascii="Tahoma" w:hAnsi="Tahoma" w:cs="Tahoma"/>
          <w:b/>
          <w:sz w:val="24"/>
          <w:szCs w:val="24"/>
        </w:rPr>
        <w:t>26</w:t>
      </w:r>
      <w:bookmarkStart w:id="0" w:name="_GoBack"/>
      <w:bookmarkEnd w:id="0"/>
    </w:p>
    <w:p w:rsidR="002A3418" w:rsidRPr="00E16EDF" w:rsidRDefault="002E7F4A" w:rsidP="002A3418">
      <w:pPr>
        <w:spacing w:after="0" w:line="240" w:lineRule="auto"/>
        <w:jc w:val="both"/>
        <w:rPr>
          <w:rFonts w:ascii="Tahoma" w:hAnsi="Tahoma" w:cs="Tahoma"/>
          <w:b/>
          <w:sz w:val="24"/>
          <w:szCs w:val="24"/>
        </w:rPr>
      </w:pPr>
      <w:r w:rsidRPr="00E16EDF">
        <w:rPr>
          <w:rFonts w:ascii="Tahoma" w:hAnsi="Tahoma" w:cs="Tahoma"/>
          <w:b/>
          <w:sz w:val="24"/>
          <w:szCs w:val="24"/>
        </w:rPr>
        <w:t xml:space="preserve">                            </w:t>
      </w:r>
    </w:p>
    <w:p w:rsidR="009F380D" w:rsidRPr="00E16EDF" w:rsidRDefault="009F380D" w:rsidP="002A3418">
      <w:pPr>
        <w:spacing w:after="0" w:line="240" w:lineRule="auto"/>
        <w:jc w:val="both"/>
        <w:rPr>
          <w:rFonts w:ascii="Tahoma" w:hAnsi="Tahoma" w:cs="Tahoma"/>
          <w:b/>
          <w:sz w:val="24"/>
          <w:szCs w:val="24"/>
        </w:rPr>
      </w:pPr>
      <w:r w:rsidRPr="00E16EDF">
        <w:rPr>
          <w:rFonts w:ascii="Tahoma" w:hAnsi="Tahoma" w:cs="Tahoma"/>
          <w:b/>
          <w:sz w:val="24"/>
          <w:szCs w:val="24"/>
        </w:rPr>
        <w:t xml:space="preserve">                                                                                                                                                                                                                                                                                                                                                                                                                                                    </w:t>
      </w:r>
      <w:r w:rsidRPr="00E16EDF">
        <w:rPr>
          <w:rFonts w:ascii="Tahoma" w:hAnsi="Tahoma" w:cs="Tahoma"/>
          <w:b/>
          <w:sz w:val="24"/>
          <w:szCs w:val="24"/>
        </w:rPr>
        <w:tab/>
        <w:t xml:space="preserve">  </w:t>
      </w:r>
      <w:r w:rsidRPr="00E16EDF">
        <w:rPr>
          <w:rFonts w:ascii="Tahoma" w:hAnsi="Tahoma" w:cs="Tahoma"/>
          <w:b/>
          <w:sz w:val="24"/>
          <w:szCs w:val="24"/>
        </w:rPr>
        <w:tab/>
      </w:r>
      <w:r w:rsidRPr="00E16EDF">
        <w:rPr>
          <w:rFonts w:ascii="Tahoma" w:hAnsi="Tahoma" w:cs="Tahoma"/>
          <w:b/>
          <w:sz w:val="24"/>
          <w:szCs w:val="24"/>
        </w:rPr>
        <w:tab/>
      </w:r>
      <w:r w:rsidRPr="00E16EDF">
        <w:rPr>
          <w:rFonts w:ascii="Tahoma" w:hAnsi="Tahoma" w:cs="Tahoma"/>
          <w:b/>
          <w:sz w:val="24"/>
          <w:szCs w:val="24"/>
        </w:rPr>
        <w:tab/>
        <w:t xml:space="preserve"> </w:t>
      </w:r>
      <w:r w:rsidRPr="00E16EDF">
        <w:rPr>
          <w:rFonts w:ascii="Tahoma" w:hAnsi="Tahoma" w:cs="Tahoma"/>
          <w:b/>
          <w:sz w:val="24"/>
          <w:szCs w:val="24"/>
        </w:rPr>
        <w:tab/>
      </w:r>
      <w:r w:rsidRPr="00E16EDF">
        <w:rPr>
          <w:rFonts w:ascii="Tahoma" w:hAnsi="Tahoma" w:cs="Tahoma"/>
          <w:b/>
          <w:sz w:val="24"/>
          <w:szCs w:val="24"/>
        </w:rPr>
        <w:tab/>
      </w:r>
      <w:r w:rsidRPr="00E16EDF">
        <w:rPr>
          <w:rFonts w:ascii="Tahoma" w:hAnsi="Tahoma" w:cs="Tahoma"/>
          <w:b/>
          <w:sz w:val="24"/>
          <w:szCs w:val="24"/>
        </w:rPr>
        <w:tab/>
      </w:r>
    </w:p>
    <w:p w:rsidR="00AA24AD" w:rsidRPr="00E16EDF" w:rsidRDefault="009F380D" w:rsidP="002F1523">
      <w:pPr>
        <w:tabs>
          <w:tab w:val="left" w:pos="7605"/>
        </w:tabs>
        <w:spacing w:after="0" w:line="240" w:lineRule="auto"/>
        <w:jc w:val="both"/>
        <w:rPr>
          <w:rFonts w:ascii="Tahoma" w:hAnsi="Tahoma" w:cs="Tahoma"/>
          <w:b/>
          <w:sz w:val="24"/>
          <w:szCs w:val="24"/>
        </w:rPr>
      </w:pPr>
      <w:r w:rsidRPr="00E16EDF">
        <w:rPr>
          <w:rFonts w:ascii="Tahoma" w:hAnsi="Tahoma" w:cs="Tahoma"/>
          <w:b/>
          <w:sz w:val="24"/>
          <w:szCs w:val="24"/>
        </w:rPr>
        <w:tab/>
      </w:r>
    </w:p>
    <w:p w:rsidR="009F380D" w:rsidRPr="00E16EDF" w:rsidRDefault="00FA40E2" w:rsidP="009F380D">
      <w:pPr>
        <w:spacing w:after="0" w:line="240" w:lineRule="auto"/>
        <w:jc w:val="both"/>
        <w:rPr>
          <w:rFonts w:ascii="Tahoma" w:hAnsi="Tahoma" w:cs="Tahoma"/>
          <w:b/>
          <w:sz w:val="24"/>
          <w:szCs w:val="24"/>
        </w:rPr>
      </w:pPr>
      <w:r>
        <w:rPr>
          <w:rFonts w:ascii="Tahoma" w:hAnsi="Tahoma" w:cs="Tahoma"/>
          <w:b/>
          <w:sz w:val="24"/>
          <w:szCs w:val="24"/>
        </w:rPr>
        <w:t>CBZ HOLDINGS L</w:t>
      </w:r>
      <w:r w:rsidR="00E16EDF">
        <w:rPr>
          <w:rFonts w:ascii="Tahoma" w:hAnsi="Tahoma" w:cs="Tahoma"/>
          <w:b/>
          <w:sz w:val="24"/>
          <w:szCs w:val="24"/>
        </w:rPr>
        <w:t>IMITED</w:t>
      </w:r>
      <w:r w:rsidR="00AA24AD" w:rsidRPr="00E16EDF">
        <w:rPr>
          <w:rFonts w:ascii="Tahoma" w:hAnsi="Tahoma" w:cs="Tahoma"/>
          <w:b/>
          <w:sz w:val="24"/>
          <w:szCs w:val="24"/>
        </w:rPr>
        <w:tab/>
      </w:r>
      <w:r w:rsidR="00AA24AD" w:rsidRPr="00E16EDF">
        <w:rPr>
          <w:rFonts w:ascii="Tahoma" w:hAnsi="Tahoma" w:cs="Tahoma"/>
          <w:b/>
          <w:sz w:val="24"/>
          <w:szCs w:val="24"/>
        </w:rPr>
        <w:tab/>
      </w:r>
      <w:r w:rsidR="00AA24AD" w:rsidRPr="00E16EDF">
        <w:rPr>
          <w:rFonts w:ascii="Tahoma" w:hAnsi="Tahoma" w:cs="Tahoma"/>
          <w:b/>
          <w:sz w:val="24"/>
          <w:szCs w:val="24"/>
        </w:rPr>
        <w:tab/>
      </w:r>
      <w:r w:rsidR="008B7E99" w:rsidRPr="00E16EDF">
        <w:rPr>
          <w:rFonts w:ascii="Tahoma" w:hAnsi="Tahoma" w:cs="Tahoma"/>
          <w:b/>
          <w:sz w:val="24"/>
          <w:szCs w:val="24"/>
        </w:rPr>
        <w:tab/>
      </w:r>
      <w:r w:rsidR="007C2D54" w:rsidRPr="00E16EDF">
        <w:rPr>
          <w:rFonts w:ascii="Tahoma" w:hAnsi="Tahoma" w:cs="Tahoma"/>
          <w:b/>
          <w:sz w:val="24"/>
          <w:szCs w:val="24"/>
        </w:rPr>
        <w:t>APPLIC</w:t>
      </w:r>
      <w:r w:rsidR="009F380D" w:rsidRPr="00E16EDF">
        <w:rPr>
          <w:rFonts w:ascii="Tahoma" w:hAnsi="Tahoma" w:cs="Tahoma"/>
          <w:b/>
          <w:sz w:val="24"/>
          <w:szCs w:val="24"/>
        </w:rPr>
        <w:t xml:space="preserve">ANT </w:t>
      </w:r>
    </w:p>
    <w:p w:rsidR="008B7E99" w:rsidRPr="00E16EDF" w:rsidRDefault="008B7E99" w:rsidP="009F380D">
      <w:pPr>
        <w:spacing w:after="0" w:line="240" w:lineRule="auto"/>
        <w:jc w:val="both"/>
        <w:rPr>
          <w:rFonts w:ascii="Tahoma" w:hAnsi="Tahoma" w:cs="Tahoma"/>
          <w:b/>
          <w:sz w:val="24"/>
          <w:szCs w:val="24"/>
        </w:rPr>
      </w:pPr>
    </w:p>
    <w:p w:rsidR="008B7E99" w:rsidRPr="00E16EDF" w:rsidRDefault="008B7E99" w:rsidP="009F380D">
      <w:pPr>
        <w:spacing w:after="0" w:line="240" w:lineRule="auto"/>
        <w:jc w:val="both"/>
        <w:rPr>
          <w:rFonts w:ascii="Tahoma" w:hAnsi="Tahoma" w:cs="Tahoma"/>
          <w:b/>
          <w:sz w:val="24"/>
          <w:szCs w:val="24"/>
        </w:rPr>
      </w:pPr>
    </w:p>
    <w:p w:rsidR="008B7E99" w:rsidRPr="00E16EDF" w:rsidRDefault="00E16EDF" w:rsidP="009F380D">
      <w:pPr>
        <w:spacing w:after="0" w:line="240" w:lineRule="auto"/>
        <w:jc w:val="both"/>
        <w:rPr>
          <w:rFonts w:ascii="Tahoma" w:hAnsi="Tahoma" w:cs="Tahoma"/>
          <w:b/>
          <w:sz w:val="24"/>
          <w:szCs w:val="24"/>
        </w:rPr>
      </w:pPr>
      <w:r>
        <w:rPr>
          <w:rFonts w:ascii="Tahoma" w:hAnsi="Tahoma" w:cs="Tahoma"/>
          <w:b/>
          <w:sz w:val="24"/>
          <w:szCs w:val="24"/>
        </w:rPr>
        <w:t>ROY BARE &amp; 104 OTHERS</w:t>
      </w:r>
      <w:r w:rsidR="007C2D54" w:rsidRPr="00E16EDF">
        <w:rPr>
          <w:rFonts w:ascii="Tahoma" w:hAnsi="Tahoma" w:cs="Tahoma"/>
          <w:b/>
          <w:sz w:val="24"/>
          <w:szCs w:val="24"/>
        </w:rPr>
        <w:tab/>
      </w:r>
      <w:r w:rsidR="007C2D54" w:rsidRPr="00E16EDF">
        <w:rPr>
          <w:rFonts w:ascii="Tahoma" w:hAnsi="Tahoma" w:cs="Tahoma"/>
          <w:b/>
          <w:sz w:val="24"/>
          <w:szCs w:val="24"/>
        </w:rPr>
        <w:tab/>
      </w:r>
      <w:r w:rsidR="007C2D54" w:rsidRPr="00E16EDF">
        <w:rPr>
          <w:rFonts w:ascii="Tahoma" w:hAnsi="Tahoma" w:cs="Tahoma"/>
          <w:b/>
          <w:sz w:val="24"/>
          <w:szCs w:val="24"/>
        </w:rPr>
        <w:tab/>
      </w:r>
      <w:r w:rsidR="007C2D54" w:rsidRPr="00E16EDF">
        <w:rPr>
          <w:rFonts w:ascii="Tahoma" w:hAnsi="Tahoma" w:cs="Tahoma"/>
          <w:b/>
          <w:sz w:val="24"/>
          <w:szCs w:val="24"/>
        </w:rPr>
        <w:tab/>
      </w:r>
      <w:r w:rsidR="008B7E99" w:rsidRPr="00E16EDF">
        <w:rPr>
          <w:rFonts w:ascii="Tahoma" w:hAnsi="Tahoma" w:cs="Tahoma"/>
          <w:b/>
          <w:sz w:val="24"/>
          <w:szCs w:val="24"/>
        </w:rPr>
        <w:t>RESPONDENT</w:t>
      </w:r>
      <w:r>
        <w:rPr>
          <w:rFonts w:ascii="Tahoma" w:hAnsi="Tahoma" w:cs="Tahoma"/>
          <w:b/>
          <w:sz w:val="24"/>
          <w:szCs w:val="24"/>
        </w:rPr>
        <w:t>S</w:t>
      </w:r>
    </w:p>
    <w:p w:rsidR="008B7E99" w:rsidRPr="00E16EDF" w:rsidRDefault="008B7E99" w:rsidP="009F380D">
      <w:pPr>
        <w:spacing w:after="0" w:line="240" w:lineRule="auto"/>
        <w:jc w:val="both"/>
        <w:rPr>
          <w:rFonts w:ascii="Tahoma" w:hAnsi="Tahoma" w:cs="Tahoma"/>
          <w:b/>
          <w:sz w:val="24"/>
          <w:szCs w:val="24"/>
        </w:rPr>
      </w:pPr>
    </w:p>
    <w:p w:rsidR="00EF3B27" w:rsidRPr="00E16EDF" w:rsidRDefault="00EF3B27" w:rsidP="009F380D">
      <w:pPr>
        <w:spacing w:after="0" w:line="240" w:lineRule="auto"/>
        <w:jc w:val="both"/>
        <w:rPr>
          <w:rFonts w:ascii="Tahoma" w:hAnsi="Tahoma" w:cs="Tahoma"/>
          <w:b/>
          <w:sz w:val="24"/>
          <w:szCs w:val="24"/>
        </w:rPr>
      </w:pPr>
    </w:p>
    <w:p w:rsidR="009B1594" w:rsidRPr="00E16EDF" w:rsidRDefault="009B1594" w:rsidP="009F380D">
      <w:pPr>
        <w:spacing w:after="0" w:line="240" w:lineRule="auto"/>
        <w:jc w:val="both"/>
        <w:rPr>
          <w:rFonts w:ascii="Tahoma" w:hAnsi="Tahoma" w:cs="Tahoma"/>
          <w:b/>
          <w:sz w:val="24"/>
          <w:szCs w:val="24"/>
        </w:rPr>
      </w:pPr>
    </w:p>
    <w:p w:rsidR="009F380D" w:rsidRPr="00E16EDF" w:rsidRDefault="009F380D" w:rsidP="009F380D">
      <w:pPr>
        <w:spacing w:after="0" w:line="240" w:lineRule="auto"/>
        <w:jc w:val="both"/>
        <w:rPr>
          <w:rFonts w:ascii="Tahoma" w:hAnsi="Tahoma" w:cs="Tahoma"/>
          <w:b/>
          <w:sz w:val="24"/>
          <w:szCs w:val="24"/>
        </w:rPr>
      </w:pPr>
      <w:r w:rsidRPr="00E16EDF">
        <w:rPr>
          <w:rFonts w:ascii="Tahoma" w:hAnsi="Tahoma" w:cs="Tahoma"/>
          <w:b/>
          <w:sz w:val="24"/>
          <w:szCs w:val="24"/>
        </w:rPr>
        <w:tab/>
      </w:r>
      <w:r w:rsidRPr="00E16EDF">
        <w:rPr>
          <w:rFonts w:ascii="Tahoma" w:hAnsi="Tahoma" w:cs="Tahoma"/>
          <w:b/>
          <w:sz w:val="24"/>
          <w:szCs w:val="24"/>
        </w:rPr>
        <w:tab/>
      </w:r>
    </w:p>
    <w:p w:rsidR="009F380D" w:rsidRPr="00E16EDF" w:rsidRDefault="009F380D" w:rsidP="009F380D">
      <w:pPr>
        <w:spacing w:after="0" w:line="240" w:lineRule="auto"/>
        <w:jc w:val="both"/>
        <w:rPr>
          <w:rFonts w:ascii="Tahoma" w:hAnsi="Tahoma" w:cs="Tahoma"/>
          <w:sz w:val="24"/>
          <w:szCs w:val="24"/>
        </w:rPr>
      </w:pPr>
      <w:r w:rsidRPr="00E16EDF">
        <w:rPr>
          <w:rFonts w:ascii="Tahoma" w:hAnsi="Tahoma" w:cs="Tahoma"/>
          <w:sz w:val="24"/>
          <w:szCs w:val="24"/>
        </w:rPr>
        <w:t>Before the Honourable</w:t>
      </w:r>
      <w:r w:rsidR="00444632" w:rsidRPr="00E16EDF">
        <w:rPr>
          <w:rFonts w:ascii="Tahoma" w:hAnsi="Tahoma" w:cs="Tahoma"/>
          <w:sz w:val="24"/>
          <w:szCs w:val="24"/>
        </w:rPr>
        <w:t xml:space="preserve"> G.</w:t>
      </w:r>
      <w:r w:rsidR="00C95F6E" w:rsidRPr="00E16EDF">
        <w:rPr>
          <w:rFonts w:ascii="Tahoma" w:hAnsi="Tahoma" w:cs="Tahoma"/>
          <w:sz w:val="24"/>
          <w:szCs w:val="24"/>
        </w:rPr>
        <w:t xml:space="preserve"> </w:t>
      </w:r>
      <w:proofErr w:type="spellStart"/>
      <w:r w:rsidR="00C95F6E" w:rsidRPr="00E16EDF">
        <w:rPr>
          <w:rFonts w:ascii="Tahoma" w:hAnsi="Tahoma" w:cs="Tahoma"/>
          <w:sz w:val="24"/>
          <w:szCs w:val="24"/>
        </w:rPr>
        <w:t>Musariri</w:t>
      </w:r>
      <w:proofErr w:type="spellEnd"/>
      <w:r w:rsidR="00E16EDF">
        <w:rPr>
          <w:rFonts w:ascii="Tahoma" w:hAnsi="Tahoma" w:cs="Tahoma"/>
          <w:sz w:val="24"/>
          <w:szCs w:val="24"/>
        </w:rPr>
        <w:t>,</w:t>
      </w:r>
      <w:r w:rsidR="00C95F6E" w:rsidRPr="00E16EDF">
        <w:rPr>
          <w:rFonts w:ascii="Tahoma" w:hAnsi="Tahoma" w:cs="Tahoma"/>
          <w:sz w:val="24"/>
          <w:szCs w:val="24"/>
        </w:rPr>
        <w:t xml:space="preserve"> </w:t>
      </w:r>
      <w:r w:rsidRPr="00E16EDF">
        <w:rPr>
          <w:rFonts w:ascii="Tahoma" w:hAnsi="Tahoma" w:cs="Tahoma"/>
          <w:sz w:val="24"/>
          <w:szCs w:val="24"/>
        </w:rPr>
        <w:t>Judge:</w:t>
      </w:r>
    </w:p>
    <w:p w:rsidR="009F380D" w:rsidRPr="00E16EDF" w:rsidRDefault="009F380D" w:rsidP="009F380D">
      <w:pPr>
        <w:spacing w:after="0" w:line="240" w:lineRule="auto"/>
        <w:jc w:val="both"/>
        <w:rPr>
          <w:rFonts w:ascii="Tahoma" w:hAnsi="Tahoma" w:cs="Tahoma"/>
          <w:sz w:val="24"/>
          <w:szCs w:val="24"/>
        </w:rPr>
      </w:pPr>
    </w:p>
    <w:p w:rsidR="00AA24AD" w:rsidRPr="00E16EDF" w:rsidRDefault="00AA24AD" w:rsidP="009F380D">
      <w:pPr>
        <w:spacing w:after="0" w:line="240" w:lineRule="auto"/>
        <w:jc w:val="both"/>
        <w:rPr>
          <w:rFonts w:ascii="Tahoma" w:hAnsi="Tahoma" w:cs="Tahoma"/>
          <w:sz w:val="24"/>
          <w:szCs w:val="24"/>
        </w:rPr>
      </w:pPr>
    </w:p>
    <w:p w:rsidR="00CD2C15" w:rsidRPr="00E16EDF" w:rsidRDefault="00C95F6E" w:rsidP="0023750B">
      <w:pPr>
        <w:spacing w:after="0" w:line="360" w:lineRule="auto"/>
        <w:jc w:val="both"/>
        <w:rPr>
          <w:rFonts w:ascii="Tahoma" w:hAnsi="Tahoma" w:cs="Tahoma"/>
          <w:sz w:val="24"/>
          <w:szCs w:val="24"/>
        </w:rPr>
      </w:pPr>
      <w:r w:rsidRPr="00E16EDF">
        <w:rPr>
          <w:rFonts w:ascii="Tahoma" w:hAnsi="Tahoma" w:cs="Tahoma"/>
          <w:sz w:val="24"/>
          <w:szCs w:val="24"/>
        </w:rPr>
        <w:t xml:space="preserve">For </w:t>
      </w:r>
      <w:r w:rsidR="00DE27AA" w:rsidRPr="00E16EDF">
        <w:rPr>
          <w:rFonts w:ascii="Tahoma" w:hAnsi="Tahoma" w:cs="Tahoma"/>
          <w:sz w:val="24"/>
          <w:szCs w:val="24"/>
        </w:rPr>
        <w:t>Applicant</w:t>
      </w:r>
      <w:r w:rsidR="00D0190F">
        <w:rPr>
          <w:rFonts w:ascii="Tahoma" w:hAnsi="Tahoma" w:cs="Tahoma"/>
          <w:sz w:val="24"/>
          <w:szCs w:val="24"/>
        </w:rPr>
        <w:t>:</w:t>
      </w:r>
      <w:r w:rsidR="009F380D" w:rsidRPr="00E16EDF">
        <w:rPr>
          <w:rFonts w:ascii="Tahoma" w:hAnsi="Tahoma" w:cs="Tahoma"/>
          <w:sz w:val="24"/>
          <w:szCs w:val="24"/>
        </w:rPr>
        <w:tab/>
      </w:r>
      <w:r w:rsidR="00AF2455" w:rsidRPr="00E16EDF">
        <w:rPr>
          <w:rFonts w:ascii="Tahoma" w:hAnsi="Tahoma" w:cs="Tahoma"/>
          <w:sz w:val="24"/>
          <w:szCs w:val="24"/>
        </w:rPr>
        <w:tab/>
      </w:r>
      <w:r w:rsidR="00AF2455" w:rsidRPr="00E16EDF">
        <w:rPr>
          <w:rFonts w:ascii="Tahoma" w:hAnsi="Tahoma" w:cs="Tahoma"/>
          <w:sz w:val="24"/>
          <w:szCs w:val="24"/>
        </w:rPr>
        <w:tab/>
        <w:t xml:space="preserve">- </w:t>
      </w:r>
      <w:r w:rsidR="00E16EDF">
        <w:rPr>
          <w:rFonts w:ascii="Tahoma" w:hAnsi="Tahoma" w:cs="Tahoma"/>
          <w:sz w:val="24"/>
          <w:szCs w:val="24"/>
        </w:rPr>
        <w:t xml:space="preserve">A. </w:t>
      </w:r>
      <w:proofErr w:type="spellStart"/>
      <w:r w:rsidR="00E16EDF">
        <w:rPr>
          <w:rFonts w:ascii="Tahoma" w:hAnsi="Tahoma" w:cs="Tahoma"/>
          <w:sz w:val="24"/>
          <w:szCs w:val="24"/>
        </w:rPr>
        <w:t>Moyo</w:t>
      </w:r>
      <w:proofErr w:type="spellEnd"/>
      <w:r w:rsidR="00E16EDF">
        <w:rPr>
          <w:rFonts w:ascii="Tahoma" w:hAnsi="Tahoma" w:cs="Tahoma"/>
          <w:sz w:val="24"/>
          <w:szCs w:val="24"/>
        </w:rPr>
        <w:t xml:space="preserve"> &amp; G. </w:t>
      </w:r>
      <w:proofErr w:type="spellStart"/>
      <w:r w:rsidR="00E16EDF">
        <w:rPr>
          <w:rFonts w:ascii="Tahoma" w:hAnsi="Tahoma" w:cs="Tahoma"/>
          <w:sz w:val="24"/>
          <w:szCs w:val="24"/>
        </w:rPr>
        <w:t>Sithole</w:t>
      </w:r>
      <w:proofErr w:type="spellEnd"/>
      <w:r w:rsidR="00E16EDF">
        <w:rPr>
          <w:rFonts w:ascii="Tahoma" w:hAnsi="Tahoma" w:cs="Tahoma"/>
          <w:sz w:val="24"/>
          <w:szCs w:val="24"/>
        </w:rPr>
        <w:t>, Attorneys</w:t>
      </w:r>
    </w:p>
    <w:p w:rsidR="00C95F6E" w:rsidRPr="00E16EDF" w:rsidRDefault="00C95F6E" w:rsidP="0023750B">
      <w:pPr>
        <w:spacing w:after="0" w:line="360" w:lineRule="auto"/>
        <w:jc w:val="both"/>
        <w:rPr>
          <w:rFonts w:ascii="Tahoma" w:hAnsi="Tahoma" w:cs="Tahoma"/>
          <w:sz w:val="24"/>
          <w:szCs w:val="24"/>
        </w:rPr>
      </w:pPr>
    </w:p>
    <w:p w:rsidR="009F380D" w:rsidRPr="00E16EDF" w:rsidRDefault="00CD2C15" w:rsidP="0023750B">
      <w:pPr>
        <w:spacing w:after="0" w:line="360" w:lineRule="auto"/>
        <w:jc w:val="both"/>
        <w:rPr>
          <w:rFonts w:ascii="Tahoma" w:hAnsi="Tahoma" w:cs="Tahoma"/>
          <w:sz w:val="24"/>
          <w:szCs w:val="24"/>
        </w:rPr>
      </w:pPr>
      <w:r w:rsidRPr="00E16EDF">
        <w:rPr>
          <w:rFonts w:ascii="Tahoma" w:hAnsi="Tahoma" w:cs="Tahoma"/>
          <w:sz w:val="24"/>
          <w:szCs w:val="24"/>
        </w:rPr>
        <w:t>For Respondent</w:t>
      </w:r>
      <w:r w:rsidR="00EF3B27" w:rsidRPr="00E16EDF">
        <w:rPr>
          <w:rFonts w:ascii="Tahoma" w:hAnsi="Tahoma" w:cs="Tahoma"/>
          <w:sz w:val="24"/>
          <w:szCs w:val="24"/>
        </w:rPr>
        <w:t>s</w:t>
      </w:r>
      <w:r w:rsidR="00D0190F">
        <w:rPr>
          <w:rFonts w:ascii="Tahoma" w:hAnsi="Tahoma" w:cs="Tahoma"/>
          <w:sz w:val="24"/>
          <w:szCs w:val="24"/>
        </w:rPr>
        <w:t xml:space="preserve">: </w:t>
      </w:r>
      <w:r w:rsidR="00AF2455" w:rsidRPr="00E16EDF">
        <w:rPr>
          <w:rFonts w:ascii="Tahoma" w:hAnsi="Tahoma" w:cs="Tahoma"/>
          <w:sz w:val="24"/>
          <w:szCs w:val="24"/>
        </w:rPr>
        <w:tab/>
      </w:r>
      <w:r w:rsidR="00AF2455" w:rsidRPr="00E16EDF">
        <w:rPr>
          <w:rFonts w:ascii="Tahoma" w:hAnsi="Tahoma" w:cs="Tahoma"/>
          <w:sz w:val="24"/>
          <w:szCs w:val="24"/>
        </w:rPr>
        <w:tab/>
      </w:r>
      <w:r w:rsidR="00D0190F">
        <w:rPr>
          <w:rFonts w:ascii="Tahoma" w:hAnsi="Tahoma" w:cs="Tahoma"/>
          <w:sz w:val="24"/>
          <w:szCs w:val="24"/>
        </w:rPr>
        <w:tab/>
      </w:r>
      <w:r w:rsidR="00AF2455" w:rsidRPr="00E16EDF">
        <w:rPr>
          <w:rFonts w:ascii="Tahoma" w:hAnsi="Tahoma" w:cs="Tahoma"/>
          <w:sz w:val="24"/>
          <w:szCs w:val="24"/>
        </w:rPr>
        <w:t xml:space="preserve">- </w:t>
      </w:r>
      <w:r w:rsidR="00E16EDF">
        <w:rPr>
          <w:rFonts w:ascii="Tahoma" w:hAnsi="Tahoma" w:cs="Tahoma"/>
          <w:sz w:val="24"/>
          <w:szCs w:val="24"/>
        </w:rPr>
        <w:t xml:space="preserve">E. </w:t>
      </w:r>
      <w:proofErr w:type="spellStart"/>
      <w:r w:rsidR="00E16EDF">
        <w:rPr>
          <w:rFonts w:ascii="Tahoma" w:hAnsi="Tahoma" w:cs="Tahoma"/>
          <w:sz w:val="24"/>
          <w:szCs w:val="24"/>
        </w:rPr>
        <w:t>Majena</w:t>
      </w:r>
      <w:proofErr w:type="spellEnd"/>
      <w:r w:rsidR="00DE27AA" w:rsidRPr="00E16EDF">
        <w:rPr>
          <w:rFonts w:ascii="Tahoma" w:hAnsi="Tahoma" w:cs="Tahoma"/>
          <w:sz w:val="24"/>
          <w:szCs w:val="24"/>
        </w:rPr>
        <w:t>, Attorney</w:t>
      </w:r>
    </w:p>
    <w:p w:rsidR="00AA24AD" w:rsidRPr="00E16EDF" w:rsidRDefault="00AA24AD" w:rsidP="009F380D">
      <w:pPr>
        <w:spacing w:after="0" w:line="240" w:lineRule="auto"/>
        <w:jc w:val="both"/>
        <w:rPr>
          <w:rFonts w:ascii="Tahoma" w:hAnsi="Tahoma" w:cs="Tahoma"/>
          <w:b/>
          <w:sz w:val="24"/>
          <w:szCs w:val="24"/>
        </w:rPr>
      </w:pPr>
    </w:p>
    <w:p w:rsidR="005D74BC" w:rsidRPr="00E16EDF" w:rsidRDefault="005D74BC" w:rsidP="00C95F6E">
      <w:pPr>
        <w:spacing w:after="0" w:line="360" w:lineRule="auto"/>
        <w:jc w:val="both"/>
        <w:rPr>
          <w:rFonts w:ascii="Tahoma" w:hAnsi="Tahoma" w:cs="Tahoma"/>
          <w:b/>
          <w:sz w:val="24"/>
          <w:szCs w:val="24"/>
        </w:rPr>
      </w:pPr>
    </w:p>
    <w:p w:rsidR="009F380D" w:rsidRDefault="009F380D" w:rsidP="00C95F6E">
      <w:pPr>
        <w:spacing w:after="0" w:line="360" w:lineRule="auto"/>
        <w:jc w:val="both"/>
        <w:rPr>
          <w:rFonts w:ascii="Tahoma" w:hAnsi="Tahoma" w:cs="Tahoma"/>
          <w:b/>
          <w:sz w:val="24"/>
          <w:szCs w:val="24"/>
        </w:rPr>
      </w:pPr>
      <w:r w:rsidRPr="00E16EDF">
        <w:rPr>
          <w:rFonts w:ascii="Tahoma" w:hAnsi="Tahoma" w:cs="Tahoma"/>
          <w:b/>
          <w:sz w:val="24"/>
          <w:szCs w:val="24"/>
        </w:rPr>
        <w:t>MUSARIRI, J:</w:t>
      </w:r>
    </w:p>
    <w:p w:rsidR="004A735A" w:rsidRPr="00E16EDF" w:rsidRDefault="004A735A" w:rsidP="00C95F6E">
      <w:pPr>
        <w:spacing w:after="0" w:line="360" w:lineRule="auto"/>
        <w:jc w:val="both"/>
        <w:rPr>
          <w:rFonts w:ascii="Tahoma" w:hAnsi="Tahoma" w:cs="Tahoma"/>
          <w:b/>
          <w:sz w:val="24"/>
          <w:szCs w:val="24"/>
        </w:rPr>
      </w:pPr>
    </w:p>
    <w:p w:rsidR="00E16EDF" w:rsidRDefault="00DE27AA" w:rsidP="00E16EDF">
      <w:pPr>
        <w:spacing w:after="0" w:line="360" w:lineRule="auto"/>
        <w:ind w:firstLine="720"/>
        <w:jc w:val="both"/>
        <w:rPr>
          <w:rFonts w:ascii="Tahoma" w:hAnsi="Tahoma" w:cs="Tahoma"/>
          <w:sz w:val="24"/>
          <w:szCs w:val="24"/>
        </w:rPr>
      </w:pPr>
      <w:r w:rsidRPr="00E16EDF">
        <w:rPr>
          <w:rFonts w:ascii="Tahoma" w:hAnsi="Tahoma" w:cs="Tahoma"/>
          <w:sz w:val="24"/>
          <w:szCs w:val="24"/>
        </w:rPr>
        <w:t xml:space="preserve">Applicant </w:t>
      </w:r>
      <w:r w:rsidR="004A735A">
        <w:rPr>
          <w:rFonts w:ascii="Tahoma" w:hAnsi="Tahoma" w:cs="Tahoma"/>
          <w:sz w:val="24"/>
          <w:szCs w:val="24"/>
        </w:rPr>
        <w:t>filed in this Court a composite application for condonation and leave to appeal to the Supreme Court. The application was made in terms of section 92F</w:t>
      </w:r>
      <w:r w:rsidR="005A15F1">
        <w:rPr>
          <w:rFonts w:ascii="Tahoma" w:hAnsi="Tahoma" w:cs="Tahoma"/>
          <w:sz w:val="24"/>
          <w:szCs w:val="24"/>
        </w:rPr>
        <w:t xml:space="preserve"> </w:t>
      </w:r>
      <w:r w:rsidR="004A735A">
        <w:rPr>
          <w:rFonts w:ascii="Tahoma" w:hAnsi="Tahoma" w:cs="Tahoma"/>
          <w:sz w:val="24"/>
          <w:szCs w:val="24"/>
        </w:rPr>
        <w:t xml:space="preserve">(2) of the </w:t>
      </w:r>
      <w:r w:rsidR="004A735A" w:rsidRPr="00DF58B3">
        <w:rPr>
          <w:rFonts w:ascii="Tahoma" w:hAnsi="Tahoma" w:cs="Tahoma"/>
          <w:sz w:val="24"/>
          <w:szCs w:val="24"/>
          <w:u w:val="single"/>
        </w:rPr>
        <w:t>Labou</w:t>
      </w:r>
      <w:r w:rsidR="004A735A" w:rsidRPr="00DF58B3">
        <w:rPr>
          <w:rFonts w:ascii="Tahoma" w:hAnsi="Tahoma" w:cs="Tahoma"/>
          <w:sz w:val="24"/>
          <w:szCs w:val="24"/>
        </w:rPr>
        <w:t xml:space="preserve">r </w:t>
      </w:r>
      <w:r w:rsidR="004A735A" w:rsidRPr="00DF58B3">
        <w:rPr>
          <w:rFonts w:ascii="Tahoma" w:hAnsi="Tahoma" w:cs="Tahoma"/>
          <w:sz w:val="24"/>
          <w:szCs w:val="24"/>
          <w:u w:val="single"/>
        </w:rPr>
        <w:t>Act</w:t>
      </w:r>
      <w:r w:rsidR="004A735A">
        <w:rPr>
          <w:rFonts w:ascii="Tahoma" w:hAnsi="Tahoma" w:cs="Tahoma"/>
          <w:sz w:val="24"/>
          <w:szCs w:val="24"/>
        </w:rPr>
        <w:t xml:space="preserve"> </w:t>
      </w:r>
      <w:r w:rsidR="004A735A" w:rsidRPr="004A735A">
        <w:rPr>
          <w:rFonts w:ascii="Tahoma" w:hAnsi="Tahoma" w:cs="Tahoma"/>
          <w:i/>
          <w:sz w:val="24"/>
          <w:szCs w:val="24"/>
        </w:rPr>
        <w:t>[Chapter 28:01]</w:t>
      </w:r>
      <w:r w:rsidR="004A735A">
        <w:rPr>
          <w:rFonts w:ascii="Tahoma" w:hAnsi="Tahoma" w:cs="Tahoma"/>
          <w:sz w:val="24"/>
          <w:szCs w:val="24"/>
        </w:rPr>
        <w:t xml:space="preserve"> as read with rules 32 and 43 of the </w:t>
      </w:r>
      <w:r w:rsidR="004A735A" w:rsidRPr="00DF58B3">
        <w:rPr>
          <w:rFonts w:ascii="Tahoma" w:hAnsi="Tahoma" w:cs="Tahoma"/>
          <w:sz w:val="24"/>
          <w:szCs w:val="24"/>
          <w:u w:val="single"/>
        </w:rPr>
        <w:t>Labour</w:t>
      </w:r>
      <w:r w:rsidR="004A735A">
        <w:rPr>
          <w:rFonts w:ascii="Tahoma" w:hAnsi="Tahoma" w:cs="Tahoma"/>
          <w:sz w:val="24"/>
          <w:szCs w:val="24"/>
        </w:rPr>
        <w:t xml:space="preserve"> </w:t>
      </w:r>
      <w:r w:rsidR="004A735A" w:rsidRPr="00DF58B3">
        <w:rPr>
          <w:rFonts w:ascii="Tahoma" w:hAnsi="Tahoma" w:cs="Tahoma"/>
          <w:sz w:val="24"/>
          <w:szCs w:val="24"/>
          <w:u w:val="single"/>
        </w:rPr>
        <w:t>Court Rules,</w:t>
      </w:r>
      <w:r w:rsidR="004A735A">
        <w:rPr>
          <w:rFonts w:ascii="Tahoma" w:hAnsi="Tahoma" w:cs="Tahoma"/>
          <w:sz w:val="24"/>
          <w:szCs w:val="24"/>
        </w:rPr>
        <w:t xml:space="preserve"> 2017. Respondents opposed the application.</w:t>
      </w:r>
    </w:p>
    <w:p w:rsidR="00DF58B3" w:rsidRDefault="00DF58B3" w:rsidP="00E16EDF">
      <w:pPr>
        <w:spacing w:after="0" w:line="360" w:lineRule="auto"/>
        <w:ind w:firstLine="720"/>
        <w:jc w:val="both"/>
        <w:rPr>
          <w:rFonts w:ascii="Tahoma" w:hAnsi="Tahoma" w:cs="Tahoma"/>
          <w:sz w:val="24"/>
          <w:szCs w:val="24"/>
        </w:rPr>
      </w:pPr>
    </w:p>
    <w:p w:rsidR="00DF58B3" w:rsidRDefault="00DF58B3" w:rsidP="00E16EDF">
      <w:pPr>
        <w:spacing w:after="0" w:line="360" w:lineRule="auto"/>
        <w:ind w:firstLine="720"/>
        <w:jc w:val="both"/>
        <w:rPr>
          <w:rFonts w:ascii="Tahoma" w:hAnsi="Tahoma" w:cs="Tahoma"/>
          <w:sz w:val="24"/>
          <w:szCs w:val="24"/>
        </w:rPr>
      </w:pPr>
      <w:r>
        <w:rPr>
          <w:rFonts w:ascii="Tahoma" w:hAnsi="Tahoma" w:cs="Tahoma"/>
          <w:sz w:val="24"/>
          <w:szCs w:val="24"/>
        </w:rPr>
        <w:t xml:space="preserve">Respondents’ heads of argument raised 2 points </w:t>
      </w:r>
      <w:r w:rsidRPr="00246944">
        <w:rPr>
          <w:rFonts w:ascii="Tahoma" w:hAnsi="Tahoma" w:cs="Tahoma"/>
          <w:i/>
          <w:sz w:val="24"/>
          <w:szCs w:val="24"/>
          <w:u w:val="single"/>
        </w:rPr>
        <w:t>in</w:t>
      </w:r>
      <w:r>
        <w:rPr>
          <w:rFonts w:ascii="Tahoma" w:hAnsi="Tahoma" w:cs="Tahoma"/>
          <w:sz w:val="24"/>
          <w:szCs w:val="24"/>
        </w:rPr>
        <w:t xml:space="preserve"> </w:t>
      </w:r>
      <w:proofErr w:type="spellStart"/>
      <w:r w:rsidRPr="00246944">
        <w:rPr>
          <w:rFonts w:ascii="Tahoma" w:hAnsi="Tahoma" w:cs="Tahoma"/>
          <w:i/>
          <w:sz w:val="24"/>
          <w:szCs w:val="24"/>
          <w:u w:val="single"/>
        </w:rPr>
        <w:t>limine</w:t>
      </w:r>
      <w:proofErr w:type="spellEnd"/>
      <w:r>
        <w:rPr>
          <w:rFonts w:ascii="Tahoma" w:hAnsi="Tahoma" w:cs="Tahoma"/>
          <w:sz w:val="24"/>
          <w:szCs w:val="24"/>
        </w:rPr>
        <w:t xml:space="preserve"> which will be addressed</w:t>
      </w:r>
      <w:r w:rsidR="00F94CBA">
        <w:rPr>
          <w:rFonts w:ascii="Tahoma" w:hAnsi="Tahoma" w:cs="Tahoma"/>
          <w:sz w:val="24"/>
          <w:szCs w:val="24"/>
        </w:rPr>
        <w:t xml:space="preserve"> ad seriatim.</w:t>
      </w:r>
    </w:p>
    <w:p w:rsidR="00F94CBA" w:rsidRPr="00E92EAA" w:rsidRDefault="00F94CBA" w:rsidP="00E16EDF">
      <w:pPr>
        <w:spacing w:after="0" w:line="360" w:lineRule="auto"/>
        <w:ind w:firstLine="720"/>
        <w:jc w:val="both"/>
        <w:rPr>
          <w:rFonts w:ascii="Tahoma" w:hAnsi="Tahoma" w:cs="Tahoma"/>
          <w:i/>
          <w:sz w:val="24"/>
          <w:szCs w:val="24"/>
          <w:u w:val="single"/>
        </w:rPr>
      </w:pPr>
      <w:r>
        <w:rPr>
          <w:rFonts w:ascii="Tahoma" w:hAnsi="Tahoma" w:cs="Tahoma"/>
          <w:sz w:val="24"/>
          <w:szCs w:val="24"/>
        </w:rPr>
        <w:t xml:space="preserve">“1. </w:t>
      </w:r>
      <w:r w:rsidR="00FD0A08">
        <w:rPr>
          <w:rFonts w:ascii="Tahoma" w:hAnsi="Tahoma" w:cs="Tahoma"/>
          <w:i/>
          <w:sz w:val="24"/>
          <w:szCs w:val="24"/>
          <w:u w:val="single"/>
        </w:rPr>
        <w:t>Application</w:t>
      </w:r>
      <w:r w:rsidRPr="00E92EAA">
        <w:rPr>
          <w:rFonts w:ascii="Tahoma" w:hAnsi="Tahoma" w:cs="Tahoma"/>
          <w:i/>
          <w:sz w:val="24"/>
          <w:szCs w:val="24"/>
          <w:u w:val="single"/>
        </w:rPr>
        <w:t xml:space="preserve"> made in terms of the wrong provisions.</w:t>
      </w:r>
    </w:p>
    <w:p w:rsidR="00F94CBA" w:rsidRPr="00ED6740" w:rsidRDefault="00F94CBA" w:rsidP="00F94CBA">
      <w:pPr>
        <w:pStyle w:val="ListParagraph"/>
        <w:numPr>
          <w:ilvl w:val="1"/>
          <w:numId w:val="27"/>
        </w:numPr>
        <w:spacing w:after="0" w:line="360" w:lineRule="auto"/>
        <w:jc w:val="both"/>
        <w:rPr>
          <w:rFonts w:ascii="Tahoma" w:hAnsi="Tahoma" w:cs="Tahoma"/>
          <w:i/>
        </w:rPr>
      </w:pPr>
      <w:r w:rsidRPr="00ED6740">
        <w:rPr>
          <w:rFonts w:ascii="Tahoma" w:hAnsi="Tahoma" w:cs="Tahoma"/>
          <w:i/>
        </w:rPr>
        <w:t>It is humbly submitted that this application</w:t>
      </w:r>
      <w:r w:rsidR="00E92EAA" w:rsidRPr="00ED6740">
        <w:rPr>
          <w:rFonts w:ascii="Tahoma" w:hAnsi="Tahoma" w:cs="Tahoma"/>
          <w:i/>
        </w:rPr>
        <w:t xml:space="preserve"> has been made in terms of a generic provisions which are not clear or applicable in </w:t>
      </w:r>
      <w:proofErr w:type="spellStart"/>
      <w:r w:rsidR="00E92EAA" w:rsidRPr="00ED6740">
        <w:rPr>
          <w:rFonts w:ascii="Tahoma" w:hAnsi="Tahoma" w:cs="Tahoma"/>
          <w:b/>
          <w:i/>
        </w:rPr>
        <w:t>casu</w:t>
      </w:r>
      <w:proofErr w:type="spellEnd"/>
      <w:r w:rsidR="00E92EAA" w:rsidRPr="00ED6740">
        <w:rPr>
          <w:rFonts w:ascii="Tahoma" w:hAnsi="Tahoma" w:cs="Tahoma"/>
          <w:b/>
          <w:i/>
        </w:rPr>
        <w:t>.</w:t>
      </w:r>
      <w:r w:rsidR="00E92EAA" w:rsidRPr="00ED6740">
        <w:rPr>
          <w:rFonts w:ascii="Tahoma" w:hAnsi="Tahoma" w:cs="Tahoma"/>
          <w:i/>
        </w:rPr>
        <w:t xml:space="preserve"> The defect is not merely technical</w:t>
      </w:r>
      <w:r w:rsidR="00246944" w:rsidRPr="00ED6740">
        <w:rPr>
          <w:rFonts w:ascii="Tahoma" w:hAnsi="Tahoma" w:cs="Tahoma"/>
          <w:i/>
        </w:rPr>
        <w:t xml:space="preserve"> but fatal.</w:t>
      </w:r>
    </w:p>
    <w:p w:rsidR="00246944" w:rsidRPr="00ED6740" w:rsidRDefault="00246944" w:rsidP="00F94CBA">
      <w:pPr>
        <w:pStyle w:val="ListParagraph"/>
        <w:numPr>
          <w:ilvl w:val="1"/>
          <w:numId w:val="27"/>
        </w:numPr>
        <w:spacing w:after="0" w:line="360" w:lineRule="auto"/>
        <w:jc w:val="both"/>
        <w:rPr>
          <w:rFonts w:ascii="Tahoma" w:hAnsi="Tahoma" w:cs="Tahoma"/>
          <w:i/>
        </w:rPr>
      </w:pPr>
      <w:r w:rsidRPr="00ED6740">
        <w:rPr>
          <w:rFonts w:ascii="Tahoma" w:hAnsi="Tahoma" w:cs="Tahoma"/>
          <w:i/>
        </w:rPr>
        <w:t xml:space="preserve">The manner in which this application has been framed reveals a fundamental defect. The Applicants have invoked a multiplicity of </w:t>
      </w:r>
      <w:r w:rsidRPr="00ED6740">
        <w:rPr>
          <w:rFonts w:ascii="Tahoma" w:hAnsi="Tahoma" w:cs="Tahoma"/>
          <w:i/>
        </w:rPr>
        <w:lastRenderedPageBreak/>
        <w:t>provisions without identifying, with any precision, the legal basis upon which the application is brought. This approach is not only</w:t>
      </w:r>
      <w:r w:rsidR="005065CD">
        <w:rPr>
          <w:rFonts w:ascii="Tahoma" w:hAnsi="Tahoma" w:cs="Tahoma"/>
          <w:i/>
        </w:rPr>
        <w:t xml:space="preserve"> irregular bu</w:t>
      </w:r>
      <w:r w:rsidR="00DC207B" w:rsidRPr="00ED6740">
        <w:rPr>
          <w:rFonts w:ascii="Tahoma" w:hAnsi="Tahoma" w:cs="Tahoma"/>
          <w:i/>
        </w:rPr>
        <w:t>t demonstrates a clear uncertainty as to the cause of action being pursued.</w:t>
      </w:r>
    </w:p>
    <w:p w:rsidR="00DC207B" w:rsidRDefault="00DC207B" w:rsidP="00F94CBA">
      <w:pPr>
        <w:pStyle w:val="ListParagraph"/>
        <w:numPr>
          <w:ilvl w:val="1"/>
          <w:numId w:val="27"/>
        </w:numPr>
        <w:spacing w:after="0" w:line="360" w:lineRule="auto"/>
        <w:jc w:val="both"/>
        <w:rPr>
          <w:rFonts w:ascii="Tahoma" w:hAnsi="Tahoma" w:cs="Tahoma"/>
          <w:i/>
        </w:rPr>
      </w:pPr>
      <w:r w:rsidRPr="00ED6740">
        <w:rPr>
          <w:rFonts w:ascii="Tahoma" w:hAnsi="Tahoma" w:cs="Tahoma"/>
          <w:i/>
        </w:rPr>
        <w:t>Significantly, the Applicants concede that they have not anchored their application on any specific provision of the Act or the Rules. Instead, they seek to remedy this defect in their heads of argument. This is impermissible. It is trite that a litigant must make out its case in the founding affidavit, and that an application stands or falls on that affidavit. Heads of argument are evidence and cannot be used to cure a fatally, defective pleading.”</w:t>
      </w:r>
    </w:p>
    <w:p w:rsidR="006C786B" w:rsidRDefault="006C786B" w:rsidP="006C786B">
      <w:pPr>
        <w:spacing w:after="0" w:line="360" w:lineRule="auto"/>
        <w:jc w:val="both"/>
        <w:rPr>
          <w:rFonts w:ascii="Tahoma" w:hAnsi="Tahoma" w:cs="Tahoma"/>
          <w:i/>
        </w:rPr>
      </w:pPr>
    </w:p>
    <w:p w:rsidR="006C786B" w:rsidRDefault="006C786B" w:rsidP="006C786B">
      <w:pPr>
        <w:spacing w:after="0" w:line="360" w:lineRule="auto"/>
        <w:jc w:val="both"/>
        <w:rPr>
          <w:rFonts w:ascii="Tahoma" w:hAnsi="Tahoma" w:cs="Tahoma"/>
          <w:sz w:val="24"/>
          <w:szCs w:val="24"/>
        </w:rPr>
      </w:pPr>
      <w:r w:rsidRPr="006C786B">
        <w:rPr>
          <w:rFonts w:ascii="Tahoma" w:hAnsi="Tahoma" w:cs="Tahoma"/>
          <w:sz w:val="24"/>
          <w:szCs w:val="24"/>
        </w:rPr>
        <w:t>Applicant’s hea</w:t>
      </w:r>
      <w:r w:rsidR="007F0901">
        <w:rPr>
          <w:rFonts w:ascii="Tahoma" w:hAnsi="Tahoma" w:cs="Tahoma"/>
          <w:sz w:val="24"/>
          <w:szCs w:val="24"/>
        </w:rPr>
        <w:t>ds of argument pushed back thus;</w:t>
      </w:r>
    </w:p>
    <w:p w:rsidR="006C786B" w:rsidRPr="00DB7F44" w:rsidRDefault="006C786B" w:rsidP="006C786B">
      <w:pPr>
        <w:spacing w:after="0" w:line="360" w:lineRule="auto"/>
        <w:ind w:left="1440" w:hanging="720"/>
        <w:jc w:val="both"/>
        <w:rPr>
          <w:rFonts w:ascii="Tahoma" w:hAnsi="Tahoma" w:cs="Tahoma"/>
          <w:i/>
        </w:rPr>
      </w:pPr>
      <w:r>
        <w:rPr>
          <w:rFonts w:ascii="Tahoma" w:hAnsi="Tahoma" w:cs="Tahoma"/>
          <w:sz w:val="24"/>
          <w:szCs w:val="24"/>
        </w:rPr>
        <w:t>“</w:t>
      </w:r>
      <w:r w:rsidRPr="00DB7F44">
        <w:rPr>
          <w:rFonts w:ascii="Tahoma" w:hAnsi="Tahoma" w:cs="Tahoma"/>
          <w:i/>
        </w:rPr>
        <w:t>3.</w:t>
      </w:r>
      <w:r w:rsidRPr="00DB7F44">
        <w:rPr>
          <w:rFonts w:ascii="Tahoma" w:hAnsi="Tahoma" w:cs="Tahoma"/>
          <w:i/>
        </w:rPr>
        <w:tab/>
        <w:t>In this case, the Applicant is out of time within which to apply for leave to appeal.  Applicant accepts that it cannot simply file an application for leave without seeking the indulgence of the Honourable Court. There is therefore a need to apply “for condonation for the late filing of an application for leave to appeal. “Rule 32(a) of the Rules is relevant to the application and was properly invoked.</w:t>
      </w:r>
    </w:p>
    <w:p w:rsidR="006C786B" w:rsidRPr="00DB7F44" w:rsidRDefault="006C786B" w:rsidP="006C786B">
      <w:pPr>
        <w:spacing w:after="0" w:line="360" w:lineRule="auto"/>
        <w:ind w:left="1440" w:hanging="720"/>
        <w:jc w:val="both"/>
        <w:rPr>
          <w:rFonts w:ascii="Tahoma" w:hAnsi="Tahoma" w:cs="Tahoma"/>
          <w:i/>
        </w:rPr>
      </w:pPr>
      <w:r w:rsidRPr="00DB7F44">
        <w:rPr>
          <w:rFonts w:ascii="Tahoma" w:hAnsi="Tahoma" w:cs="Tahoma"/>
          <w:i/>
        </w:rPr>
        <w:t>4.</w:t>
      </w:r>
      <w:r w:rsidRPr="00DB7F44">
        <w:rPr>
          <w:rFonts w:ascii="Tahoma" w:hAnsi="Tahoma" w:cs="Tahoma"/>
          <w:i/>
        </w:rPr>
        <w:tab/>
        <w:t>The Applicant is also aware that the Rules have no provision for the filing of a composite application for condonation for the late filing of an application for leave to appeal and for leave to appeal itself.</w:t>
      </w:r>
      <w:r w:rsidR="00F96258" w:rsidRPr="00DB7F44">
        <w:rPr>
          <w:rFonts w:ascii="Tahoma" w:hAnsi="Tahoma" w:cs="Tahoma"/>
          <w:i/>
        </w:rPr>
        <w:t xml:space="preserve"> However, Applicant believes that it is expedient and equitable that the two applications be heard together given that the requirements for the two applications are related. For this reason, the Applicant</w:t>
      </w:r>
      <w:r w:rsidR="00BB62C4" w:rsidRPr="00DB7F44">
        <w:rPr>
          <w:rFonts w:ascii="Tahoma" w:hAnsi="Tahoma" w:cs="Tahoma"/>
          <w:i/>
        </w:rPr>
        <w:t xml:space="preserve"> has also invoked the Court’s powers in terms of Rule 32(b) of the Rules.</w:t>
      </w:r>
    </w:p>
    <w:p w:rsidR="00BB62C4" w:rsidRDefault="00BB62C4" w:rsidP="006C786B">
      <w:pPr>
        <w:spacing w:after="0" w:line="360" w:lineRule="auto"/>
        <w:ind w:left="1440" w:hanging="720"/>
        <w:jc w:val="both"/>
        <w:rPr>
          <w:rFonts w:ascii="Tahoma" w:hAnsi="Tahoma" w:cs="Tahoma"/>
          <w:i/>
        </w:rPr>
      </w:pPr>
      <w:r w:rsidRPr="00DB7F44">
        <w:rPr>
          <w:rFonts w:ascii="Tahoma" w:hAnsi="Tahoma" w:cs="Tahoma"/>
          <w:i/>
        </w:rPr>
        <w:t xml:space="preserve">5. </w:t>
      </w:r>
      <w:r w:rsidRPr="00DB7F44">
        <w:rPr>
          <w:rFonts w:ascii="Tahoma" w:hAnsi="Tahoma" w:cs="Tahoma"/>
          <w:i/>
        </w:rPr>
        <w:tab/>
      </w:r>
      <w:r w:rsidR="00EC2013" w:rsidRPr="00DB7F44">
        <w:rPr>
          <w:rFonts w:ascii="Tahoma" w:hAnsi="Tahoma" w:cs="Tahoma"/>
          <w:i/>
        </w:rPr>
        <w:t>Section 92F</w:t>
      </w:r>
      <w:r w:rsidR="00DB7F44">
        <w:rPr>
          <w:rFonts w:ascii="Tahoma" w:hAnsi="Tahoma" w:cs="Tahoma"/>
          <w:i/>
        </w:rPr>
        <w:t xml:space="preserve"> </w:t>
      </w:r>
      <w:r w:rsidR="00EC2013" w:rsidRPr="00DB7F44">
        <w:rPr>
          <w:rFonts w:ascii="Tahoma" w:hAnsi="Tahoma" w:cs="Tahoma"/>
          <w:i/>
        </w:rPr>
        <w:t>(2) of the Act as read with rule 43 are the enabling provisions for the filing of an application for leave to appeal. It is on this simple basis</w:t>
      </w:r>
      <w:r w:rsidR="002A35AA" w:rsidRPr="00DB7F44">
        <w:rPr>
          <w:rFonts w:ascii="Tahoma" w:hAnsi="Tahoma" w:cs="Tahoma"/>
          <w:i/>
        </w:rPr>
        <w:t xml:space="preserve"> that all the above provisions have been invoked. With respect, </w:t>
      </w:r>
      <w:r w:rsidR="00DB7F44">
        <w:rPr>
          <w:rFonts w:ascii="Tahoma" w:hAnsi="Tahoma" w:cs="Tahoma"/>
          <w:i/>
        </w:rPr>
        <w:t>i</w:t>
      </w:r>
      <w:r w:rsidR="002A35AA" w:rsidRPr="00DB7F44">
        <w:rPr>
          <w:rFonts w:ascii="Tahoma" w:hAnsi="Tahoma" w:cs="Tahoma"/>
          <w:i/>
        </w:rPr>
        <w:t>t is therefore difficult to then understand the basis upon which the Respondents would argue, as they have done in their opposition, that the application has been made in terms of the wrong provisions”.</w:t>
      </w:r>
    </w:p>
    <w:p w:rsidR="0098103B" w:rsidRPr="00DB7F44" w:rsidRDefault="0098103B" w:rsidP="006C786B">
      <w:pPr>
        <w:spacing w:after="0" w:line="360" w:lineRule="auto"/>
        <w:ind w:left="1440" w:hanging="720"/>
        <w:jc w:val="both"/>
        <w:rPr>
          <w:rFonts w:ascii="Tahoma" w:hAnsi="Tahoma" w:cs="Tahoma"/>
          <w:i/>
        </w:rPr>
      </w:pPr>
    </w:p>
    <w:p w:rsidR="002A35AA" w:rsidRDefault="002A35AA" w:rsidP="002A35AA">
      <w:pPr>
        <w:spacing w:after="0" w:line="360" w:lineRule="auto"/>
        <w:jc w:val="both"/>
        <w:rPr>
          <w:rFonts w:ascii="Tahoma" w:hAnsi="Tahoma" w:cs="Tahoma"/>
          <w:sz w:val="24"/>
          <w:szCs w:val="24"/>
        </w:rPr>
      </w:pPr>
    </w:p>
    <w:p w:rsidR="0098103B" w:rsidRDefault="0098103B" w:rsidP="002A35AA">
      <w:pPr>
        <w:spacing w:after="0" w:line="360" w:lineRule="auto"/>
        <w:jc w:val="both"/>
        <w:rPr>
          <w:rFonts w:ascii="Tahoma" w:hAnsi="Tahoma" w:cs="Tahoma"/>
          <w:sz w:val="24"/>
          <w:szCs w:val="24"/>
        </w:rPr>
      </w:pPr>
    </w:p>
    <w:p w:rsidR="002A35AA" w:rsidRDefault="002A35AA" w:rsidP="002A35AA">
      <w:pPr>
        <w:spacing w:after="0" w:line="360" w:lineRule="auto"/>
        <w:jc w:val="both"/>
        <w:rPr>
          <w:rFonts w:ascii="Tahoma" w:hAnsi="Tahoma" w:cs="Tahoma"/>
          <w:sz w:val="28"/>
          <w:szCs w:val="28"/>
          <w:u w:val="single"/>
        </w:rPr>
      </w:pPr>
      <w:r w:rsidRPr="002A35AA">
        <w:rPr>
          <w:rFonts w:ascii="Tahoma" w:hAnsi="Tahoma" w:cs="Tahoma"/>
          <w:sz w:val="28"/>
          <w:szCs w:val="28"/>
          <w:u w:val="single"/>
        </w:rPr>
        <w:t>Analysis</w:t>
      </w:r>
    </w:p>
    <w:p w:rsidR="0098103B" w:rsidRPr="002A35AA" w:rsidRDefault="0098103B" w:rsidP="002A35AA">
      <w:pPr>
        <w:spacing w:after="0" w:line="360" w:lineRule="auto"/>
        <w:jc w:val="both"/>
        <w:rPr>
          <w:rFonts w:ascii="Tahoma" w:hAnsi="Tahoma" w:cs="Tahoma"/>
          <w:sz w:val="28"/>
          <w:szCs w:val="28"/>
          <w:u w:val="single"/>
        </w:rPr>
      </w:pPr>
    </w:p>
    <w:p w:rsidR="002A35AA" w:rsidRDefault="002A35AA" w:rsidP="002A35AA">
      <w:pPr>
        <w:spacing w:after="0" w:line="360" w:lineRule="auto"/>
        <w:jc w:val="both"/>
        <w:rPr>
          <w:rFonts w:ascii="Tahoma" w:hAnsi="Tahoma" w:cs="Tahoma"/>
          <w:sz w:val="24"/>
          <w:szCs w:val="24"/>
        </w:rPr>
      </w:pPr>
      <w:r>
        <w:rPr>
          <w:rFonts w:ascii="Tahoma" w:hAnsi="Tahoma" w:cs="Tahoma"/>
          <w:sz w:val="24"/>
          <w:szCs w:val="24"/>
        </w:rPr>
        <w:t>The Above</w:t>
      </w:r>
      <w:r w:rsidR="007F0901">
        <w:rPr>
          <w:rFonts w:ascii="Tahoma" w:hAnsi="Tahoma" w:cs="Tahoma"/>
          <w:sz w:val="24"/>
          <w:szCs w:val="24"/>
        </w:rPr>
        <w:t xml:space="preserve"> polemics do not raise issues to do with section 92F of the Act or Rule 43 of the Rules. Rather they raise the issue whether Rule 32 permits the filing </w:t>
      </w:r>
      <w:r w:rsidR="00B618B7" w:rsidRPr="00B618B7">
        <w:rPr>
          <w:rFonts w:ascii="Tahoma" w:hAnsi="Tahoma" w:cs="Tahoma"/>
          <w:sz w:val="24"/>
          <w:szCs w:val="24"/>
        </w:rPr>
        <w:t>of a</w:t>
      </w:r>
      <w:r w:rsidR="00B618B7">
        <w:rPr>
          <w:rFonts w:ascii="Tahoma" w:hAnsi="Tahoma" w:cs="Tahoma"/>
          <w:b/>
          <w:sz w:val="24"/>
          <w:szCs w:val="24"/>
        </w:rPr>
        <w:t xml:space="preserve"> </w:t>
      </w:r>
      <w:r w:rsidR="007F0901">
        <w:rPr>
          <w:rFonts w:ascii="Tahoma" w:hAnsi="Tahoma" w:cs="Tahoma"/>
          <w:sz w:val="24"/>
          <w:szCs w:val="24"/>
        </w:rPr>
        <w:t xml:space="preserve">composite </w:t>
      </w:r>
      <w:r w:rsidR="00B618B7">
        <w:rPr>
          <w:rFonts w:ascii="Tahoma" w:hAnsi="Tahoma" w:cs="Tahoma"/>
          <w:sz w:val="24"/>
          <w:szCs w:val="24"/>
        </w:rPr>
        <w:t xml:space="preserve">application </w:t>
      </w:r>
      <w:r w:rsidR="007F0901">
        <w:rPr>
          <w:rFonts w:ascii="Tahoma" w:hAnsi="Tahoma" w:cs="Tahoma"/>
          <w:sz w:val="24"/>
          <w:szCs w:val="24"/>
        </w:rPr>
        <w:t>for both condonation and leave (to appeal).</w:t>
      </w:r>
    </w:p>
    <w:p w:rsidR="007F0901" w:rsidRDefault="007F0901" w:rsidP="002A35AA">
      <w:pPr>
        <w:spacing w:after="0" w:line="360" w:lineRule="auto"/>
        <w:jc w:val="both"/>
        <w:rPr>
          <w:rFonts w:ascii="Tahoma" w:hAnsi="Tahoma" w:cs="Tahoma"/>
          <w:sz w:val="24"/>
          <w:szCs w:val="24"/>
        </w:rPr>
      </w:pPr>
      <w:r>
        <w:rPr>
          <w:rFonts w:ascii="Tahoma" w:hAnsi="Tahoma" w:cs="Tahoma"/>
          <w:sz w:val="24"/>
          <w:szCs w:val="24"/>
        </w:rPr>
        <w:t>Rule 32 provides that;</w:t>
      </w:r>
    </w:p>
    <w:p w:rsidR="002F1148" w:rsidRDefault="002F1148" w:rsidP="002A35AA">
      <w:pPr>
        <w:spacing w:after="0" w:line="360" w:lineRule="auto"/>
        <w:jc w:val="both"/>
        <w:rPr>
          <w:rFonts w:ascii="Tahoma" w:hAnsi="Tahoma" w:cs="Tahoma"/>
          <w:sz w:val="24"/>
          <w:szCs w:val="24"/>
        </w:rPr>
      </w:pPr>
    </w:p>
    <w:p w:rsidR="002F1148" w:rsidRPr="00DF649F" w:rsidRDefault="002F1148" w:rsidP="002F1148">
      <w:pPr>
        <w:spacing w:after="0" w:line="360" w:lineRule="auto"/>
        <w:ind w:left="720"/>
        <w:jc w:val="both"/>
        <w:rPr>
          <w:rFonts w:ascii="Tahoma" w:hAnsi="Tahoma" w:cs="Tahoma"/>
          <w:i/>
        </w:rPr>
      </w:pPr>
      <w:r w:rsidRPr="00DF649F">
        <w:rPr>
          <w:rFonts w:ascii="Tahoma" w:hAnsi="Tahoma" w:cs="Tahoma"/>
          <w:i/>
        </w:rPr>
        <w:t>“At any time before or during the hearing of a matter a Judge or the Court may:-</w:t>
      </w:r>
    </w:p>
    <w:p w:rsidR="002F1148" w:rsidRPr="00DF649F" w:rsidRDefault="005A15F1" w:rsidP="002F1148">
      <w:pPr>
        <w:pStyle w:val="ListParagraph"/>
        <w:numPr>
          <w:ilvl w:val="0"/>
          <w:numId w:val="28"/>
        </w:numPr>
        <w:spacing w:after="0" w:line="360" w:lineRule="auto"/>
        <w:jc w:val="both"/>
        <w:rPr>
          <w:rFonts w:ascii="Tahoma" w:hAnsi="Tahoma" w:cs="Tahoma"/>
          <w:i/>
        </w:rPr>
      </w:pPr>
      <w:r>
        <w:rPr>
          <w:rFonts w:ascii="Tahoma" w:hAnsi="Tahoma" w:cs="Tahoma"/>
          <w:i/>
        </w:rPr>
        <w:t>d</w:t>
      </w:r>
      <w:r w:rsidR="002F1148" w:rsidRPr="00DF649F">
        <w:rPr>
          <w:rFonts w:ascii="Tahoma" w:hAnsi="Tahoma" w:cs="Tahoma"/>
          <w:i/>
        </w:rPr>
        <w:t>irect, authorise or condone a departure from any of these rules, including an extension of any period specified therein, where the Judge or Court is satisfied that the departure is required in the interests</w:t>
      </w:r>
      <w:r w:rsidR="00B42BB0" w:rsidRPr="00DF649F">
        <w:rPr>
          <w:rFonts w:ascii="Tahoma" w:hAnsi="Tahoma" w:cs="Tahoma"/>
          <w:i/>
        </w:rPr>
        <w:t xml:space="preserve"> of justice, fairness and equity;</w:t>
      </w:r>
    </w:p>
    <w:p w:rsidR="00B42BB0" w:rsidRPr="00DF649F" w:rsidRDefault="005A15F1" w:rsidP="002F1148">
      <w:pPr>
        <w:pStyle w:val="ListParagraph"/>
        <w:numPr>
          <w:ilvl w:val="0"/>
          <w:numId w:val="28"/>
        </w:numPr>
        <w:spacing w:after="0" w:line="360" w:lineRule="auto"/>
        <w:jc w:val="both"/>
        <w:rPr>
          <w:rFonts w:ascii="Tahoma" w:hAnsi="Tahoma" w:cs="Tahoma"/>
          <w:i/>
        </w:rPr>
      </w:pPr>
      <w:proofErr w:type="gramStart"/>
      <w:r>
        <w:rPr>
          <w:rFonts w:ascii="Tahoma" w:hAnsi="Tahoma" w:cs="Tahoma"/>
          <w:i/>
        </w:rPr>
        <w:t>gi</w:t>
      </w:r>
      <w:r w:rsidR="00B42BB0" w:rsidRPr="00DF649F">
        <w:rPr>
          <w:rFonts w:ascii="Tahoma" w:hAnsi="Tahoma" w:cs="Tahoma"/>
          <w:i/>
        </w:rPr>
        <w:t>ve</w:t>
      </w:r>
      <w:proofErr w:type="gramEnd"/>
      <w:r w:rsidR="00B42BB0" w:rsidRPr="00DF649F">
        <w:rPr>
          <w:rFonts w:ascii="Tahoma" w:hAnsi="Tahoma" w:cs="Tahoma"/>
          <w:i/>
        </w:rPr>
        <w:t xml:space="preserve"> such directions as to the procedure in respect of any matter not expressly provided for in these rules as appear to the Judge of the Court to just, expedient and equitable.”</w:t>
      </w:r>
    </w:p>
    <w:p w:rsidR="00DF649F" w:rsidRDefault="00DF649F" w:rsidP="00DF649F">
      <w:pPr>
        <w:spacing w:after="0" w:line="360" w:lineRule="auto"/>
        <w:jc w:val="both"/>
        <w:rPr>
          <w:rFonts w:ascii="Tahoma" w:hAnsi="Tahoma" w:cs="Tahoma"/>
          <w:sz w:val="24"/>
          <w:szCs w:val="24"/>
        </w:rPr>
      </w:pPr>
    </w:p>
    <w:p w:rsidR="00DF649F" w:rsidRDefault="00DF649F" w:rsidP="00DF649F">
      <w:pPr>
        <w:spacing w:after="0" w:line="360" w:lineRule="auto"/>
        <w:ind w:firstLine="720"/>
        <w:jc w:val="both"/>
        <w:rPr>
          <w:rFonts w:ascii="Tahoma" w:hAnsi="Tahoma" w:cs="Tahoma"/>
          <w:sz w:val="24"/>
          <w:szCs w:val="24"/>
        </w:rPr>
      </w:pPr>
      <w:r>
        <w:rPr>
          <w:rFonts w:ascii="Tahoma" w:hAnsi="Tahoma" w:cs="Tahoma"/>
          <w:sz w:val="24"/>
          <w:szCs w:val="24"/>
        </w:rPr>
        <w:t>This provision enables the court or Judge to condone a departure from the rules. What is important</w:t>
      </w:r>
      <w:r w:rsidR="003B1945">
        <w:rPr>
          <w:rFonts w:ascii="Tahoma" w:hAnsi="Tahoma" w:cs="Tahoma"/>
          <w:sz w:val="24"/>
          <w:szCs w:val="24"/>
        </w:rPr>
        <w:t xml:space="preserve"> for present purposes is that the power is exercisable “before or during the hearing”. The rule references the </w:t>
      </w:r>
      <w:r w:rsidR="003B1945" w:rsidRPr="003B1945">
        <w:rPr>
          <w:rFonts w:ascii="Tahoma" w:hAnsi="Tahoma" w:cs="Tahoma"/>
          <w:sz w:val="24"/>
          <w:szCs w:val="24"/>
          <w:u w:val="single"/>
        </w:rPr>
        <w:t>hearing</w:t>
      </w:r>
      <w:r w:rsidR="003B1945">
        <w:rPr>
          <w:rFonts w:ascii="Tahoma" w:hAnsi="Tahoma" w:cs="Tahoma"/>
          <w:sz w:val="24"/>
          <w:szCs w:val="24"/>
        </w:rPr>
        <w:t xml:space="preserve"> thus showing that it does not cover the </w:t>
      </w:r>
      <w:r w:rsidR="00B618B7">
        <w:rPr>
          <w:rFonts w:ascii="Tahoma" w:hAnsi="Tahoma" w:cs="Tahoma"/>
          <w:sz w:val="24"/>
          <w:szCs w:val="24"/>
        </w:rPr>
        <w:t xml:space="preserve">period </w:t>
      </w:r>
      <w:r w:rsidR="003B1945">
        <w:rPr>
          <w:rFonts w:ascii="Tahoma" w:hAnsi="Tahoma" w:cs="Tahoma"/>
          <w:sz w:val="24"/>
          <w:szCs w:val="24"/>
        </w:rPr>
        <w:t xml:space="preserve">prior to the </w:t>
      </w:r>
      <w:r w:rsidR="003B1945" w:rsidRPr="003B1945">
        <w:rPr>
          <w:rFonts w:ascii="Tahoma" w:hAnsi="Tahoma" w:cs="Tahoma"/>
          <w:sz w:val="24"/>
          <w:szCs w:val="24"/>
          <w:u w:val="single"/>
        </w:rPr>
        <w:t xml:space="preserve">filing </w:t>
      </w:r>
      <w:r w:rsidR="003B1945">
        <w:rPr>
          <w:rFonts w:ascii="Tahoma" w:hAnsi="Tahoma" w:cs="Tahoma"/>
          <w:sz w:val="24"/>
          <w:szCs w:val="24"/>
        </w:rPr>
        <w:t>of a matter. Condonation before the filing of a matter is covered by rule 22 which provides that;</w:t>
      </w:r>
    </w:p>
    <w:p w:rsidR="00C833AF" w:rsidRDefault="00C833AF" w:rsidP="00DF649F">
      <w:pPr>
        <w:spacing w:after="0" w:line="360" w:lineRule="auto"/>
        <w:ind w:firstLine="720"/>
        <w:jc w:val="both"/>
        <w:rPr>
          <w:rFonts w:ascii="Tahoma" w:hAnsi="Tahoma" w:cs="Tahoma"/>
          <w:sz w:val="24"/>
          <w:szCs w:val="24"/>
        </w:rPr>
      </w:pPr>
    </w:p>
    <w:p w:rsidR="00C833AF" w:rsidRPr="00C833AF" w:rsidRDefault="00C833AF" w:rsidP="00DF649F">
      <w:pPr>
        <w:spacing w:after="0" w:line="360" w:lineRule="auto"/>
        <w:ind w:firstLine="720"/>
        <w:jc w:val="both"/>
        <w:rPr>
          <w:rFonts w:ascii="Tahoma" w:hAnsi="Tahoma" w:cs="Tahoma"/>
          <w:i/>
        </w:rPr>
      </w:pPr>
      <w:r>
        <w:rPr>
          <w:rFonts w:ascii="Tahoma" w:hAnsi="Tahoma" w:cs="Tahoma"/>
          <w:sz w:val="24"/>
          <w:szCs w:val="24"/>
        </w:rPr>
        <w:tab/>
      </w:r>
      <w:r w:rsidRPr="00C833AF">
        <w:rPr>
          <w:rFonts w:ascii="Tahoma" w:hAnsi="Tahoma" w:cs="Tahoma"/>
          <w:i/>
        </w:rPr>
        <w:t>“Application for condonation of late noting of an appeal or review</w:t>
      </w:r>
    </w:p>
    <w:p w:rsidR="00C833AF" w:rsidRPr="00C833AF" w:rsidRDefault="00C833AF" w:rsidP="00C833AF">
      <w:pPr>
        <w:pStyle w:val="ListParagraph"/>
        <w:numPr>
          <w:ilvl w:val="0"/>
          <w:numId w:val="29"/>
        </w:numPr>
        <w:spacing w:after="0" w:line="360" w:lineRule="auto"/>
        <w:jc w:val="both"/>
        <w:rPr>
          <w:rFonts w:ascii="Tahoma" w:hAnsi="Tahoma" w:cs="Tahoma"/>
          <w:i/>
        </w:rPr>
      </w:pPr>
      <w:r w:rsidRPr="00C833AF">
        <w:rPr>
          <w:rFonts w:ascii="Tahoma" w:hAnsi="Tahoma" w:cs="Tahoma"/>
          <w:i/>
        </w:rPr>
        <w:t>A party wishing to apply for condonation of the late noting of an appeal or review shall do so on form LC1”.</w:t>
      </w:r>
    </w:p>
    <w:p w:rsidR="00C833AF" w:rsidRDefault="00C833AF" w:rsidP="00C833AF">
      <w:pPr>
        <w:spacing w:after="0" w:line="360" w:lineRule="auto"/>
        <w:jc w:val="both"/>
        <w:rPr>
          <w:rFonts w:ascii="Tahoma" w:hAnsi="Tahoma" w:cs="Tahoma"/>
          <w:sz w:val="24"/>
          <w:szCs w:val="24"/>
        </w:rPr>
      </w:pPr>
    </w:p>
    <w:p w:rsidR="00B618B7" w:rsidRDefault="00C833AF" w:rsidP="00E94648">
      <w:pPr>
        <w:spacing w:after="0" w:line="360" w:lineRule="auto"/>
        <w:ind w:firstLine="720"/>
        <w:jc w:val="both"/>
        <w:rPr>
          <w:rFonts w:ascii="Tahoma" w:hAnsi="Tahoma" w:cs="Tahoma"/>
          <w:sz w:val="24"/>
          <w:szCs w:val="24"/>
        </w:rPr>
      </w:pPr>
      <w:r>
        <w:rPr>
          <w:rFonts w:ascii="Tahoma" w:hAnsi="Tahoma" w:cs="Tahoma"/>
          <w:sz w:val="24"/>
          <w:szCs w:val="24"/>
        </w:rPr>
        <w:t>There is no other provision</w:t>
      </w:r>
      <w:r w:rsidR="00E94648">
        <w:rPr>
          <w:rFonts w:ascii="Tahoma" w:hAnsi="Tahoma" w:cs="Tahoma"/>
          <w:sz w:val="24"/>
          <w:szCs w:val="24"/>
        </w:rPr>
        <w:t xml:space="preserve"> cited which provides for condonation of a late application for leave to appeal.</w:t>
      </w:r>
      <w:r w:rsidR="00222A82">
        <w:rPr>
          <w:rFonts w:ascii="Tahoma" w:hAnsi="Tahoma" w:cs="Tahoma"/>
          <w:sz w:val="24"/>
          <w:szCs w:val="24"/>
        </w:rPr>
        <w:t xml:space="preserve"> The net result is that there is no provision in the </w:t>
      </w:r>
      <w:r w:rsidR="00222A82" w:rsidRPr="00222A82">
        <w:rPr>
          <w:rFonts w:ascii="Tahoma" w:hAnsi="Tahoma" w:cs="Tahoma"/>
          <w:sz w:val="24"/>
          <w:szCs w:val="24"/>
          <w:u w:val="single"/>
        </w:rPr>
        <w:t>Labour</w:t>
      </w:r>
      <w:r w:rsidR="00222A82">
        <w:rPr>
          <w:rFonts w:ascii="Tahoma" w:hAnsi="Tahoma" w:cs="Tahoma"/>
          <w:sz w:val="24"/>
          <w:szCs w:val="24"/>
        </w:rPr>
        <w:t xml:space="preserve"> </w:t>
      </w:r>
      <w:r w:rsidR="00222A82" w:rsidRPr="00222A82">
        <w:rPr>
          <w:rFonts w:ascii="Tahoma" w:hAnsi="Tahoma" w:cs="Tahoma"/>
          <w:sz w:val="24"/>
          <w:szCs w:val="24"/>
          <w:u w:val="single"/>
        </w:rPr>
        <w:t>Court</w:t>
      </w:r>
      <w:r w:rsidR="00222A82">
        <w:rPr>
          <w:rFonts w:ascii="Tahoma" w:hAnsi="Tahoma" w:cs="Tahoma"/>
          <w:sz w:val="24"/>
          <w:szCs w:val="24"/>
        </w:rPr>
        <w:t xml:space="preserve"> </w:t>
      </w:r>
      <w:r w:rsidR="00222A82" w:rsidRPr="00222A82">
        <w:rPr>
          <w:rFonts w:ascii="Tahoma" w:hAnsi="Tahoma" w:cs="Tahoma"/>
          <w:sz w:val="24"/>
          <w:szCs w:val="24"/>
          <w:u w:val="single"/>
        </w:rPr>
        <w:t>Rules</w:t>
      </w:r>
      <w:r w:rsidR="00222A82">
        <w:rPr>
          <w:rFonts w:ascii="Tahoma" w:hAnsi="Tahoma" w:cs="Tahoma"/>
          <w:sz w:val="24"/>
          <w:szCs w:val="24"/>
        </w:rPr>
        <w:t xml:space="preserve"> for the composite application filed in </w:t>
      </w:r>
      <w:proofErr w:type="spellStart"/>
      <w:r w:rsidR="00222A82" w:rsidRPr="00222A82">
        <w:rPr>
          <w:rFonts w:ascii="Tahoma" w:hAnsi="Tahoma" w:cs="Tahoma"/>
          <w:sz w:val="24"/>
          <w:szCs w:val="24"/>
          <w:u w:val="single"/>
        </w:rPr>
        <w:t>casu</w:t>
      </w:r>
      <w:proofErr w:type="spellEnd"/>
      <w:r w:rsidR="00222A82" w:rsidRPr="00222A82">
        <w:rPr>
          <w:rFonts w:ascii="Tahoma" w:hAnsi="Tahoma" w:cs="Tahoma"/>
          <w:b/>
          <w:sz w:val="24"/>
          <w:szCs w:val="24"/>
        </w:rPr>
        <w:t>.</w:t>
      </w:r>
      <w:r w:rsidR="00222A82">
        <w:rPr>
          <w:rFonts w:ascii="Tahoma" w:hAnsi="Tahoma" w:cs="Tahoma"/>
          <w:sz w:val="24"/>
          <w:szCs w:val="24"/>
        </w:rPr>
        <w:t xml:space="preserve"> Furthermore</w:t>
      </w:r>
      <w:r w:rsidR="00FA1A40">
        <w:rPr>
          <w:rFonts w:ascii="Tahoma" w:hAnsi="Tahoma" w:cs="Tahoma"/>
          <w:sz w:val="24"/>
          <w:szCs w:val="24"/>
        </w:rPr>
        <w:t xml:space="preserve"> there is simply no provision</w:t>
      </w:r>
      <w:r w:rsidR="005A1EFB">
        <w:rPr>
          <w:rFonts w:ascii="Tahoma" w:hAnsi="Tahoma" w:cs="Tahoma"/>
          <w:sz w:val="24"/>
          <w:szCs w:val="24"/>
        </w:rPr>
        <w:t xml:space="preserve"> for condonation of late filing of an application for leave to appeal. </w:t>
      </w:r>
    </w:p>
    <w:p w:rsidR="00B618B7" w:rsidRDefault="00B618B7" w:rsidP="00B618B7">
      <w:pPr>
        <w:spacing w:after="0" w:line="360" w:lineRule="auto"/>
        <w:jc w:val="both"/>
        <w:rPr>
          <w:rFonts w:ascii="Tahoma" w:hAnsi="Tahoma" w:cs="Tahoma"/>
          <w:sz w:val="24"/>
          <w:szCs w:val="24"/>
        </w:rPr>
      </w:pPr>
    </w:p>
    <w:p w:rsidR="0098103B" w:rsidRDefault="0098103B" w:rsidP="00B618B7">
      <w:pPr>
        <w:spacing w:after="0" w:line="360" w:lineRule="auto"/>
        <w:jc w:val="both"/>
        <w:rPr>
          <w:rFonts w:ascii="Tahoma" w:hAnsi="Tahoma" w:cs="Tahoma"/>
          <w:sz w:val="24"/>
          <w:szCs w:val="24"/>
        </w:rPr>
      </w:pPr>
    </w:p>
    <w:p w:rsidR="0098103B" w:rsidRDefault="0098103B" w:rsidP="00B618B7">
      <w:pPr>
        <w:spacing w:after="0" w:line="360" w:lineRule="auto"/>
        <w:jc w:val="both"/>
        <w:rPr>
          <w:rFonts w:ascii="Tahoma" w:hAnsi="Tahoma" w:cs="Tahoma"/>
          <w:sz w:val="24"/>
          <w:szCs w:val="24"/>
        </w:rPr>
      </w:pPr>
    </w:p>
    <w:p w:rsidR="00C833AF" w:rsidRDefault="005A1EFB" w:rsidP="00B618B7">
      <w:pPr>
        <w:spacing w:after="0" w:line="360" w:lineRule="auto"/>
        <w:jc w:val="both"/>
        <w:rPr>
          <w:rFonts w:ascii="Tahoma" w:hAnsi="Tahoma" w:cs="Tahoma"/>
          <w:sz w:val="24"/>
          <w:szCs w:val="24"/>
        </w:rPr>
      </w:pPr>
      <w:r>
        <w:rPr>
          <w:rFonts w:ascii="Tahoma" w:hAnsi="Tahoma" w:cs="Tahoma"/>
          <w:sz w:val="24"/>
          <w:szCs w:val="24"/>
        </w:rPr>
        <w:t>Applicant relied on the case of,</w:t>
      </w:r>
    </w:p>
    <w:p w:rsidR="00242695" w:rsidRDefault="00242695" w:rsidP="00B618B7">
      <w:pPr>
        <w:spacing w:after="0" w:line="360" w:lineRule="auto"/>
        <w:jc w:val="both"/>
        <w:rPr>
          <w:rFonts w:ascii="Tahoma" w:hAnsi="Tahoma" w:cs="Tahoma"/>
          <w:sz w:val="24"/>
          <w:szCs w:val="24"/>
        </w:rPr>
      </w:pPr>
    </w:p>
    <w:p w:rsidR="005A1EFB" w:rsidRDefault="005A1EFB" w:rsidP="005A1EFB">
      <w:pPr>
        <w:spacing w:after="0" w:line="360" w:lineRule="auto"/>
        <w:jc w:val="both"/>
        <w:rPr>
          <w:rFonts w:ascii="Tahoma" w:hAnsi="Tahoma" w:cs="Tahoma"/>
          <w:sz w:val="24"/>
          <w:szCs w:val="24"/>
        </w:rPr>
      </w:pPr>
      <w:proofErr w:type="spellStart"/>
      <w:r w:rsidRPr="005A1EFB">
        <w:rPr>
          <w:rFonts w:ascii="Tahoma" w:hAnsi="Tahoma" w:cs="Tahoma"/>
          <w:b/>
          <w:sz w:val="24"/>
          <w:szCs w:val="24"/>
        </w:rPr>
        <w:t>Mandengu</w:t>
      </w:r>
      <w:proofErr w:type="spellEnd"/>
      <w:r w:rsidRPr="005A1EFB">
        <w:rPr>
          <w:rFonts w:ascii="Tahoma" w:hAnsi="Tahoma" w:cs="Tahoma"/>
          <w:b/>
          <w:sz w:val="24"/>
          <w:szCs w:val="24"/>
        </w:rPr>
        <w:t xml:space="preserve"> v Shearwater</w:t>
      </w:r>
      <w:r>
        <w:rPr>
          <w:rFonts w:ascii="Tahoma" w:hAnsi="Tahoma" w:cs="Tahoma"/>
          <w:sz w:val="24"/>
          <w:szCs w:val="24"/>
        </w:rPr>
        <w:t xml:space="preserve"> SC 48/25</w:t>
      </w:r>
      <w:r w:rsidR="00B618B7">
        <w:rPr>
          <w:rFonts w:ascii="Tahoma" w:hAnsi="Tahoma" w:cs="Tahoma"/>
          <w:sz w:val="24"/>
          <w:szCs w:val="24"/>
        </w:rPr>
        <w:t xml:space="preserve"> at paragraph 23</w:t>
      </w:r>
      <w:r>
        <w:rPr>
          <w:rFonts w:ascii="Tahoma" w:hAnsi="Tahoma" w:cs="Tahoma"/>
          <w:sz w:val="24"/>
          <w:szCs w:val="24"/>
        </w:rPr>
        <w:t>, where it was held</w:t>
      </w:r>
      <w:r w:rsidR="00A65789">
        <w:rPr>
          <w:rFonts w:ascii="Tahoma" w:hAnsi="Tahoma" w:cs="Tahoma"/>
          <w:sz w:val="24"/>
          <w:szCs w:val="24"/>
        </w:rPr>
        <w:t>;</w:t>
      </w:r>
    </w:p>
    <w:p w:rsidR="00D858E6" w:rsidRPr="00054F36" w:rsidRDefault="00A65789" w:rsidP="00D858E6">
      <w:pPr>
        <w:spacing w:after="0" w:line="360" w:lineRule="auto"/>
        <w:ind w:left="720"/>
        <w:jc w:val="both"/>
        <w:rPr>
          <w:rFonts w:ascii="Tahoma" w:hAnsi="Tahoma" w:cs="Tahoma"/>
          <w:i/>
        </w:rPr>
      </w:pPr>
      <w:r w:rsidRPr="00054F36">
        <w:rPr>
          <w:rFonts w:ascii="Tahoma" w:hAnsi="Tahoma" w:cs="Tahoma"/>
          <w:i/>
        </w:rPr>
        <w:t>“Rule 67 entitles a Judge, if special circumstances are shown by way of an application writing, to condone the late noting of an appeal and extend the time within which to appeal. So, where a party is out of time to seek leave to appeal, such party may bring a composite application for condonation and extension of time within which to seek leave as well for leave to appeal.”</w:t>
      </w:r>
    </w:p>
    <w:p w:rsidR="00D858E6" w:rsidRPr="00054F36" w:rsidRDefault="00D858E6" w:rsidP="00D858E6">
      <w:pPr>
        <w:spacing w:after="0" w:line="360" w:lineRule="auto"/>
        <w:jc w:val="both"/>
        <w:rPr>
          <w:rFonts w:ascii="Tahoma" w:hAnsi="Tahoma" w:cs="Tahoma"/>
          <w:i/>
        </w:rPr>
      </w:pPr>
    </w:p>
    <w:p w:rsidR="00D858E6" w:rsidRDefault="00D858E6" w:rsidP="00D858E6">
      <w:pPr>
        <w:spacing w:after="0" w:line="360" w:lineRule="auto"/>
        <w:jc w:val="both"/>
        <w:rPr>
          <w:rFonts w:ascii="Tahoma" w:hAnsi="Tahoma" w:cs="Tahoma"/>
          <w:sz w:val="24"/>
          <w:szCs w:val="24"/>
        </w:rPr>
      </w:pPr>
      <w:r>
        <w:rPr>
          <w:rFonts w:ascii="Tahoma" w:hAnsi="Tahoma" w:cs="Tahoma"/>
          <w:sz w:val="24"/>
          <w:szCs w:val="24"/>
        </w:rPr>
        <w:t xml:space="preserve">The </w:t>
      </w:r>
      <w:proofErr w:type="spellStart"/>
      <w:r w:rsidRPr="00D858E6">
        <w:rPr>
          <w:rFonts w:ascii="Tahoma" w:hAnsi="Tahoma" w:cs="Tahoma"/>
          <w:sz w:val="24"/>
          <w:szCs w:val="24"/>
          <w:u w:val="single"/>
        </w:rPr>
        <w:t>Mandengu</w:t>
      </w:r>
      <w:proofErr w:type="spellEnd"/>
      <w:r>
        <w:rPr>
          <w:rFonts w:ascii="Tahoma" w:hAnsi="Tahoma" w:cs="Tahoma"/>
          <w:sz w:val="24"/>
          <w:szCs w:val="24"/>
        </w:rPr>
        <w:t xml:space="preserve"> case is distinguishable as it reference</w:t>
      </w:r>
      <w:r w:rsidR="00C06A2B">
        <w:rPr>
          <w:rFonts w:ascii="Tahoma" w:hAnsi="Tahoma" w:cs="Tahoma"/>
          <w:sz w:val="24"/>
          <w:szCs w:val="24"/>
        </w:rPr>
        <w:t>s</w:t>
      </w:r>
      <w:r>
        <w:rPr>
          <w:rFonts w:ascii="Tahoma" w:hAnsi="Tahoma" w:cs="Tahoma"/>
          <w:sz w:val="24"/>
          <w:szCs w:val="24"/>
        </w:rPr>
        <w:t xml:space="preserve"> a specific rule of the Supreme Court which allows for condonation of a belated application for leave. The </w:t>
      </w:r>
      <w:r w:rsidRPr="00D858E6">
        <w:rPr>
          <w:rFonts w:ascii="Tahoma" w:hAnsi="Tahoma" w:cs="Tahoma"/>
          <w:sz w:val="24"/>
          <w:szCs w:val="24"/>
          <w:u w:val="single"/>
        </w:rPr>
        <w:t>Labour Court</w:t>
      </w:r>
      <w:r>
        <w:rPr>
          <w:rFonts w:ascii="Tahoma" w:hAnsi="Tahoma" w:cs="Tahoma"/>
          <w:sz w:val="24"/>
          <w:szCs w:val="24"/>
        </w:rPr>
        <w:t xml:space="preserve"> </w:t>
      </w:r>
      <w:r w:rsidRPr="00D858E6">
        <w:rPr>
          <w:rFonts w:ascii="Tahoma" w:hAnsi="Tahoma" w:cs="Tahoma"/>
          <w:sz w:val="24"/>
          <w:szCs w:val="24"/>
          <w:u w:val="single"/>
        </w:rPr>
        <w:t>Rules</w:t>
      </w:r>
      <w:r>
        <w:rPr>
          <w:rFonts w:ascii="Tahoma" w:hAnsi="Tahoma" w:cs="Tahoma"/>
          <w:sz w:val="24"/>
          <w:szCs w:val="24"/>
        </w:rPr>
        <w:t xml:space="preserve"> do </w:t>
      </w:r>
      <w:r w:rsidRPr="00D858E6">
        <w:rPr>
          <w:rFonts w:ascii="Tahoma" w:hAnsi="Tahoma" w:cs="Tahoma"/>
          <w:sz w:val="24"/>
          <w:szCs w:val="24"/>
          <w:u w:val="single"/>
        </w:rPr>
        <w:t>not</w:t>
      </w:r>
      <w:r>
        <w:rPr>
          <w:rFonts w:ascii="Tahoma" w:hAnsi="Tahoma" w:cs="Tahoma"/>
          <w:sz w:val="24"/>
          <w:szCs w:val="24"/>
        </w:rPr>
        <w:t xml:space="preserve"> have similar rule. </w:t>
      </w:r>
      <w:r w:rsidR="00C06A2B">
        <w:rPr>
          <w:rFonts w:ascii="Tahoma" w:hAnsi="Tahoma" w:cs="Tahoma"/>
          <w:sz w:val="24"/>
          <w:szCs w:val="24"/>
        </w:rPr>
        <w:t xml:space="preserve">In the premises the </w:t>
      </w:r>
      <w:r w:rsidR="00054F36">
        <w:rPr>
          <w:rFonts w:ascii="Tahoma" w:hAnsi="Tahoma" w:cs="Tahoma"/>
          <w:sz w:val="24"/>
          <w:szCs w:val="24"/>
        </w:rPr>
        <w:t>applicable precedent is the case of,</w:t>
      </w:r>
    </w:p>
    <w:p w:rsidR="00B62539" w:rsidRDefault="00B62539" w:rsidP="00D858E6">
      <w:pPr>
        <w:spacing w:after="0" w:line="360" w:lineRule="auto"/>
        <w:jc w:val="both"/>
        <w:rPr>
          <w:rFonts w:ascii="Tahoma" w:hAnsi="Tahoma" w:cs="Tahoma"/>
          <w:sz w:val="24"/>
          <w:szCs w:val="24"/>
        </w:rPr>
      </w:pPr>
    </w:p>
    <w:p w:rsidR="00054F36" w:rsidRDefault="00C06A2B" w:rsidP="00D858E6">
      <w:pPr>
        <w:spacing w:after="0" w:line="360" w:lineRule="auto"/>
        <w:jc w:val="both"/>
        <w:rPr>
          <w:rFonts w:ascii="Tahoma" w:hAnsi="Tahoma" w:cs="Tahoma"/>
          <w:sz w:val="24"/>
          <w:szCs w:val="24"/>
        </w:rPr>
      </w:pPr>
      <w:r>
        <w:rPr>
          <w:rFonts w:ascii="Tahoma" w:hAnsi="Tahoma" w:cs="Tahoma"/>
          <w:b/>
          <w:sz w:val="24"/>
          <w:szCs w:val="24"/>
        </w:rPr>
        <w:t>NRZ</w:t>
      </w:r>
      <w:r w:rsidR="00054F36" w:rsidRPr="00054F36">
        <w:rPr>
          <w:rFonts w:ascii="Tahoma" w:hAnsi="Tahoma" w:cs="Tahoma"/>
          <w:b/>
          <w:sz w:val="24"/>
          <w:szCs w:val="24"/>
        </w:rPr>
        <w:t xml:space="preserve"> v ZARU</w:t>
      </w:r>
      <w:r w:rsidR="00054F36">
        <w:rPr>
          <w:rFonts w:ascii="Tahoma" w:hAnsi="Tahoma" w:cs="Tahoma"/>
          <w:sz w:val="24"/>
          <w:szCs w:val="24"/>
        </w:rPr>
        <w:t xml:space="preserve"> 2005 (1) ZLR 341 (S) per ZIYAMBI JA at 347A</w:t>
      </w:r>
    </w:p>
    <w:p w:rsidR="00054F36" w:rsidRPr="00EC48FC" w:rsidRDefault="00054F36" w:rsidP="00054F36">
      <w:pPr>
        <w:spacing w:after="0" w:line="360" w:lineRule="auto"/>
        <w:ind w:left="720"/>
        <w:jc w:val="both"/>
        <w:rPr>
          <w:rFonts w:ascii="Tahoma" w:hAnsi="Tahoma" w:cs="Tahoma"/>
          <w:i/>
        </w:rPr>
      </w:pPr>
      <w:r w:rsidRPr="00EC48FC">
        <w:rPr>
          <w:rFonts w:ascii="Tahoma" w:hAnsi="Tahoma" w:cs="Tahoma"/>
          <w:i/>
        </w:rPr>
        <w:t xml:space="preserve">“Thus before an application can be entertained by the Labour Court, It must be satisfied that such an application is an application “in terms of this (Labour) Act or any other enactment”. This necessarily means that the Act or other enactment must </w:t>
      </w:r>
      <w:r w:rsidRPr="00C06A2B">
        <w:rPr>
          <w:rFonts w:ascii="Tahoma" w:hAnsi="Tahoma" w:cs="Tahoma"/>
          <w:i/>
          <w:u w:val="single"/>
        </w:rPr>
        <w:t>specifically</w:t>
      </w:r>
      <w:r w:rsidRPr="00C06A2B">
        <w:rPr>
          <w:rFonts w:ascii="Tahoma" w:hAnsi="Tahoma" w:cs="Tahoma"/>
          <w:i/>
        </w:rPr>
        <w:t xml:space="preserve"> </w:t>
      </w:r>
      <w:r w:rsidRPr="00EC48FC">
        <w:rPr>
          <w:rFonts w:ascii="Tahoma" w:hAnsi="Tahoma" w:cs="Tahoma"/>
          <w:i/>
        </w:rPr>
        <w:t>provide for applications to the Labour Court, of the type that the Applicant seeks to bring”.</w:t>
      </w:r>
    </w:p>
    <w:p w:rsidR="00EC48FC" w:rsidRDefault="00EC48FC" w:rsidP="00EC48FC">
      <w:pPr>
        <w:spacing w:after="0" w:line="360" w:lineRule="auto"/>
        <w:jc w:val="both"/>
        <w:rPr>
          <w:rFonts w:ascii="Tahoma" w:hAnsi="Tahoma" w:cs="Tahoma"/>
          <w:sz w:val="24"/>
          <w:szCs w:val="24"/>
        </w:rPr>
      </w:pPr>
    </w:p>
    <w:p w:rsidR="00B62539" w:rsidRDefault="00B62539" w:rsidP="00EC48FC">
      <w:pPr>
        <w:spacing w:after="0" w:line="360" w:lineRule="auto"/>
        <w:jc w:val="both"/>
        <w:rPr>
          <w:rFonts w:ascii="Tahoma" w:hAnsi="Tahoma" w:cs="Tahoma"/>
          <w:sz w:val="24"/>
          <w:szCs w:val="24"/>
        </w:rPr>
      </w:pPr>
    </w:p>
    <w:p w:rsidR="00EC48FC" w:rsidRPr="00EC48FC" w:rsidRDefault="00EC48FC" w:rsidP="00EC48FC">
      <w:pPr>
        <w:spacing w:after="0" w:line="360" w:lineRule="auto"/>
        <w:jc w:val="both"/>
        <w:rPr>
          <w:rFonts w:ascii="Tahoma" w:hAnsi="Tahoma" w:cs="Tahoma"/>
          <w:sz w:val="28"/>
          <w:szCs w:val="28"/>
          <w:u w:val="single"/>
        </w:rPr>
      </w:pPr>
      <w:r w:rsidRPr="00EC48FC">
        <w:rPr>
          <w:rFonts w:ascii="Tahoma" w:hAnsi="Tahoma" w:cs="Tahoma"/>
          <w:sz w:val="28"/>
          <w:szCs w:val="28"/>
          <w:u w:val="single"/>
        </w:rPr>
        <w:t>Conclusion</w:t>
      </w:r>
    </w:p>
    <w:p w:rsidR="00EC48FC" w:rsidRDefault="00EC48FC" w:rsidP="00EC48FC">
      <w:pPr>
        <w:spacing w:after="0" w:line="360" w:lineRule="auto"/>
        <w:jc w:val="both"/>
        <w:rPr>
          <w:rFonts w:ascii="Tahoma" w:hAnsi="Tahoma" w:cs="Tahoma"/>
          <w:sz w:val="24"/>
          <w:szCs w:val="24"/>
        </w:rPr>
      </w:pPr>
    </w:p>
    <w:p w:rsidR="00EC48FC" w:rsidRDefault="00EC48FC" w:rsidP="00EC48FC">
      <w:pPr>
        <w:spacing w:after="0" w:line="360" w:lineRule="auto"/>
        <w:jc w:val="both"/>
        <w:rPr>
          <w:rFonts w:ascii="Tahoma" w:hAnsi="Tahoma" w:cs="Tahoma"/>
          <w:sz w:val="24"/>
          <w:szCs w:val="24"/>
        </w:rPr>
      </w:pPr>
      <w:r>
        <w:rPr>
          <w:rFonts w:ascii="Tahoma" w:hAnsi="Tahoma" w:cs="Tahoma"/>
          <w:sz w:val="24"/>
          <w:szCs w:val="24"/>
        </w:rPr>
        <w:t xml:space="preserve">Applying the </w:t>
      </w:r>
      <w:r w:rsidRPr="00C06A2B">
        <w:rPr>
          <w:rFonts w:ascii="Tahoma" w:hAnsi="Tahoma" w:cs="Tahoma"/>
          <w:sz w:val="24"/>
          <w:szCs w:val="24"/>
          <w:u w:val="single"/>
        </w:rPr>
        <w:t>NRZ</w:t>
      </w:r>
      <w:r>
        <w:rPr>
          <w:rFonts w:ascii="Tahoma" w:hAnsi="Tahoma" w:cs="Tahoma"/>
          <w:sz w:val="24"/>
          <w:szCs w:val="24"/>
        </w:rPr>
        <w:t xml:space="preserve"> case</w:t>
      </w:r>
      <w:r w:rsidR="000A786E">
        <w:rPr>
          <w:rFonts w:ascii="Tahoma" w:hAnsi="Tahoma" w:cs="Tahoma"/>
          <w:sz w:val="24"/>
          <w:szCs w:val="24"/>
        </w:rPr>
        <w:t xml:space="preserve"> </w:t>
      </w:r>
      <w:r w:rsidR="000A786E" w:rsidRPr="00C06A2B">
        <w:rPr>
          <w:rFonts w:ascii="Tahoma" w:hAnsi="Tahoma" w:cs="Tahoma"/>
          <w:sz w:val="24"/>
          <w:szCs w:val="24"/>
          <w:u w:val="single"/>
        </w:rPr>
        <w:t>supra</w:t>
      </w:r>
      <w:r w:rsidR="000A786E">
        <w:rPr>
          <w:rFonts w:ascii="Tahoma" w:hAnsi="Tahoma" w:cs="Tahoma"/>
          <w:sz w:val="24"/>
          <w:szCs w:val="24"/>
        </w:rPr>
        <w:t xml:space="preserve"> to the present case, the inevitable conclusion is that applicant failed to cite provision/s which permit its application in this Court. Accordingly the application ought to be struck off as prayed for by the Respondents. The 1</w:t>
      </w:r>
      <w:r w:rsidR="000A786E" w:rsidRPr="000A786E">
        <w:rPr>
          <w:rFonts w:ascii="Tahoma" w:hAnsi="Tahoma" w:cs="Tahoma"/>
          <w:sz w:val="24"/>
          <w:szCs w:val="24"/>
          <w:vertAlign w:val="superscript"/>
        </w:rPr>
        <w:t>st</w:t>
      </w:r>
      <w:r w:rsidR="000A786E">
        <w:rPr>
          <w:rFonts w:ascii="Tahoma" w:hAnsi="Tahoma" w:cs="Tahoma"/>
          <w:sz w:val="24"/>
          <w:szCs w:val="24"/>
        </w:rPr>
        <w:t xml:space="preserve"> point in </w:t>
      </w:r>
      <w:proofErr w:type="spellStart"/>
      <w:r w:rsidR="000A786E" w:rsidRPr="000A786E">
        <w:rPr>
          <w:rFonts w:ascii="Tahoma" w:hAnsi="Tahoma" w:cs="Tahoma"/>
          <w:sz w:val="24"/>
          <w:szCs w:val="24"/>
          <w:u w:val="single"/>
        </w:rPr>
        <w:t>limine</w:t>
      </w:r>
      <w:proofErr w:type="spellEnd"/>
      <w:r w:rsidR="000A786E">
        <w:rPr>
          <w:rFonts w:ascii="Tahoma" w:hAnsi="Tahoma" w:cs="Tahoma"/>
          <w:sz w:val="24"/>
          <w:szCs w:val="24"/>
        </w:rPr>
        <w:t xml:space="preserve"> being dispositive of the matter, it is unnecessary to deal with the 2</w:t>
      </w:r>
      <w:r w:rsidR="000A786E" w:rsidRPr="000A786E">
        <w:rPr>
          <w:rFonts w:ascii="Tahoma" w:hAnsi="Tahoma" w:cs="Tahoma"/>
          <w:sz w:val="24"/>
          <w:szCs w:val="24"/>
          <w:vertAlign w:val="superscript"/>
        </w:rPr>
        <w:t>nd</w:t>
      </w:r>
      <w:r w:rsidR="000A786E">
        <w:rPr>
          <w:rFonts w:ascii="Tahoma" w:hAnsi="Tahoma" w:cs="Tahoma"/>
          <w:sz w:val="24"/>
          <w:szCs w:val="24"/>
        </w:rPr>
        <w:t xml:space="preserve"> point.</w:t>
      </w:r>
    </w:p>
    <w:p w:rsidR="00B62539" w:rsidRDefault="00B62539" w:rsidP="00EC48FC">
      <w:pPr>
        <w:spacing w:after="0" w:line="360" w:lineRule="auto"/>
        <w:jc w:val="both"/>
        <w:rPr>
          <w:rFonts w:ascii="Tahoma" w:hAnsi="Tahoma" w:cs="Tahoma"/>
          <w:sz w:val="24"/>
          <w:szCs w:val="24"/>
        </w:rPr>
      </w:pPr>
    </w:p>
    <w:p w:rsidR="00B62539" w:rsidRDefault="00B62539" w:rsidP="00EC48FC">
      <w:pPr>
        <w:spacing w:after="0" w:line="360" w:lineRule="auto"/>
        <w:jc w:val="both"/>
        <w:rPr>
          <w:rFonts w:ascii="Tahoma" w:hAnsi="Tahoma" w:cs="Tahoma"/>
          <w:sz w:val="24"/>
          <w:szCs w:val="24"/>
        </w:rPr>
      </w:pPr>
    </w:p>
    <w:p w:rsidR="00242695" w:rsidRDefault="00242695" w:rsidP="00EC48FC">
      <w:pPr>
        <w:spacing w:after="0" w:line="360" w:lineRule="auto"/>
        <w:jc w:val="both"/>
        <w:rPr>
          <w:rFonts w:ascii="Tahoma" w:hAnsi="Tahoma" w:cs="Tahoma"/>
          <w:sz w:val="24"/>
          <w:szCs w:val="24"/>
        </w:rPr>
      </w:pPr>
    </w:p>
    <w:p w:rsidR="00242695" w:rsidRDefault="00242695" w:rsidP="00EC48FC">
      <w:pPr>
        <w:spacing w:after="0" w:line="360" w:lineRule="auto"/>
        <w:jc w:val="both"/>
        <w:rPr>
          <w:rFonts w:ascii="Tahoma" w:hAnsi="Tahoma" w:cs="Tahoma"/>
          <w:sz w:val="24"/>
          <w:szCs w:val="24"/>
        </w:rPr>
      </w:pPr>
    </w:p>
    <w:p w:rsidR="00B62539" w:rsidRPr="007B7F98" w:rsidRDefault="00B62539" w:rsidP="00EC48FC">
      <w:pPr>
        <w:spacing w:after="0" w:line="360" w:lineRule="auto"/>
        <w:jc w:val="both"/>
        <w:rPr>
          <w:rFonts w:ascii="Tahoma" w:hAnsi="Tahoma" w:cs="Tahoma"/>
          <w:b/>
          <w:sz w:val="24"/>
          <w:szCs w:val="24"/>
        </w:rPr>
      </w:pPr>
      <w:r w:rsidRPr="007B7F98">
        <w:rPr>
          <w:rFonts w:ascii="Tahoma" w:hAnsi="Tahoma" w:cs="Tahoma"/>
          <w:b/>
          <w:sz w:val="24"/>
          <w:szCs w:val="24"/>
        </w:rPr>
        <w:t>Wherefore it is ordered that,</w:t>
      </w:r>
    </w:p>
    <w:p w:rsidR="00B62539" w:rsidRPr="007B7F98" w:rsidRDefault="00B62539" w:rsidP="00EC48FC">
      <w:pPr>
        <w:spacing w:after="0" w:line="360" w:lineRule="auto"/>
        <w:jc w:val="both"/>
        <w:rPr>
          <w:rFonts w:ascii="Tahoma" w:hAnsi="Tahoma" w:cs="Tahoma"/>
          <w:b/>
          <w:sz w:val="24"/>
          <w:szCs w:val="24"/>
        </w:rPr>
      </w:pPr>
    </w:p>
    <w:p w:rsidR="00B62539" w:rsidRPr="007B7F98" w:rsidRDefault="00B62539" w:rsidP="00B62539">
      <w:pPr>
        <w:pStyle w:val="ListParagraph"/>
        <w:numPr>
          <w:ilvl w:val="0"/>
          <w:numId w:val="30"/>
        </w:numPr>
        <w:spacing w:after="0" w:line="360" w:lineRule="auto"/>
        <w:jc w:val="both"/>
        <w:rPr>
          <w:rFonts w:ascii="Tahoma" w:hAnsi="Tahoma" w:cs="Tahoma"/>
          <w:b/>
          <w:sz w:val="24"/>
          <w:szCs w:val="24"/>
        </w:rPr>
      </w:pPr>
      <w:r w:rsidRPr="007B7F98">
        <w:rPr>
          <w:rFonts w:ascii="Tahoma" w:hAnsi="Tahoma" w:cs="Tahoma"/>
          <w:b/>
          <w:sz w:val="24"/>
          <w:szCs w:val="24"/>
        </w:rPr>
        <w:t>Respondents’ 1</w:t>
      </w:r>
      <w:r w:rsidRPr="007B7F98">
        <w:rPr>
          <w:rFonts w:ascii="Tahoma" w:hAnsi="Tahoma" w:cs="Tahoma"/>
          <w:b/>
          <w:sz w:val="24"/>
          <w:szCs w:val="24"/>
          <w:vertAlign w:val="superscript"/>
        </w:rPr>
        <w:t>st</w:t>
      </w:r>
      <w:r w:rsidRPr="007B7F98">
        <w:rPr>
          <w:rFonts w:ascii="Tahoma" w:hAnsi="Tahoma" w:cs="Tahoma"/>
          <w:b/>
          <w:sz w:val="24"/>
          <w:szCs w:val="24"/>
        </w:rPr>
        <w:t xml:space="preserve"> point </w:t>
      </w:r>
      <w:r w:rsidRPr="007B7F98">
        <w:rPr>
          <w:rFonts w:ascii="Tahoma" w:hAnsi="Tahoma" w:cs="Tahoma"/>
          <w:b/>
          <w:sz w:val="24"/>
          <w:szCs w:val="24"/>
          <w:u w:val="single"/>
        </w:rPr>
        <w:t>in</w:t>
      </w:r>
      <w:r w:rsidRPr="007B7F98">
        <w:rPr>
          <w:rFonts w:ascii="Tahoma" w:hAnsi="Tahoma" w:cs="Tahoma"/>
          <w:b/>
          <w:sz w:val="24"/>
          <w:szCs w:val="24"/>
        </w:rPr>
        <w:t xml:space="preserve"> </w:t>
      </w:r>
      <w:proofErr w:type="spellStart"/>
      <w:r w:rsidRPr="007B7F98">
        <w:rPr>
          <w:rFonts w:ascii="Tahoma" w:hAnsi="Tahoma" w:cs="Tahoma"/>
          <w:b/>
          <w:sz w:val="24"/>
          <w:szCs w:val="24"/>
          <w:u w:val="single"/>
        </w:rPr>
        <w:t>limine</w:t>
      </w:r>
      <w:proofErr w:type="spellEnd"/>
      <w:r w:rsidRPr="007B7F98">
        <w:rPr>
          <w:rFonts w:ascii="Tahoma" w:hAnsi="Tahoma" w:cs="Tahoma"/>
          <w:b/>
          <w:sz w:val="24"/>
          <w:szCs w:val="24"/>
        </w:rPr>
        <w:t xml:space="preserve"> be and is hereby upheld;</w:t>
      </w:r>
    </w:p>
    <w:p w:rsidR="00B62539" w:rsidRPr="007B7F98" w:rsidRDefault="00B62539" w:rsidP="00B62539">
      <w:pPr>
        <w:pStyle w:val="ListParagraph"/>
        <w:spacing w:after="0" w:line="360" w:lineRule="auto"/>
        <w:jc w:val="both"/>
        <w:rPr>
          <w:rFonts w:ascii="Tahoma" w:hAnsi="Tahoma" w:cs="Tahoma"/>
          <w:b/>
          <w:sz w:val="24"/>
          <w:szCs w:val="24"/>
        </w:rPr>
      </w:pPr>
    </w:p>
    <w:p w:rsidR="00B62539" w:rsidRPr="007B7F98" w:rsidRDefault="00B62539" w:rsidP="00B62539">
      <w:pPr>
        <w:pStyle w:val="ListParagraph"/>
        <w:numPr>
          <w:ilvl w:val="0"/>
          <w:numId w:val="30"/>
        </w:numPr>
        <w:spacing w:after="0" w:line="360" w:lineRule="auto"/>
        <w:jc w:val="both"/>
        <w:rPr>
          <w:rFonts w:ascii="Tahoma" w:hAnsi="Tahoma" w:cs="Tahoma"/>
          <w:b/>
          <w:sz w:val="24"/>
          <w:szCs w:val="24"/>
        </w:rPr>
      </w:pPr>
      <w:r w:rsidRPr="007B7F98">
        <w:rPr>
          <w:rFonts w:ascii="Tahoma" w:hAnsi="Tahoma" w:cs="Tahoma"/>
          <w:b/>
          <w:sz w:val="24"/>
          <w:szCs w:val="24"/>
        </w:rPr>
        <w:t>The application for condonation and leave to appeal is hereby struck off as incompetent; and</w:t>
      </w:r>
    </w:p>
    <w:p w:rsidR="00B62539" w:rsidRPr="007B7F98" w:rsidRDefault="00B62539" w:rsidP="00B62539">
      <w:pPr>
        <w:pStyle w:val="ListParagraph"/>
        <w:rPr>
          <w:rFonts w:ascii="Tahoma" w:hAnsi="Tahoma" w:cs="Tahoma"/>
          <w:b/>
          <w:sz w:val="24"/>
          <w:szCs w:val="24"/>
        </w:rPr>
      </w:pPr>
    </w:p>
    <w:p w:rsidR="00B62539" w:rsidRDefault="00B62539" w:rsidP="00B62539">
      <w:pPr>
        <w:pStyle w:val="ListParagraph"/>
        <w:numPr>
          <w:ilvl w:val="0"/>
          <w:numId w:val="30"/>
        </w:numPr>
        <w:spacing w:after="0" w:line="360" w:lineRule="auto"/>
        <w:jc w:val="both"/>
        <w:rPr>
          <w:rFonts w:ascii="Tahoma" w:hAnsi="Tahoma" w:cs="Tahoma"/>
          <w:b/>
          <w:sz w:val="24"/>
          <w:szCs w:val="24"/>
        </w:rPr>
      </w:pPr>
      <w:r w:rsidRPr="007B7F98">
        <w:rPr>
          <w:rFonts w:ascii="Tahoma" w:hAnsi="Tahoma" w:cs="Tahoma"/>
          <w:b/>
          <w:sz w:val="24"/>
          <w:szCs w:val="24"/>
        </w:rPr>
        <w:t>Applicant shall pay Respondents’ costs of suit.</w:t>
      </w:r>
    </w:p>
    <w:p w:rsidR="00501C59" w:rsidRPr="00501C59" w:rsidRDefault="00501C59" w:rsidP="00501C59">
      <w:pPr>
        <w:pStyle w:val="ListParagrap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p>
    <w:p w:rsidR="00501C59" w:rsidRDefault="00501C59" w:rsidP="00501C59">
      <w:pPr>
        <w:pStyle w:val="ListParagraph"/>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G. MUSARIRI</w:t>
      </w:r>
    </w:p>
    <w:p w:rsidR="00501C59" w:rsidRDefault="00501C59" w:rsidP="00501C59">
      <w:pPr>
        <w:pStyle w:val="ListParagraph"/>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J-U-D-G-E</w:t>
      </w:r>
    </w:p>
    <w:p w:rsidR="00501C59" w:rsidRPr="007B7F98" w:rsidRDefault="00501C59" w:rsidP="00501C59">
      <w:pPr>
        <w:pStyle w:val="ListParagraph"/>
        <w:spacing w:after="0" w:line="360" w:lineRule="auto"/>
        <w:jc w:val="both"/>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p>
    <w:sectPr w:rsidR="00501C59" w:rsidRPr="007B7F98"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C5E" w:rsidRDefault="00CB5C5E" w:rsidP="00B30B64">
      <w:pPr>
        <w:spacing w:after="0" w:line="240" w:lineRule="auto"/>
      </w:pPr>
      <w:r>
        <w:separator/>
      </w:r>
    </w:p>
  </w:endnote>
  <w:endnote w:type="continuationSeparator" w:id="0">
    <w:p w:rsidR="00CB5C5E" w:rsidRDefault="00CB5C5E"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C5E" w:rsidRDefault="00CB5C5E" w:rsidP="00B30B64">
      <w:pPr>
        <w:spacing w:after="0" w:line="240" w:lineRule="auto"/>
      </w:pPr>
      <w:r>
        <w:separator/>
      </w:r>
    </w:p>
  </w:footnote>
  <w:footnote w:type="continuationSeparator" w:id="0">
    <w:p w:rsidR="00CB5C5E" w:rsidRDefault="00CB5C5E" w:rsidP="00B3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9E1FE7">
          <w:rPr>
            <w:noProof/>
          </w:rPr>
          <w:t>5</w:t>
        </w:r>
        <w:r>
          <w:rPr>
            <w:noProof/>
          </w:rPr>
          <w:fldChar w:fldCharType="end"/>
        </w:r>
      </w:p>
      <w:p w:rsidR="00F72617" w:rsidRDefault="00F72617">
        <w:pPr>
          <w:pStyle w:val="Header"/>
          <w:jc w:val="right"/>
          <w:rPr>
            <w:noProof/>
          </w:rPr>
        </w:pPr>
        <w:r>
          <w:rPr>
            <w:noProof/>
          </w:rPr>
          <w:t>LC/</w:t>
        </w:r>
        <w:r w:rsidR="00FE7CE7">
          <w:rPr>
            <w:noProof/>
          </w:rPr>
          <w:t>H/</w:t>
        </w:r>
        <w:r w:rsidR="00C665F3">
          <w:rPr>
            <w:noProof/>
          </w:rPr>
          <w:t>/</w:t>
        </w:r>
        <w:r w:rsidR="00DC3C82">
          <w:rPr>
            <w:noProof/>
          </w:rPr>
          <w:t>2026</w:t>
        </w:r>
      </w:p>
      <w:p w:rsidR="00B30B64" w:rsidRDefault="00F72617">
        <w:pPr>
          <w:pStyle w:val="Header"/>
          <w:jc w:val="right"/>
        </w:pPr>
        <w:r>
          <w:rPr>
            <w:noProof/>
          </w:rPr>
          <w:t>LC/</w:t>
        </w:r>
        <w:r w:rsidR="007B16B9">
          <w:rPr>
            <w:noProof/>
          </w:rPr>
          <w:t>H/</w:t>
        </w:r>
        <w:r w:rsidR="00EE642C">
          <w:rPr>
            <w:noProof/>
          </w:rPr>
          <w:t>145/25</w:t>
        </w:r>
      </w:p>
    </w:sdtContent>
  </w:sdt>
  <w:p w:rsidR="00B30B64" w:rsidRDefault="00B30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159F2"/>
    <w:multiLevelType w:val="hybridMultilevel"/>
    <w:tmpl w:val="9014BAC0"/>
    <w:lvl w:ilvl="0" w:tplc="F6B2B4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1101F6"/>
    <w:multiLevelType w:val="hybridMultilevel"/>
    <w:tmpl w:val="EF52C086"/>
    <w:lvl w:ilvl="0" w:tplc="FD30D6B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743D6F"/>
    <w:multiLevelType w:val="hybridMultilevel"/>
    <w:tmpl w:val="D6AADC8C"/>
    <w:lvl w:ilvl="0" w:tplc="1C844B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772EC8"/>
    <w:multiLevelType w:val="hybridMultilevel"/>
    <w:tmpl w:val="4D10B43A"/>
    <w:lvl w:ilvl="0" w:tplc="86DE5E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564208C"/>
    <w:multiLevelType w:val="hybridMultilevel"/>
    <w:tmpl w:val="36AE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B5D06"/>
    <w:multiLevelType w:val="hybridMultilevel"/>
    <w:tmpl w:val="68A64936"/>
    <w:lvl w:ilvl="0" w:tplc="1A1E68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920D21"/>
    <w:multiLevelType w:val="hybridMultilevel"/>
    <w:tmpl w:val="994EC0E8"/>
    <w:lvl w:ilvl="0" w:tplc="664E4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EA28A2"/>
    <w:multiLevelType w:val="multilevel"/>
    <w:tmpl w:val="2D102DF2"/>
    <w:lvl w:ilvl="0">
      <w:start w:val="1"/>
      <w:numFmt w:val="decimal"/>
      <w:lvlText w:val="%1."/>
      <w:lvlJc w:val="left"/>
      <w:pPr>
        <w:ind w:left="420" w:hanging="420"/>
      </w:pPr>
      <w:rPr>
        <w:rFonts w:hint="default"/>
        <w:i w:val="0"/>
      </w:rPr>
    </w:lvl>
    <w:lvl w:ilvl="1">
      <w:start w:val="1"/>
      <w:numFmt w:val="decimal"/>
      <w:lvlText w:val="%1.%2."/>
      <w:lvlJc w:val="left"/>
      <w:pPr>
        <w:ind w:left="2160" w:hanging="720"/>
      </w:pPr>
      <w:rPr>
        <w:rFonts w:hint="default"/>
        <w:i w:val="0"/>
      </w:rPr>
    </w:lvl>
    <w:lvl w:ilvl="2">
      <w:start w:val="1"/>
      <w:numFmt w:val="decimal"/>
      <w:lvlText w:val="%1.%2.%3."/>
      <w:lvlJc w:val="left"/>
      <w:pPr>
        <w:ind w:left="3960" w:hanging="1080"/>
      </w:pPr>
      <w:rPr>
        <w:rFonts w:hint="default"/>
        <w:i w:val="0"/>
      </w:rPr>
    </w:lvl>
    <w:lvl w:ilvl="3">
      <w:start w:val="1"/>
      <w:numFmt w:val="decimal"/>
      <w:lvlText w:val="%1.%2.%3.%4."/>
      <w:lvlJc w:val="left"/>
      <w:pPr>
        <w:ind w:left="5400" w:hanging="1080"/>
      </w:pPr>
      <w:rPr>
        <w:rFonts w:hint="default"/>
        <w:i w:val="0"/>
      </w:rPr>
    </w:lvl>
    <w:lvl w:ilvl="4">
      <w:start w:val="1"/>
      <w:numFmt w:val="decimal"/>
      <w:lvlText w:val="%1.%2.%3.%4.%5."/>
      <w:lvlJc w:val="left"/>
      <w:pPr>
        <w:ind w:left="7200" w:hanging="1440"/>
      </w:pPr>
      <w:rPr>
        <w:rFonts w:hint="default"/>
        <w:i w:val="0"/>
      </w:rPr>
    </w:lvl>
    <w:lvl w:ilvl="5">
      <w:start w:val="1"/>
      <w:numFmt w:val="decimal"/>
      <w:lvlText w:val="%1.%2.%3.%4.%5.%6."/>
      <w:lvlJc w:val="left"/>
      <w:pPr>
        <w:ind w:left="9000" w:hanging="1800"/>
      </w:pPr>
      <w:rPr>
        <w:rFonts w:hint="default"/>
        <w:i w:val="0"/>
      </w:rPr>
    </w:lvl>
    <w:lvl w:ilvl="6">
      <w:start w:val="1"/>
      <w:numFmt w:val="decimal"/>
      <w:lvlText w:val="%1.%2.%3.%4.%5.%6.%7."/>
      <w:lvlJc w:val="left"/>
      <w:pPr>
        <w:ind w:left="10440" w:hanging="1800"/>
      </w:pPr>
      <w:rPr>
        <w:rFonts w:hint="default"/>
        <w:i w:val="0"/>
      </w:rPr>
    </w:lvl>
    <w:lvl w:ilvl="7">
      <w:start w:val="1"/>
      <w:numFmt w:val="decimal"/>
      <w:lvlText w:val="%1.%2.%3.%4.%5.%6.%7.%8."/>
      <w:lvlJc w:val="left"/>
      <w:pPr>
        <w:ind w:left="12240" w:hanging="2160"/>
      </w:pPr>
      <w:rPr>
        <w:rFonts w:hint="default"/>
        <w:i w:val="0"/>
      </w:rPr>
    </w:lvl>
    <w:lvl w:ilvl="8">
      <w:start w:val="1"/>
      <w:numFmt w:val="decimal"/>
      <w:lvlText w:val="%1.%2.%3.%4.%5.%6.%7.%8.%9."/>
      <w:lvlJc w:val="left"/>
      <w:pPr>
        <w:ind w:left="14040" w:hanging="2520"/>
      </w:pPr>
      <w:rPr>
        <w:rFonts w:hint="default"/>
        <w:i w:val="0"/>
      </w:rPr>
    </w:lvl>
  </w:abstractNum>
  <w:abstractNum w:abstractNumId="14"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623396"/>
    <w:multiLevelType w:val="hybridMultilevel"/>
    <w:tmpl w:val="10D4E932"/>
    <w:lvl w:ilvl="0" w:tplc="09A67F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F26995"/>
    <w:multiLevelType w:val="hybridMultilevel"/>
    <w:tmpl w:val="34A4C45E"/>
    <w:lvl w:ilvl="0" w:tplc="E4D2EB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634DF1"/>
    <w:multiLevelType w:val="hybridMultilevel"/>
    <w:tmpl w:val="1C0C4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
  </w:num>
  <w:num w:numId="3">
    <w:abstractNumId w:val="16"/>
  </w:num>
  <w:num w:numId="4">
    <w:abstractNumId w:val="1"/>
  </w:num>
  <w:num w:numId="5">
    <w:abstractNumId w:val="28"/>
  </w:num>
  <w:num w:numId="6">
    <w:abstractNumId w:val="17"/>
  </w:num>
  <w:num w:numId="7">
    <w:abstractNumId w:val="14"/>
  </w:num>
  <w:num w:numId="8">
    <w:abstractNumId w:val="27"/>
  </w:num>
  <w:num w:numId="9">
    <w:abstractNumId w:val="24"/>
  </w:num>
  <w:num w:numId="10">
    <w:abstractNumId w:val="9"/>
  </w:num>
  <w:num w:numId="11">
    <w:abstractNumId w:val="22"/>
  </w:num>
  <w:num w:numId="12">
    <w:abstractNumId w:val="23"/>
  </w:num>
  <w:num w:numId="13">
    <w:abstractNumId w:val="4"/>
  </w:num>
  <w:num w:numId="14">
    <w:abstractNumId w:val="18"/>
  </w:num>
  <w:num w:numId="15">
    <w:abstractNumId w:val="26"/>
  </w:num>
  <w:num w:numId="16">
    <w:abstractNumId w:val="12"/>
  </w:num>
  <w:num w:numId="17">
    <w:abstractNumId w:val="20"/>
  </w:num>
  <w:num w:numId="18">
    <w:abstractNumId w:val="29"/>
  </w:num>
  <w:num w:numId="19">
    <w:abstractNumId w:val="8"/>
  </w:num>
  <w:num w:numId="20">
    <w:abstractNumId w:val="21"/>
  </w:num>
  <w:num w:numId="21">
    <w:abstractNumId w:val="2"/>
  </w:num>
  <w:num w:numId="22">
    <w:abstractNumId w:val="25"/>
  </w:num>
  <w:num w:numId="23">
    <w:abstractNumId w:val="10"/>
  </w:num>
  <w:num w:numId="24">
    <w:abstractNumId w:val="6"/>
  </w:num>
  <w:num w:numId="25">
    <w:abstractNumId w:val="15"/>
  </w:num>
  <w:num w:numId="26">
    <w:abstractNumId w:val="11"/>
  </w:num>
  <w:num w:numId="27">
    <w:abstractNumId w:val="13"/>
  </w:num>
  <w:num w:numId="28">
    <w:abstractNumId w:val="5"/>
  </w:num>
  <w:num w:numId="29">
    <w:abstractNumId w:val="0"/>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0DD9"/>
    <w:rsid w:val="0002676F"/>
    <w:rsid w:val="00033B73"/>
    <w:rsid w:val="000340FB"/>
    <w:rsid w:val="000500F4"/>
    <w:rsid w:val="00051B98"/>
    <w:rsid w:val="00052487"/>
    <w:rsid w:val="00053B96"/>
    <w:rsid w:val="00053EE2"/>
    <w:rsid w:val="00054F36"/>
    <w:rsid w:val="00055CF5"/>
    <w:rsid w:val="00057A74"/>
    <w:rsid w:val="00060780"/>
    <w:rsid w:val="00065650"/>
    <w:rsid w:val="00072F5C"/>
    <w:rsid w:val="0007764D"/>
    <w:rsid w:val="000805F3"/>
    <w:rsid w:val="0008264F"/>
    <w:rsid w:val="000875A4"/>
    <w:rsid w:val="00087A2D"/>
    <w:rsid w:val="000A1165"/>
    <w:rsid w:val="000A1E39"/>
    <w:rsid w:val="000A37C7"/>
    <w:rsid w:val="000A4BB6"/>
    <w:rsid w:val="000A614F"/>
    <w:rsid w:val="000A786E"/>
    <w:rsid w:val="000C4BA2"/>
    <w:rsid w:val="000C5766"/>
    <w:rsid w:val="000C67B2"/>
    <w:rsid w:val="000C70F5"/>
    <w:rsid w:val="000C727F"/>
    <w:rsid w:val="000C747C"/>
    <w:rsid w:val="000D29CD"/>
    <w:rsid w:val="000D2C39"/>
    <w:rsid w:val="000D3009"/>
    <w:rsid w:val="000D34D2"/>
    <w:rsid w:val="000E2F2A"/>
    <w:rsid w:val="000E4266"/>
    <w:rsid w:val="000E6C78"/>
    <w:rsid w:val="000F388E"/>
    <w:rsid w:val="000F44B4"/>
    <w:rsid w:val="000F4F24"/>
    <w:rsid w:val="000F5E25"/>
    <w:rsid w:val="000F611A"/>
    <w:rsid w:val="00100912"/>
    <w:rsid w:val="00102F05"/>
    <w:rsid w:val="00103480"/>
    <w:rsid w:val="0010392D"/>
    <w:rsid w:val="00111757"/>
    <w:rsid w:val="00113A19"/>
    <w:rsid w:val="00117ED6"/>
    <w:rsid w:val="00122BE0"/>
    <w:rsid w:val="001245C7"/>
    <w:rsid w:val="00125A89"/>
    <w:rsid w:val="00130EFA"/>
    <w:rsid w:val="001318F3"/>
    <w:rsid w:val="00132EF5"/>
    <w:rsid w:val="001413C0"/>
    <w:rsid w:val="001419F4"/>
    <w:rsid w:val="00151600"/>
    <w:rsid w:val="00154917"/>
    <w:rsid w:val="00154C29"/>
    <w:rsid w:val="00155047"/>
    <w:rsid w:val="001575F2"/>
    <w:rsid w:val="00163FCD"/>
    <w:rsid w:val="001645F1"/>
    <w:rsid w:val="00167DF1"/>
    <w:rsid w:val="00170013"/>
    <w:rsid w:val="001700E3"/>
    <w:rsid w:val="0017401D"/>
    <w:rsid w:val="00174DDB"/>
    <w:rsid w:val="001757D7"/>
    <w:rsid w:val="001776B3"/>
    <w:rsid w:val="00183AE1"/>
    <w:rsid w:val="001846D4"/>
    <w:rsid w:val="00185602"/>
    <w:rsid w:val="0018563E"/>
    <w:rsid w:val="00190EB0"/>
    <w:rsid w:val="00194CE7"/>
    <w:rsid w:val="00195554"/>
    <w:rsid w:val="0019616D"/>
    <w:rsid w:val="00196F4A"/>
    <w:rsid w:val="001A4763"/>
    <w:rsid w:val="001A6B94"/>
    <w:rsid w:val="001A7F00"/>
    <w:rsid w:val="001B7FC0"/>
    <w:rsid w:val="001C0AFA"/>
    <w:rsid w:val="001C34F7"/>
    <w:rsid w:val="001C74CF"/>
    <w:rsid w:val="001D248F"/>
    <w:rsid w:val="001D30A7"/>
    <w:rsid w:val="001D68C6"/>
    <w:rsid w:val="001E405F"/>
    <w:rsid w:val="001E4A0A"/>
    <w:rsid w:val="001E7958"/>
    <w:rsid w:val="001F29F1"/>
    <w:rsid w:val="001F2B23"/>
    <w:rsid w:val="001F772B"/>
    <w:rsid w:val="001F7C0D"/>
    <w:rsid w:val="002064D7"/>
    <w:rsid w:val="00214692"/>
    <w:rsid w:val="00216D89"/>
    <w:rsid w:val="00221900"/>
    <w:rsid w:val="00222A19"/>
    <w:rsid w:val="00222A82"/>
    <w:rsid w:val="00227716"/>
    <w:rsid w:val="0023406F"/>
    <w:rsid w:val="00234FA7"/>
    <w:rsid w:val="0023750B"/>
    <w:rsid w:val="00242695"/>
    <w:rsid w:val="00244D92"/>
    <w:rsid w:val="00246944"/>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A35AA"/>
    <w:rsid w:val="002B0706"/>
    <w:rsid w:val="002B23E8"/>
    <w:rsid w:val="002B3415"/>
    <w:rsid w:val="002B72FA"/>
    <w:rsid w:val="002C718B"/>
    <w:rsid w:val="002D2E31"/>
    <w:rsid w:val="002D4155"/>
    <w:rsid w:val="002D4285"/>
    <w:rsid w:val="002D512C"/>
    <w:rsid w:val="002D6E2A"/>
    <w:rsid w:val="002E3B2D"/>
    <w:rsid w:val="002E7F4A"/>
    <w:rsid w:val="002F1148"/>
    <w:rsid w:val="002F1523"/>
    <w:rsid w:val="002F339B"/>
    <w:rsid w:val="002F5002"/>
    <w:rsid w:val="002F6199"/>
    <w:rsid w:val="003027FC"/>
    <w:rsid w:val="003103B7"/>
    <w:rsid w:val="00310D51"/>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1945"/>
    <w:rsid w:val="003B38A0"/>
    <w:rsid w:val="003B6ABC"/>
    <w:rsid w:val="003B7B1C"/>
    <w:rsid w:val="003C37C6"/>
    <w:rsid w:val="003C432A"/>
    <w:rsid w:val="003D6C59"/>
    <w:rsid w:val="003D76D4"/>
    <w:rsid w:val="003D7EFA"/>
    <w:rsid w:val="003E1F30"/>
    <w:rsid w:val="003E23BE"/>
    <w:rsid w:val="003E49BA"/>
    <w:rsid w:val="003F1469"/>
    <w:rsid w:val="003F1BC5"/>
    <w:rsid w:val="003F1D8F"/>
    <w:rsid w:val="003F59DC"/>
    <w:rsid w:val="003F7544"/>
    <w:rsid w:val="00402C91"/>
    <w:rsid w:val="00402FE0"/>
    <w:rsid w:val="00405FCA"/>
    <w:rsid w:val="004060F1"/>
    <w:rsid w:val="0041676B"/>
    <w:rsid w:val="004247AD"/>
    <w:rsid w:val="004267B9"/>
    <w:rsid w:val="00432A66"/>
    <w:rsid w:val="00432EEF"/>
    <w:rsid w:val="00434563"/>
    <w:rsid w:val="00434F50"/>
    <w:rsid w:val="00437D19"/>
    <w:rsid w:val="00441BD0"/>
    <w:rsid w:val="00444632"/>
    <w:rsid w:val="00445D02"/>
    <w:rsid w:val="00446417"/>
    <w:rsid w:val="00446B24"/>
    <w:rsid w:val="004501DB"/>
    <w:rsid w:val="00450B7B"/>
    <w:rsid w:val="00460EB0"/>
    <w:rsid w:val="0046530C"/>
    <w:rsid w:val="00466CF3"/>
    <w:rsid w:val="0047098D"/>
    <w:rsid w:val="004736BE"/>
    <w:rsid w:val="00484EDF"/>
    <w:rsid w:val="00492869"/>
    <w:rsid w:val="00494417"/>
    <w:rsid w:val="004A35F9"/>
    <w:rsid w:val="004A5400"/>
    <w:rsid w:val="004A735A"/>
    <w:rsid w:val="004A7B89"/>
    <w:rsid w:val="004B03BE"/>
    <w:rsid w:val="004B2CB8"/>
    <w:rsid w:val="004B6A99"/>
    <w:rsid w:val="004B71F9"/>
    <w:rsid w:val="004C0A4D"/>
    <w:rsid w:val="004C30A4"/>
    <w:rsid w:val="004C3F29"/>
    <w:rsid w:val="004D6D92"/>
    <w:rsid w:val="004E2763"/>
    <w:rsid w:val="004E2B4B"/>
    <w:rsid w:val="004E2E34"/>
    <w:rsid w:val="004F3A66"/>
    <w:rsid w:val="004F6601"/>
    <w:rsid w:val="00500110"/>
    <w:rsid w:val="00501C59"/>
    <w:rsid w:val="00501CB3"/>
    <w:rsid w:val="005040C6"/>
    <w:rsid w:val="00505824"/>
    <w:rsid w:val="005065CD"/>
    <w:rsid w:val="0051348A"/>
    <w:rsid w:val="00515B1F"/>
    <w:rsid w:val="005242AA"/>
    <w:rsid w:val="00525D22"/>
    <w:rsid w:val="00532633"/>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36DE"/>
    <w:rsid w:val="005963C2"/>
    <w:rsid w:val="005970E1"/>
    <w:rsid w:val="005978C5"/>
    <w:rsid w:val="005A018D"/>
    <w:rsid w:val="005A14A5"/>
    <w:rsid w:val="005A15F1"/>
    <w:rsid w:val="005A1EFB"/>
    <w:rsid w:val="005A47C3"/>
    <w:rsid w:val="005A6C1C"/>
    <w:rsid w:val="005A7D17"/>
    <w:rsid w:val="005B7B37"/>
    <w:rsid w:val="005B7F6D"/>
    <w:rsid w:val="005C2CEF"/>
    <w:rsid w:val="005C61A5"/>
    <w:rsid w:val="005C6817"/>
    <w:rsid w:val="005C7D04"/>
    <w:rsid w:val="005D0A2C"/>
    <w:rsid w:val="005D159F"/>
    <w:rsid w:val="005D307D"/>
    <w:rsid w:val="005D74BC"/>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259AD"/>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C786B"/>
    <w:rsid w:val="006D0731"/>
    <w:rsid w:val="006D1A9C"/>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37B6E"/>
    <w:rsid w:val="00743432"/>
    <w:rsid w:val="0074399E"/>
    <w:rsid w:val="00753A30"/>
    <w:rsid w:val="0075641B"/>
    <w:rsid w:val="00756682"/>
    <w:rsid w:val="0075782D"/>
    <w:rsid w:val="00761F63"/>
    <w:rsid w:val="00762676"/>
    <w:rsid w:val="00764D7C"/>
    <w:rsid w:val="007661CD"/>
    <w:rsid w:val="0077551D"/>
    <w:rsid w:val="00776233"/>
    <w:rsid w:val="007816D2"/>
    <w:rsid w:val="00787A2D"/>
    <w:rsid w:val="007900F5"/>
    <w:rsid w:val="0079373C"/>
    <w:rsid w:val="0079407A"/>
    <w:rsid w:val="00795346"/>
    <w:rsid w:val="00795CC7"/>
    <w:rsid w:val="007A09F8"/>
    <w:rsid w:val="007A2CB4"/>
    <w:rsid w:val="007A44A7"/>
    <w:rsid w:val="007A73AD"/>
    <w:rsid w:val="007A7F37"/>
    <w:rsid w:val="007B16B9"/>
    <w:rsid w:val="007B1B58"/>
    <w:rsid w:val="007B4088"/>
    <w:rsid w:val="007B4916"/>
    <w:rsid w:val="007B5C06"/>
    <w:rsid w:val="007B7F98"/>
    <w:rsid w:val="007C127D"/>
    <w:rsid w:val="007C2D54"/>
    <w:rsid w:val="007C7C11"/>
    <w:rsid w:val="007D03BE"/>
    <w:rsid w:val="007D09DD"/>
    <w:rsid w:val="007D48BE"/>
    <w:rsid w:val="007D48C8"/>
    <w:rsid w:val="007D6740"/>
    <w:rsid w:val="007E09B2"/>
    <w:rsid w:val="007E1239"/>
    <w:rsid w:val="007E5619"/>
    <w:rsid w:val="007F0495"/>
    <w:rsid w:val="007F0901"/>
    <w:rsid w:val="007F0D50"/>
    <w:rsid w:val="007F18F8"/>
    <w:rsid w:val="008065F6"/>
    <w:rsid w:val="00812519"/>
    <w:rsid w:val="00815182"/>
    <w:rsid w:val="00821335"/>
    <w:rsid w:val="00822B0B"/>
    <w:rsid w:val="008257ED"/>
    <w:rsid w:val="00826C4F"/>
    <w:rsid w:val="008307E6"/>
    <w:rsid w:val="00834C16"/>
    <w:rsid w:val="00835C2B"/>
    <w:rsid w:val="008401E4"/>
    <w:rsid w:val="00840E82"/>
    <w:rsid w:val="00846B18"/>
    <w:rsid w:val="0085545E"/>
    <w:rsid w:val="0085634D"/>
    <w:rsid w:val="00857E8A"/>
    <w:rsid w:val="00861094"/>
    <w:rsid w:val="00862280"/>
    <w:rsid w:val="00866AE1"/>
    <w:rsid w:val="00870A66"/>
    <w:rsid w:val="00874C99"/>
    <w:rsid w:val="00875EA4"/>
    <w:rsid w:val="00893159"/>
    <w:rsid w:val="00893693"/>
    <w:rsid w:val="0089578F"/>
    <w:rsid w:val="008967CE"/>
    <w:rsid w:val="008A322C"/>
    <w:rsid w:val="008A6B28"/>
    <w:rsid w:val="008A7068"/>
    <w:rsid w:val="008B22A4"/>
    <w:rsid w:val="008B36A9"/>
    <w:rsid w:val="008B7E99"/>
    <w:rsid w:val="008C02A9"/>
    <w:rsid w:val="008C0EF2"/>
    <w:rsid w:val="008C3527"/>
    <w:rsid w:val="008C3CC5"/>
    <w:rsid w:val="008C6856"/>
    <w:rsid w:val="008D003C"/>
    <w:rsid w:val="008D5856"/>
    <w:rsid w:val="008D604B"/>
    <w:rsid w:val="008D7BB5"/>
    <w:rsid w:val="008E14CD"/>
    <w:rsid w:val="008E3B71"/>
    <w:rsid w:val="008F1C20"/>
    <w:rsid w:val="008F4C34"/>
    <w:rsid w:val="008F602A"/>
    <w:rsid w:val="008F7E7E"/>
    <w:rsid w:val="009029AD"/>
    <w:rsid w:val="00902D60"/>
    <w:rsid w:val="00905406"/>
    <w:rsid w:val="0091120B"/>
    <w:rsid w:val="00911C53"/>
    <w:rsid w:val="00913E92"/>
    <w:rsid w:val="00917E15"/>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467B7"/>
    <w:rsid w:val="00953BAA"/>
    <w:rsid w:val="0095689E"/>
    <w:rsid w:val="00962D0C"/>
    <w:rsid w:val="00962FF1"/>
    <w:rsid w:val="009673E8"/>
    <w:rsid w:val="00967761"/>
    <w:rsid w:val="009708BA"/>
    <w:rsid w:val="009760B2"/>
    <w:rsid w:val="009766EF"/>
    <w:rsid w:val="0098103B"/>
    <w:rsid w:val="00982808"/>
    <w:rsid w:val="0098457E"/>
    <w:rsid w:val="0098750B"/>
    <w:rsid w:val="00987E6A"/>
    <w:rsid w:val="00990EF2"/>
    <w:rsid w:val="009964E6"/>
    <w:rsid w:val="009A313D"/>
    <w:rsid w:val="009A36F7"/>
    <w:rsid w:val="009A7DC4"/>
    <w:rsid w:val="009B1594"/>
    <w:rsid w:val="009B2282"/>
    <w:rsid w:val="009B5B90"/>
    <w:rsid w:val="009C6A7B"/>
    <w:rsid w:val="009E058D"/>
    <w:rsid w:val="009E1FE7"/>
    <w:rsid w:val="009F2B71"/>
    <w:rsid w:val="009F2B80"/>
    <w:rsid w:val="009F380D"/>
    <w:rsid w:val="009F5234"/>
    <w:rsid w:val="009F66D9"/>
    <w:rsid w:val="00A018F8"/>
    <w:rsid w:val="00A047B5"/>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65789"/>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05C5"/>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029B2"/>
    <w:rsid w:val="00B05E6A"/>
    <w:rsid w:val="00B06D7A"/>
    <w:rsid w:val="00B10F4C"/>
    <w:rsid w:val="00B1278E"/>
    <w:rsid w:val="00B141E6"/>
    <w:rsid w:val="00B15A86"/>
    <w:rsid w:val="00B16D08"/>
    <w:rsid w:val="00B16E22"/>
    <w:rsid w:val="00B20AAD"/>
    <w:rsid w:val="00B20F0C"/>
    <w:rsid w:val="00B219A0"/>
    <w:rsid w:val="00B25F8A"/>
    <w:rsid w:val="00B26DC7"/>
    <w:rsid w:val="00B27D4A"/>
    <w:rsid w:val="00B30B64"/>
    <w:rsid w:val="00B339FC"/>
    <w:rsid w:val="00B33A77"/>
    <w:rsid w:val="00B36AFF"/>
    <w:rsid w:val="00B42BB0"/>
    <w:rsid w:val="00B50340"/>
    <w:rsid w:val="00B53EBD"/>
    <w:rsid w:val="00B56B34"/>
    <w:rsid w:val="00B57ACA"/>
    <w:rsid w:val="00B6044C"/>
    <w:rsid w:val="00B6091F"/>
    <w:rsid w:val="00B618B7"/>
    <w:rsid w:val="00B62539"/>
    <w:rsid w:val="00B62886"/>
    <w:rsid w:val="00B72771"/>
    <w:rsid w:val="00B757C6"/>
    <w:rsid w:val="00B77F33"/>
    <w:rsid w:val="00B83ADA"/>
    <w:rsid w:val="00B86101"/>
    <w:rsid w:val="00B92F49"/>
    <w:rsid w:val="00B93F09"/>
    <w:rsid w:val="00BA3304"/>
    <w:rsid w:val="00BA4B62"/>
    <w:rsid w:val="00BB0C9B"/>
    <w:rsid w:val="00BB0EBC"/>
    <w:rsid w:val="00BB5CD7"/>
    <w:rsid w:val="00BB62C4"/>
    <w:rsid w:val="00BB78BE"/>
    <w:rsid w:val="00BB7A13"/>
    <w:rsid w:val="00BC298D"/>
    <w:rsid w:val="00BC47AB"/>
    <w:rsid w:val="00BC586E"/>
    <w:rsid w:val="00BC7ADE"/>
    <w:rsid w:val="00BD0C39"/>
    <w:rsid w:val="00BD3FF7"/>
    <w:rsid w:val="00BE1BC6"/>
    <w:rsid w:val="00BE72AC"/>
    <w:rsid w:val="00BF0A30"/>
    <w:rsid w:val="00BF0EE9"/>
    <w:rsid w:val="00BF7284"/>
    <w:rsid w:val="00C00C8D"/>
    <w:rsid w:val="00C056BB"/>
    <w:rsid w:val="00C06A2B"/>
    <w:rsid w:val="00C115B0"/>
    <w:rsid w:val="00C15D33"/>
    <w:rsid w:val="00C15FAB"/>
    <w:rsid w:val="00C26496"/>
    <w:rsid w:val="00C3213A"/>
    <w:rsid w:val="00C33733"/>
    <w:rsid w:val="00C427ED"/>
    <w:rsid w:val="00C44AE5"/>
    <w:rsid w:val="00C45B68"/>
    <w:rsid w:val="00C47898"/>
    <w:rsid w:val="00C515F9"/>
    <w:rsid w:val="00C53CEB"/>
    <w:rsid w:val="00C54CA6"/>
    <w:rsid w:val="00C60B4B"/>
    <w:rsid w:val="00C610D3"/>
    <w:rsid w:val="00C617C6"/>
    <w:rsid w:val="00C61AED"/>
    <w:rsid w:val="00C61EE5"/>
    <w:rsid w:val="00C64555"/>
    <w:rsid w:val="00C665F3"/>
    <w:rsid w:val="00C7105C"/>
    <w:rsid w:val="00C71B25"/>
    <w:rsid w:val="00C74CBD"/>
    <w:rsid w:val="00C8113F"/>
    <w:rsid w:val="00C833AF"/>
    <w:rsid w:val="00C8437F"/>
    <w:rsid w:val="00C8515A"/>
    <w:rsid w:val="00C87CA6"/>
    <w:rsid w:val="00C9017C"/>
    <w:rsid w:val="00C934EE"/>
    <w:rsid w:val="00C95F6E"/>
    <w:rsid w:val="00CA05A2"/>
    <w:rsid w:val="00CA336A"/>
    <w:rsid w:val="00CA4F85"/>
    <w:rsid w:val="00CA5796"/>
    <w:rsid w:val="00CB40CD"/>
    <w:rsid w:val="00CB5C5E"/>
    <w:rsid w:val="00CD0C73"/>
    <w:rsid w:val="00CD1E63"/>
    <w:rsid w:val="00CD1F59"/>
    <w:rsid w:val="00CD237F"/>
    <w:rsid w:val="00CD2C15"/>
    <w:rsid w:val="00CD43C4"/>
    <w:rsid w:val="00CD57BC"/>
    <w:rsid w:val="00CD78F2"/>
    <w:rsid w:val="00CD7B99"/>
    <w:rsid w:val="00CE0EFE"/>
    <w:rsid w:val="00CE27B1"/>
    <w:rsid w:val="00CE7F0B"/>
    <w:rsid w:val="00CF4EB6"/>
    <w:rsid w:val="00D00704"/>
    <w:rsid w:val="00D0190F"/>
    <w:rsid w:val="00D02AB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858E6"/>
    <w:rsid w:val="00D91804"/>
    <w:rsid w:val="00D92BF8"/>
    <w:rsid w:val="00DA314E"/>
    <w:rsid w:val="00DB0CC5"/>
    <w:rsid w:val="00DB0D67"/>
    <w:rsid w:val="00DB2F26"/>
    <w:rsid w:val="00DB325B"/>
    <w:rsid w:val="00DB340A"/>
    <w:rsid w:val="00DB4347"/>
    <w:rsid w:val="00DB4B45"/>
    <w:rsid w:val="00DB5792"/>
    <w:rsid w:val="00DB7615"/>
    <w:rsid w:val="00DB7F44"/>
    <w:rsid w:val="00DC0239"/>
    <w:rsid w:val="00DC207B"/>
    <w:rsid w:val="00DC3C82"/>
    <w:rsid w:val="00DC4117"/>
    <w:rsid w:val="00DC4AE0"/>
    <w:rsid w:val="00DD19EF"/>
    <w:rsid w:val="00DD5441"/>
    <w:rsid w:val="00DD7501"/>
    <w:rsid w:val="00DE0AB6"/>
    <w:rsid w:val="00DE27AA"/>
    <w:rsid w:val="00DE7F2C"/>
    <w:rsid w:val="00DF26EF"/>
    <w:rsid w:val="00DF58B3"/>
    <w:rsid w:val="00DF649F"/>
    <w:rsid w:val="00DF78DE"/>
    <w:rsid w:val="00E16EDF"/>
    <w:rsid w:val="00E17C80"/>
    <w:rsid w:val="00E204B5"/>
    <w:rsid w:val="00E21177"/>
    <w:rsid w:val="00E21746"/>
    <w:rsid w:val="00E2316A"/>
    <w:rsid w:val="00E23B43"/>
    <w:rsid w:val="00E26C9B"/>
    <w:rsid w:val="00E31AD0"/>
    <w:rsid w:val="00E3511A"/>
    <w:rsid w:val="00E37192"/>
    <w:rsid w:val="00E53BF5"/>
    <w:rsid w:val="00E57B55"/>
    <w:rsid w:val="00E6268F"/>
    <w:rsid w:val="00E64BCB"/>
    <w:rsid w:val="00E65700"/>
    <w:rsid w:val="00E65C15"/>
    <w:rsid w:val="00E70669"/>
    <w:rsid w:val="00E71307"/>
    <w:rsid w:val="00E756DD"/>
    <w:rsid w:val="00E768A5"/>
    <w:rsid w:val="00E82BAF"/>
    <w:rsid w:val="00E846EF"/>
    <w:rsid w:val="00E84D32"/>
    <w:rsid w:val="00E866D5"/>
    <w:rsid w:val="00E87B97"/>
    <w:rsid w:val="00E90962"/>
    <w:rsid w:val="00E920AF"/>
    <w:rsid w:val="00E92483"/>
    <w:rsid w:val="00E92EAA"/>
    <w:rsid w:val="00E92EF2"/>
    <w:rsid w:val="00E94648"/>
    <w:rsid w:val="00E94A52"/>
    <w:rsid w:val="00EA1BA5"/>
    <w:rsid w:val="00EA4B9C"/>
    <w:rsid w:val="00EB4218"/>
    <w:rsid w:val="00EB5AC3"/>
    <w:rsid w:val="00EC2013"/>
    <w:rsid w:val="00EC48FC"/>
    <w:rsid w:val="00ED12FB"/>
    <w:rsid w:val="00ED6740"/>
    <w:rsid w:val="00EE0610"/>
    <w:rsid w:val="00EE49A4"/>
    <w:rsid w:val="00EE642C"/>
    <w:rsid w:val="00EE6F6C"/>
    <w:rsid w:val="00EF3B27"/>
    <w:rsid w:val="00EF4CDC"/>
    <w:rsid w:val="00EF55C7"/>
    <w:rsid w:val="00EF685E"/>
    <w:rsid w:val="00F04DBB"/>
    <w:rsid w:val="00F078A8"/>
    <w:rsid w:val="00F16AF2"/>
    <w:rsid w:val="00F16F36"/>
    <w:rsid w:val="00F22AD1"/>
    <w:rsid w:val="00F32439"/>
    <w:rsid w:val="00F32632"/>
    <w:rsid w:val="00F33EC9"/>
    <w:rsid w:val="00F34761"/>
    <w:rsid w:val="00F34A9A"/>
    <w:rsid w:val="00F35907"/>
    <w:rsid w:val="00F4059A"/>
    <w:rsid w:val="00F460F0"/>
    <w:rsid w:val="00F545F5"/>
    <w:rsid w:val="00F57766"/>
    <w:rsid w:val="00F62A0C"/>
    <w:rsid w:val="00F64911"/>
    <w:rsid w:val="00F66D22"/>
    <w:rsid w:val="00F67FD2"/>
    <w:rsid w:val="00F72617"/>
    <w:rsid w:val="00F76792"/>
    <w:rsid w:val="00F7731C"/>
    <w:rsid w:val="00F776AC"/>
    <w:rsid w:val="00F81B0D"/>
    <w:rsid w:val="00F84CF4"/>
    <w:rsid w:val="00F85231"/>
    <w:rsid w:val="00F94600"/>
    <w:rsid w:val="00F94CBA"/>
    <w:rsid w:val="00F96258"/>
    <w:rsid w:val="00F963FD"/>
    <w:rsid w:val="00F97953"/>
    <w:rsid w:val="00FA1A40"/>
    <w:rsid w:val="00FA3BE9"/>
    <w:rsid w:val="00FA40E2"/>
    <w:rsid w:val="00FB1540"/>
    <w:rsid w:val="00FB3942"/>
    <w:rsid w:val="00FB6644"/>
    <w:rsid w:val="00FC29A5"/>
    <w:rsid w:val="00FC57A7"/>
    <w:rsid w:val="00FD0A08"/>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FC179-D77E-497A-824A-4F90FAAE9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LABOUR COURT HRE</cp:lastModifiedBy>
  <cp:revision>2</cp:revision>
  <cp:lastPrinted>2026-05-19T08:19:00Z</cp:lastPrinted>
  <dcterms:created xsi:type="dcterms:W3CDTF">2026-05-20T09:36:00Z</dcterms:created>
  <dcterms:modified xsi:type="dcterms:W3CDTF">2026-05-20T09:36:00Z</dcterms:modified>
</cp:coreProperties>
</file>