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8861A9" w14:textId="77777777" w:rsidR="00E84508" w:rsidRPr="003A150B" w:rsidRDefault="00E84508" w:rsidP="006929E8">
      <w:pPr>
        <w:spacing w:after="0" w:line="240" w:lineRule="auto"/>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THE STATE</w:t>
      </w:r>
    </w:p>
    <w:p w14:paraId="68054BE4" w14:textId="6E970BB2" w:rsidR="00E84508" w:rsidRPr="003A150B" w:rsidRDefault="006929E8" w:rsidP="006929E8">
      <w:pPr>
        <w:spacing w:after="0" w:line="240" w:lineRule="auto"/>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v</w:t>
      </w:r>
      <w:r w:rsidR="00E84508" w:rsidRPr="003A150B">
        <w:rPr>
          <w:rFonts w:ascii="Times New Roman" w:eastAsia="Times New Roman" w:hAnsi="Times New Roman" w:cs="Times New Roman"/>
          <w:sz w:val="24"/>
          <w:szCs w:val="24"/>
          <w:lang w:eastAsia="en-ZW"/>
        </w:rPr>
        <w:t>ersus</w:t>
      </w:r>
    </w:p>
    <w:p w14:paraId="10C70194" w14:textId="77777777" w:rsidR="00E84508" w:rsidRDefault="00E84508" w:rsidP="006929E8">
      <w:pPr>
        <w:spacing w:after="0" w:line="240" w:lineRule="auto"/>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TAFADZWA TSOMBO</w:t>
      </w:r>
    </w:p>
    <w:p w14:paraId="60804DC8" w14:textId="77777777" w:rsidR="006929E8" w:rsidRDefault="006929E8" w:rsidP="006929E8">
      <w:pPr>
        <w:spacing w:after="0" w:line="240" w:lineRule="auto"/>
        <w:rPr>
          <w:rFonts w:ascii="Times New Roman" w:eastAsia="Times New Roman" w:hAnsi="Times New Roman" w:cs="Times New Roman"/>
          <w:sz w:val="24"/>
          <w:szCs w:val="24"/>
          <w:lang w:eastAsia="en-ZW"/>
        </w:rPr>
      </w:pPr>
    </w:p>
    <w:p w14:paraId="47A2FF76" w14:textId="77777777" w:rsidR="006929E8" w:rsidRPr="003A150B" w:rsidRDefault="006929E8" w:rsidP="006929E8">
      <w:pPr>
        <w:spacing w:after="0" w:line="240" w:lineRule="auto"/>
        <w:rPr>
          <w:rFonts w:ascii="Times New Roman" w:eastAsia="Times New Roman" w:hAnsi="Times New Roman" w:cs="Times New Roman"/>
          <w:sz w:val="24"/>
          <w:szCs w:val="24"/>
          <w:lang w:eastAsia="en-ZW"/>
        </w:rPr>
      </w:pPr>
    </w:p>
    <w:p w14:paraId="40C13556" w14:textId="77777777" w:rsidR="00E84508" w:rsidRPr="003A150B" w:rsidRDefault="00E84508" w:rsidP="006929E8">
      <w:pPr>
        <w:spacing w:after="0" w:line="240" w:lineRule="auto"/>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HIGH COURT OF ZIMBABWE</w:t>
      </w:r>
    </w:p>
    <w:p w14:paraId="04B49F57" w14:textId="77777777" w:rsidR="00E84508" w:rsidRPr="003A150B" w:rsidRDefault="00E84508" w:rsidP="006929E8">
      <w:pPr>
        <w:spacing w:after="0" w:line="240" w:lineRule="auto"/>
        <w:rPr>
          <w:rFonts w:ascii="Times New Roman" w:eastAsia="Times New Roman" w:hAnsi="Times New Roman" w:cs="Times New Roman"/>
          <w:b/>
          <w:bCs/>
          <w:sz w:val="24"/>
          <w:szCs w:val="24"/>
          <w:lang w:eastAsia="en-ZW"/>
        </w:rPr>
      </w:pPr>
      <w:r w:rsidRPr="003A150B">
        <w:rPr>
          <w:rFonts w:ascii="Times New Roman" w:eastAsia="Times New Roman" w:hAnsi="Times New Roman" w:cs="Times New Roman"/>
          <w:b/>
          <w:bCs/>
          <w:sz w:val="24"/>
          <w:szCs w:val="24"/>
          <w:lang w:eastAsia="en-ZW"/>
        </w:rPr>
        <w:t>MAMBARA J</w:t>
      </w:r>
    </w:p>
    <w:p w14:paraId="3E26D2A6" w14:textId="6287AE45" w:rsidR="00E84508" w:rsidRDefault="00E84508" w:rsidP="006929E8">
      <w:pPr>
        <w:spacing w:after="0" w:line="240" w:lineRule="auto"/>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HARARE</w:t>
      </w:r>
      <w:r w:rsidR="006929E8">
        <w:rPr>
          <w:rFonts w:ascii="Times New Roman" w:eastAsia="Times New Roman" w:hAnsi="Times New Roman" w:cs="Times New Roman"/>
          <w:sz w:val="24"/>
          <w:szCs w:val="24"/>
          <w:lang w:eastAsia="en-ZW"/>
        </w:rPr>
        <w:t>;</w:t>
      </w:r>
      <w:r w:rsidR="00B308D0">
        <w:rPr>
          <w:rFonts w:ascii="Times New Roman" w:eastAsia="Times New Roman" w:hAnsi="Times New Roman" w:cs="Times New Roman"/>
          <w:sz w:val="24"/>
          <w:szCs w:val="24"/>
          <w:lang w:eastAsia="en-ZW"/>
        </w:rPr>
        <w:t xml:space="preserve"> 23 January 2026</w:t>
      </w:r>
    </w:p>
    <w:p w14:paraId="534AD4D2" w14:textId="77777777" w:rsidR="006929E8" w:rsidRDefault="006929E8" w:rsidP="006929E8">
      <w:pPr>
        <w:spacing w:after="0" w:line="240" w:lineRule="auto"/>
        <w:rPr>
          <w:rFonts w:ascii="Times New Roman" w:eastAsia="Times New Roman" w:hAnsi="Times New Roman" w:cs="Times New Roman"/>
          <w:sz w:val="24"/>
          <w:szCs w:val="24"/>
          <w:lang w:eastAsia="en-ZW"/>
        </w:rPr>
      </w:pPr>
    </w:p>
    <w:p w14:paraId="624AD73D" w14:textId="77777777" w:rsidR="006929E8" w:rsidRPr="003A150B" w:rsidRDefault="006929E8" w:rsidP="006929E8">
      <w:pPr>
        <w:spacing w:after="0" w:line="240" w:lineRule="auto"/>
        <w:rPr>
          <w:rFonts w:ascii="Times New Roman" w:eastAsia="Times New Roman" w:hAnsi="Times New Roman" w:cs="Times New Roman"/>
          <w:sz w:val="24"/>
          <w:szCs w:val="24"/>
          <w:lang w:eastAsia="en-ZW"/>
        </w:rPr>
      </w:pPr>
    </w:p>
    <w:p w14:paraId="741A9C73" w14:textId="2FF26FB9" w:rsidR="00E84508" w:rsidRDefault="0034709C" w:rsidP="006929E8">
      <w:pPr>
        <w:spacing w:after="0" w:line="240" w:lineRule="auto"/>
        <w:rPr>
          <w:rFonts w:ascii="Times New Roman" w:eastAsia="Times New Roman" w:hAnsi="Times New Roman" w:cs="Times New Roman"/>
          <w:b/>
          <w:bCs/>
          <w:sz w:val="24"/>
          <w:szCs w:val="24"/>
          <w:lang w:eastAsia="en-ZW"/>
        </w:rPr>
      </w:pPr>
      <w:r w:rsidRPr="006929E8">
        <w:rPr>
          <w:rFonts w:ascii="Times New Roman" w:eastAsia="Times New Roman" w:hAnsi="Times New Roman" w:cs="Times New Roman"/>
          <w:b/>
          <w:bCs/>
          <w:sz w:val="24"/>
          <w:szCs w:val="24"/>
          <w:lang w:eastAsia="en-ZW"/>
        </w:rPr>
        <w:t>Criminal Review</w:t>
      </w:r>
    </w:p>
    <w:p w14:paraId="1097347F" w14:textId="77777777" w:rsidR="006929E8" w:rsidRDefault="006929E8" w:rsidP="006929E8">
      <w:pPr>
        <w:spacing w:after="0" w:line="240" w:lineRule="auto"/>
        <w:rPr>
          <w:rFonts w:ascii="Times New Roman" w:eastAsia="Times New Roman" w:hAnsi="Times New Roman" w:cs="Times New Roman"/>
          <w:b/>
          <w:bCs/>
          <w:sz w:val="24"/>
          <w:szCs w:val="24"/>
          <w:lang w:eastAsia="en-ZW"/>
        </w:rPr>
      </w:pPr>
    </w:p>
    <w:p w14:paraId="21550704" w14:textId="77777777" w:rsidR="006929E8" w:rsidRDefault="006929E8" w:rsidP="006929E8">
      <w:pPr>
        <w:spacing w:after="0" w:line="240" w:lineRule="auto"/>
        <w:rPr>
          <w:rFonts w:ascii="Times New Roman" w:eastAsia="Times New Roman" w:hAnsi="Times New Roman" w:cs="Times New Roman"/>
          <w:b/>
          <w:bCs/>
          <w:sz w:val="24"/>
          <w:szCs w:val="24"/>
          <w:lang w:eastAsia="en-ZW"/>
        </w:rPr>
      </w:pPr>
      <w:bookmarkStart w:id="0" w:name="_GoBack"/>
      <w:bookmarkEnd w:id="0"/>
    </w:p>
    <w:p w14:paraId="17D5221D" w14:textId="77777777" w:rsidR="006929E8" w:rsidRPr="006929E8" w:rsidRDefault="006929E8" w:rsidP="006929E8">
      <w:pPr>
        <w:spacing w:after="0" w:line="240" w:lineRule="auto"/>
        <w:rPr>
          <w:rFonts w:ascii="Times New Roman" w:eastAsia="Times New Roman" w:hAnsi="Times New Roman" w:cs="Times New Roman"/>
          <w:b/>
          <w:bCs/>
          <w:sz w:val="24"/>
          <w:szCs w:val="24"/>
          <w:lang w:eastAsia="en-ZW"/>
        </w:rPr>
      </w:pPr>
    </w:p>
    <w:p w14:paraId="3DF8C729" w14:textId="730627B2" w:rsidR="001C0C80" w:rsidRPr="003A150B" w:rsidRDefault="00E84508" w:rsidP="006929E8">
      <w:pPr>
        <w:spacing w:after="0" w:line="240" w:lineRule="auto"/>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MAMBARA J:</w:t>
      </w:r>
      <w:r w:rsidR="001C0C80" w:rsidRPr="003A150B">
        <w:rPr>
          <w:rFonts w:ascii="Times New Roman" w:eastAsia="Times New Roman" w:hAnsi="Times New Roman" w:cs="Times New Roman"/>
          <w:sz w:val="24"/>
          <w:szCs w:val="24"/>
          <w:lang w:eastAsia="en-ZW"/>
        </w:rPr>
        <w:br/>
      </w:r>
    </w:p>
    <w:p w14:paraId="0BFD5161" w14:textId="6067EA76" w:rsidR="001C0C80" w:rsidRPr="006019CB" w:rsidRDefault="006019CB" w:rsidP="006929E8">
      <w:pPr>
        <w:spacing w:before="100" w:beforeAutospacing="1" w:after="100" w:afterAutospacing="1" w:line="240" w:lineRule="auto"/>
        <w:outlineLvl w:val="1"/>
        <w:rPr>
          <w:rFonts w:ascii="Times New Roman" w:eastAsia="Times New Roman" w:hAnsi="Times New Roman" w:cs="Times New Roman"/>
          <w:sz w:val="24"/>
          <w:szCs w:val="24"/>
          <w:lang w:eastAsia="en-ZW"/>
        </w:rPr>
      </w:pPr>
      <w:r w:rsidRPr="006019CB">
        <w:rPr>
          <w:rFonts w:ascii="Times New Roman" w:eastAsia="Times New Roman" w:hAnsi="Times New Roman" w:cs="Times New Roman"/>
          <w:sz w:val="24"/>
          <w:szCs w:val="24"/>
          <w:lang w:eastAsia="en-ZW"/>
        </w:rPr>
        <w:t>INTRODUCTION AND BACKGROUND</w:t>
      </w:r>
    </w:p>
    <w:p w14:paraId="1027B5C8" w14:textId="77777777" w:rsidR="001C0C80" w:rsidRPr="003A150B" w:rsidRDefault="001C0C80" w:rsidP="006929E8">
      <w:pPr>
        <w:spacing w:after="0"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This matter came before the High Court on automatic review. The accused, Takudzwa Tsombo, was convicted by the Magistrates’ Court (Gokwe) of unlawful entry in aggravating circumstances and sentenced to a term of imprisonment. The conviction rested exclusively on a single witness’s visual identification of the accused under challenging conditions. Upon careful scrutiny of the record, it became apparent that the identification evidence was inadequately tested and unsafe, rendering the conviction unsustainable.</w:t>
      </w:r>
    </w:p>
    <w:p w14:paraId="185346F8" w14:textId="77777777" w:rsidR="006929E8" w:rsidRDefault="001C0C80" w:rsidP="006929E8">
      <w:pPr>
        <w:spacing w:after="0"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The alleged offense occurred at approximately 03:00 hours. The State’s key witness – the complainant’s 15-year-old sister – testified that she awoke to find an intruder in their home. She observed the intruder only fleetingly: he stood about two meters away, illuminated dimly by a single light bulb, for what she estimated to be 15 seconds. When the intruder noticed her, he produced a knife and motioned her to silence. In fear, the witness hid under a blanket. By the time she re-emerged moments later, the intruder had fled with various household items. The witness did not know the intruder previously.</w:t>
      </w:r>
    </w:p>
    <w:p w14:paraId="5A1680F4" w14:textId="798C5985" w:rsidR="001C0C80" w:rsidRPr="003A150B" w:rsidRDefault="001C0C80" w:rsidP="006929E8">
      <w:pPr>
        <w:spacing w:after="0"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 xml:space="preserve">Crucially, the witness’s subsequent identification of the accused occurred days later when she purportedly saw him fetching water in the </w:t>
      </w:r>
      <w:r w:rsidR="003A150B" w:rsidRPr="003A150B">
        <w:rPr>
          <w:rFonts w:ascii="Times New Roman" w:eastAsia="Times New Roman" w:hAnsi="Times New Roman" w:cs="Times New Roman"/>
          <w:sz w:val="24"/>
          <w:szCs w:val="24"/>
          <w:lang w:eastAsia="en-ZW"/>
        </w:rPr>
        <w:t>neighbourhood</w:t>
      </w:r>
      <w:r w:rsidRPr="003A150B">
        <w:rPr>
          <w:rFonts w:ascii="Times New Roman" w:eastAsia="Times New Roman" w:hAnsi="Times New Roman" w:cs="Times New Roman"/>
          <w:sz w:val="24"/>
          <w:szCs w:val="24"/>
          <w:lang w:eastAsia="en-ZW"/>
        </w:rPr>
        <w:t xml:space="preserve"> and alerted others. No formal identification parade was held. The accused was then arrested based on this street identification. Apart from the witness’s assertion, no corroborative evidence (such as recovered stolen property, forensic evidence, or additional eyewitnesses) linked the accused to the crime.</w:t>
      </w:r>
    </w:p>
    <w:p w14:paraId="39C0215E" w14:textId="77777777" w:rsidR="00B94384" w:rsidRDefault="001C0C80" w:rsidP="00B94384">
      <w:pPr>
        <w:spacing w:after="0" w:line="360" w:lineRule="auto"/>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lastRenderedPageBreak/>
        <w:t xml:space="preserve">The accused’s </w:t>
      </w:r>
      <w:r w:rsidR="000B6FE7" w:rsidRPr="003A150B">
        <w:rPr>
          <w:rFonts w:ascii="Times New Roman" w:eastAsia="Times New Roman" w:hAnsi="Times New Roman" w:cs="Times New Roman"/>
          <w:sz w:val="24"/>
          <w:szCs w:val="24"/>
          <w:lang w:eastAsia="en-ZW"/>
        </w:rPr>
        <w:t>defence</w:t>
      </w:r>
      <w:r w:rsidRPr="003A150B">
        <w:rPr>
          <w:rFonts w:ascii="Times New Roman" w:eastAsia="Times New Roman" w:hAnsi="Times New Roman" w:cs="Times New Roman"/>
          <w:sz w:val="24"/>
          <w:szCs w:val="24"/>
          <w:lang w:eastAsia="en-ZW"/>
        </w:rPr>
        <w:t xml:space="preserve"> was an </w:t>
      </w:r>
      <w:r w:rsidRPr="003A150B">
        <w:rPr>
          <w:rFonts w:ascii="Times New Roman" w:eastAsia="Times New Roman" w:hAnsi="Times New Roman" w:cs="Times New Roman"/>
          <w:i/>
          <w:iCs/>
          <w:sz w:val="24"/>
          <w:szCs w:val="24"/>
          <w:lang w:eastAsia="en-ZW"/>
        </w:rPr>
        <w:t>alibi.</w:t>
      </w:r>
      <w:r w:rsidRPr="003A150B">
        <w:rPr>
          <w:rFonts w:ascii="Times New Roman" w:eastAsia="Times New Roman" w:hAnsi="Times New Roman" w:cs="Times New Roman"/>
          <w:sz w:val="24"/>
          <w:szCs w:val="24"/>
          <w:lang w:eastAsia="en-ZW"/>
        </w:rPr>
        <w:t xml:space="preserve"> He maintained that on the night in question he was bedridden at home with an illness and could not have been at the scene. His mother testified in support, stating the accused was indeed unwell and at home. The trial court, however, rejected the alibi for lack of “proof” – noting that no medical records were produced and the mother had not physically checked on the accused throughout that night. The magistrate accepted the single witness’s identification as truthful and made findings that the viewing conditions were sufficient (citing the presence of a light and the witness’s description of the intruder’s jacket and beard). The magistrate concluded there was “no case of mistaken identity” and convicted the accused.</w:t>
      </w:r>
    </w:p>
    <w:p w14:paraId="2B85F083" w14:textId="44A2EF38" w:rsidR="001C0C80" w:rsidRPr="003A150B" w:rsidRDefault="001C0C80" w:rsidP="00B94384">
      <w:pPr>
        <w:spacing w:after="0"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Having examined these facts and the lower court’s reasoning, this review judgment addresses whether the conviction can stand in light of the cautionary rules on identification evidence in our law. It also considers the proper treatment of the accused’s alibi. Ultimately, for the reasons that follow, the conviction and sentence must be quashed as unsafe.</w:t>
      </w:r>
    </w:p>
    <w:p w14:paraId="4C688B5C" w14:textId="77777777" w:rsidR="001C0C80" w:rsidRPr="006929E8" w:rsidRDefault="001C0C80" w:rsidP="006929E8">
      <w:pPr>
        <w:spacing w:before="100" w:beforeAutospacing="1" w:after="100" w:afterAutospacing="1" w:line="240" w:lineRule="auto"/>
        <w:jc w:val="both"/>
        <w:outlineLvl w:val="1"/>
        <w:rPr>
          <w:rFonts w:ascii="Times New Roman" w:eastAsia="Times New Roman" w:hAnsi="Times New Roman" w:cs="Times New Roman"/>
          <w:sz w:val="24"/>
          <w:szCs w:val="24"/>
          <w:lang w:eastAsia="en-ZW"/>
        </w:rPr>
      </w:pPr>
      <w:r w:rsidRPr="006929E8">
        <w:rPr>
          <w:rFonts w:ascii="Times New Roman" w:eastAsia="Times New Roman" w:hAnsi="Times New Roman" w:cs="Times New Roman"/>
          <w:sz w:val="24"/>
          <w:szCs w:val="24"/>
          <w:lang w:eastAsia="en-ZW"/>
        </w:rPr>
        <w:t>Legal Principles on Identification Evidence</w:t>
      </w:r>
    </w:p>
    <w:p w14:paraId="61B723FC" w14:textId="77777777" w:rsidR="001C0C80" w:rsidRPr="003A150B" w:rsidRDefault="001C0C80" w:rsidP="00B94384">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 xml:space="preserve">It is a fundamental principle of criminal justice that evidence of visual identification – especially by a single witness – must be treated with extreme caution. Courts have long recognized the fallibility of human observation and memory, even by honest witnesses. In the seminal case </w:t>
      </w:r>
      <w:r w:rsidRPr="003A150B">
        <w:rPr>
          <w:rFonts w:ascii="Times New Roman" w:eastAsia="Times New Roman" w:hAnsi="Times New Roman" w:cs="Times New Roman"/>
          <w:i/>
          <w:iCs/>
          <w:sz w:val="24"/>
          <w:szCs w:val="24"/>
          <w:lang w:eastAsia="en-ZW"/>
        </w:rPr>
        <w:t xml:space="preserve">S </w:t>
      </w:r>
      <w:r w:rsidRPr="0037092A">
        <w:rPr>
          <w:rFonts w:ascii="Times New Roman" w:eastAsia="Times New Roman" w:hAnsi="Times New Roman" w:cs="Times New Roman"/>
          <w:sz w:val="24"/>
          <w:szCs w:val="24"/>
          <w:lang w:eastAsia="en-ZW"/>
        </w:rPr>
        <w:t xml:space="preserve">v </w:t>
      </w:r>
      <w:r w:rsidRPr="003A150B">
        <w:rPr>
          <w:rFonts w:ascii="Times New Roman" w:eastAsia="Times New Roman" w:hAnsi="Times New Roman" w:cs="Times New Roman"/>
          <w:i/>
          <w:iCs/>
          <w:sz w:val="24"/>
          <w:szCs w:val="24"/>
          <w:lang w:eastAsia="en-ZW"/>
        </w:rPr>
        <w:t>Mthetwa</w:t>
      </w:r>
      <w:r w:rsidRPr="003A150B">
        <w:rPr>
          <w:rFonts w:ascii="Times New Roman" w:eastAsia="Times New Roman" w:hAnsi="Times New Roman" w:cs="Times New Roman"/>
          <w:sz w:val="24"/>
          <w:szCs w:val="24"/>
          <w:lang w:eastAsia="en-ZW"/>
        </w:rPr>
        <w:t xml:space="preserve"> 1972 (3) SA 766 (A), cited with approval in numerous Zimbabwean decisions, </w:t>
      </w:r>
      <w:r w:rsidRPr="006235E8">
        <w:rPr>
          <w:rFonts w:ascii="Times New Roman" w:eastAsia="Times New Roman" w:hAnsi="Times New Roman" w:cs="Times New Roman"/>
          <w:smallCaps/>
          <w:sz w:val="24"/>
          <w:szCs w:val="24"/>
          <w:lang w:eastAsia="en-ZW"/>
        </w:rPr>
        <w:t>Holmes</w:t>
      </w:r>
      <w:r w:rsidRPr="003A150B">
        <w:rPr>
          <w:rFonts w:ascii="Times New Roman" w:eastAsia="Times New Roman" w:hAnsi="Times New Roman" w:cs="Times New Roman"/>
          <w:sz w:val="24"/>
          <w:szCs w:val="24"/>
          <w:lang w:eastAsia="en-ZW"/>
        </w:rPr>
        <w:t xml:space="preserve"> JA famously remarked:</w:t>
      </w:r>
    </w:p>
    <w:p w14:paraId="49EC5309" w14:textId="77777777" w:rsidR="001C0C80" w:rsidRPr="00B94384" w:rsidRDefault="001C0C80" w:rsidP="00B94384">
      <w:pPr>
        <w:spacing w:beforeAutospacing="1" w:after="100" w:afterAutospacing="1" w:line="240" w:lineRule="auto"/>
        <w:ind w:left="720"/>
        <w:jc w:val="both"/>
        <w:rPr>
          <w:rFonts w:ascii="Times New Roman" w:eastAsia="Times New Roman" w:hAnsi="Times New Roman" w:cs="Times New Roman"/>
          <w:lang w:eastAsia="en-ZW"/>
        </w:rPr>
      </w:pPr>
      <w:r w:rsidRPr="00B94384">
        <w:rPr>
          <w:rFonts w:ascii="Times New Roman" w:eastAsia="Times New Roman" w:hAnsi="Times New Roman" w:cs="Times New Roman"/>
          <w:lang w:eastAsia="en-ZW"/>
        </w:rPr>
        <w:t xml:space="preserve">“Because of the fallibility of human observation, evidence of identification is approached by the courts with some caution. It is not enough for the identifying witness to be honest: the reliability of his observation must also be tested. This depends on various factors, such as lighting, visibility, and eyesight; the proximity of the witness; his opportunity for observation, both as to time and situation; the extent of his prior knowledge of the accused; the mobility of the scene; corroboration; suggestibility; the accused’s face, voice, build, gait, and dress; the result of identification parades, if any; and, of course, the evidence by or on behalf of the accused. … These factors, or such of them as are applicable in a particular case, are not individually decisive, but must be weighed </w:t>
      </w:r>
      <w:r w:rsidRPr="00B94384">
        <w:rPr>
          <w:rFonts w:ascii="Times New Roman" w:eastAsia="Times New Roman" w:hAnsi="Times New Roman" w:cs="Times New Roman"/>
          <w:i/>
          <w:iCs/>
          <w:lang w:eastAsia="en-ZW"/>
        </w:rPr>
        <w:t>in light of the totality of the evidence and probabilities</w:t>
      </w:r>
      <w:r w:rsidRPr="00B94384">
        <w:rPr>
          <w:rFonts w:ascii="Times New Roman" w:eastAsia="Times New Roman" w:hAnsi="Times New Roman" w:cs="Times New Roman"/>
          <w:lang w:eastAsia="en-ZW"/>
        </w:rPr>
        <w:t>.”</w:t>
      </w:r>
    </w:p>
    <w:p w14:paraId="0A3A6DF8" w14:textId="77777777" w:rsidR="001C0C80" w:rsidRPr="003A150B" w:rsidRDefault="001C0C80" w:rsidP="00B94384">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 xml:space="preserve">Our courts have repeatedly echoed these cautionary guidelines. In </w:t>
      </w:r>
      <w:r w:rsidRPr="003A150B">
        <w:rPr>
          <w:rFonts w:ascii="Times New Roman" w:eastAsia="Times New Roman" w:hAnsi="Times New Roman" w:cs="Times New Roman"/>
          <w:i/>
          <w:iCs/>
          <w:sz w:val="24"/>
          <w:szCs w:val="24"/>
          <w:lang w:eastAsia="en-ZW"/>
        </w:rPr>
        <w:t xml:space="preserve">S </w:t>
      </w:r>
      <w:r w:rsidRPr="00B94384">
        <w:rPr>
          <w:rFonts w:ascii="Times New Roman" w:eastAsia="Times New Roman" w:hAnsi="Times New Roman" w:cs="Times New Roman"/>
          <w:sz w:val="24"/>
          <w:szCs w:val="24"/>
          <w:lang w:eastAsia="en-ZW"/>
        </w:rPr>
        <w:t>v</w:t>
      </w:r>
      <w:r w:rsidRPr="003A150B">
        <w:rPr>
          <w:rFonts w:ascii="Times New Roman" w:eastAsia="Times New Roman" w:hAnsi="Times New Roman" w:cs="Times New Roman"/>
          <w:i/>
          <w:iCs/>
          <w:sz w:val="24"/>
          <w:szCs w:val="24"/>
          <w:lang w:eastAsia="en-ZW"/>
        </w:rPr>
        <w:t xml:space="preserve"> Mutters &amp; Anor</w:t>
      </w:r>
      <w:r w:rsidRPr="003A150B">
        <w:rPr>
          <w:rFonts w:ascii="Times New Roman" w:eastAsia="Times New Roman" w:hAnsi="Times New Roman" w:cs="Times New Roman"/>
          <w:sz w:val="24"/>
          <w:szCs w:val="24"/>
          <w:lang w:eastAsia="en-ZW"/>
        </w:rPr>
        <w:t xml:space="preserve"> 1992 (2) ZLR 362 (S) (also reported as S-66-89) and </w:t>
      </w:r>
      <w:r w:rsidRPr="003A150B">
        <w:rPr>
          <w:rFonts w:ascii="Times New Roman" w:eastAsia="Times New Roman" w:hAnsi="Times New Roman" w:cs="Times New Roman"/>
          <w:i/>
          <w:iCs/>
          <w:sz w:val="24"/>
          <w:szCs w:val="24"/>
          <w:lang w:eastAsia="en-ZW"/>
        </w:rPr>
        <w:t xml:space="preserve">S </w:t>
      </w:r>
      <w:r w:rsidRPr="00B94384">
        <w:rPr>
          <w:rFonts w:ascii="Times New Roman" w:eastAsia="Times New Roman" w:hAnsi="Times New Roman" w:cs="Times New Roman"/>
          <w:sz w:val="24"/>
          <w:szCs w:val="24"/>
          <w:lang w:eastAsia="en-ZW"/>
        </w:rPr>
        <w:t>v</w:t>
      </w:r>
      <w:r w:rsidRPr="003A150B">
        <w:rPr>
          <w:rFonts w:ascii="Times New Roman" w:eastAsia="Times New Roman" w:hAnsi="Times New Roman" w:cs="Times New Roman"/>
          <w:i/>
          <w:iCs/>
          <w:sz w:val="24"/>
          <w:szCs w:val="24"/>
          <w:lang w:eastAsia="en-ZW"/>
        </w:rPr>
        <w:t xml:space="preserve"> Makoni &amp; Ors</w:t>
      </w:r>
      <w:r w:rsidRPr="003A150B">
        <w:rPr>
          <w:rFonts w:ascii="Times New Roman" w:eastAsia="Times New Roman" w:hAnsi="Times New Roman" w:cs="Times New Roman"/>
          <w:sz w:val="24"/>
          <w:szCs w:val="24"/>
          <w:lang w:eastAsia="en-ZW"/>
        </w:rPr>
        <w:t xml:space="preserve"> S-67-89, for example, the Supreme Court stressed that even a truthful and confident identification witness may be mistaken. The court must ask itself whether there is a danger of an honest mistake, no matter how honest or convincing the witness appears. As </w:t>
      </w:r>
      <w:r w:rsidRPr="00B94384">
        <w:rPr>
          <w:rFonts w:ascii="Times New Roman" w:eastAsia="Times New Roman" w:hAnsi="Times New Roman" w:cs="Times New Roman"/>
          <w:smallCaps/>
          <w:sz w:val="24"/>
          <w:szCs w:val="24"/>
          <w:lang w:eastAsia="en-ZW"/>
        </w:rPr>
        <w:t>Gubbay</w:t>
      </w:r>
      <w:r w:rsidRPr="003A150B">
        <w:rPr>
          <w:rFonts w:ascii="Times New Roman" w:eastAsia="Times New Roman" w:hAnsi="Times New Roman" w:cs="Times New Roman"/>
          <w:sz w:val="24"/>
          <w:szCs w:val="24"/>
          <w:lang w:eastAsia="en-ZW"/>
        </w:rPr>
        <w:t xml:space="preserve"> CJ observed, </w:t>
      </w:r>
      <w:r w:rsidRPr="003A150B">
        <w:rPr>
          <w:rFonts w:ascii="Times New Roman" w:eastAsia="Times New Roman" w:hAnsi="Times New Roman" w:cs="Times New Roman"/>
          <w:i/>
          <w:iCs/>
          <w:sz w:val="24"/>
          <w:szCs w:val="24"/>
          <w:lang w:eastAsia="en-ZW"/>
        </w:rPr>
        <w:t xml:space="preserve">“confidence </w:t>
      </w:r>
      <w:r w:rsidRPr="003A150B">
        <w:rPr>
          <w:rFonts w:ascii="Times New Roman" w:eastAsia="Times New Roman" w:hAnsi="Times New Roman" w:cs="Times New Roman"/>
          <w:i/>
          <w:iCs/>
          <w:sz w:val="24"/>
          <w:szCs w:val="24"/>
          <w:lang w:eastAsia="en-ZW"/>
        </w:rPr>
        <w:lastRenderedPageBreak/>
        <w:t>and sincerity are not enough. The possibility of a mistake occurring in the identification… demands that the greatest circumspection be employed.”</w:t>
      </w:r>
    </w:p>
    <w:p w14:paraId="7E997392" w14:textId="77777777" w:rsidR="001C0C80" w:rsidRPr="003A150B" w:rsidRDefault="001C0C80" w:rsidP="00B94384">
      <w:pPr>
        <w:spacing w:after="0"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 xml:space="preserve">The English case of </w:t>
      </w:r>
      <w:r w:rsidRPr="003A150B">
        <w:rPr>
          <w:rFonts w:ascii="Times New Roman" w:eastAsia="Times New Roman" w:hAnsi="Times New Roman" w:cs="Times New Roman"/>
          <w:i/>
          <w:iCs/>
          <w:sz w:val="24"/>
          <w:szCs w:val="24"/>
          <w:lang w:eastAsia="en-ZW"/>
        </w:rPr>
        <w:t xml:space="preserve">R </w:t>
      </w:r>
      <w:r w:rsidRPr="00B94384">
        <w:rPr>
          <w:rFonts w:ascii="Times New Roman" w:eastAsia="Times New Roman" w:hAnsi="Times New Roman" w:cs="Times New Roman"/>
          <w:sz w:val="24"/>
          <w:szCs w:val="24"/>
          <w:lang w:eastAsia="en-ZW"/>
        </w:rPr>
        <w:t>v</w:t>
      </w:r>
      <w:r w:rsidRPr="003A150B">
        <w:rPr>
          <w:rFonts w:ascii="Times New Roman" w:eastAsia="Times New Roman" w:hAnsi="Times New Roman" w:cs="Times New Roman"/>
          <w:i/>
          <w:iCs/>
          <w:sz w:val="24"/>
          <w:szCs w:val="24"/>
          <w:lang w:eastAsia="en-ZW"/>
        </w:rPr>
        <w:t xml:space="preserve"> Turnbull</w:t>
      </w:r>
      <w:r w:rsidRPr="003A150B">
        <w:rPr>
          <w:rFonts w:ascii="Times New Roman" w:eastAsia="Times New Roman" w:hAnsi="Times New Roman" w:cs="Times New Roman"/>
          <w:sz w:val="24"/>
          <w:szCs w:val="24"/>
          <w:lang w:eastAsia="en-ZW"/>
        </w:rPr>
        <w:t xml:space="preserve"> [1977] QB 224 is often cited in Commonwealth jurisdictions alongside local authorities. In </w:t>
      </w:r>
      <w:r w:rsidRPr="003A150B">
        <w:rPr>
          <w:rFonts w:ascii="Times New Roman" w:eastAsia="Times New Roman" w:hAnsi="Times New Roman" w:cs="Times New Roman"/>
          <w:i/>
          <w:iCs/>
          <w:sz w:val="24"/>
          <w:szCs w:val="24"/>
          <w:lang w:eastAsia="en-ZW"/>
        </w:rPr>
        <w:t>Turnbull</w:t>
      </w:r>
      <w:r w:rsidRPr="003A150B">
        <w:rPr>
          <w:rFonts w:ascii="Times New Roman" w:eastAsia="Times New Roman" w:hAnsi="Times New Roman" w:cs="Times New Roman"/>
          <w:sz w:val="24"/>
          <w:szCs w:val="24"/>
          <w:lang w:eastAsia="en-ZW"/>
        </w:rPr>
        <w:t xml:space="preserve">, the Court of Appeal laid down specific guidelines for judges in trials hinging on identification evidence. Key among these is the duty to warn the jury (or oneself, in a magistrate’s case) of the special need for caution before convicting on identification evidence alone, and to scrutinize the circumstances under which the identification was made. Lord </w:t>
      </w:r>
      <w:r w:rsidRPr="00B94384">
        <w:rPr>
          <w:rFonts w:ascii="Times New Roman" w:eastAsia="Times New Roman" w:hAnsi="Times New Roman" w:cs="Times New Roman"/>
          <w:smallCaps/>
          <w:sz w:val="24"/>
          <w:szCs w:val="24"/>
          <w:lang w:eastAsia="en-ZW"/>
        </w:rPr>
        <w:t>Widgery</w:t>
      </w:r>
      <w:r w:rsidRPr="003A150B">
        <w:rPr>
          <w:rFonts w:ascii="Times New Roman" w:eastAsia="Times New Roman" w:hAnsi="Times New Roman" w:cs="Times New Roman"/>
          <w:sz w:val="24"/>
          <w:szCs w:val="24"/>
          <w:lang w:eastAsia="en-ZW"/>
        </w:rPr>
        <w:t xml:space="preserve"> CJ advised that when the quality of identifying evidence is poor – for example, when it depends on a fleeting glance or an observation made under difficult conditions – the judge should withdraw the case and direct an acquittal unless there is other evidence to support the identification. Conversely, even a slight supporting factor may save an identification from being rejected, but the onus is on the court to be satisfied that no reasonable possibility of misidentification exists.</w:t>
      </w:r>
    </w:p>
    <w:p w14:paraId="616BDA91" w14:textId="77777777" w:rsidR="00B94384" w:rsidRDefault="0048519B" w:rsidP="00B94384">
      <w:pPr>
        <w:spacing w:after="0" w:line="360" w:lineRule="auto"/>
        <w:ind w:firstLine="720"/>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The </w:t>
      </w:r>
      <w:r w:rsidR="001C0C80" w:rsidRPr="003A150B">
        <w:rPr>
          <w:rFonts w:ascii="Times New Roman" w:eastAsia="Times New Roman" w:hAnsi="Times New Roman" w:cs="Times New Roman"/>
          <w:sz w:val="24"/>
          <w:szCs w:val="24"/>
          <w:lang w:eastAsia="en-ZW"/>
        </w:rPr>
        <w:t xml:space="preserve">High Court in </w:t>
      </w:r>
      <w:r w:rsidR="001C0C80" w:rsidRPr="003A150B">
        <w:rPr>
          <w:rFonts w:ascii="Times New Roman" w:eastAsia="Times New Roman" w:hAnsi="Times New Roman" w:cs="Times New Roman"/>
          <w:i/>
          <w:iCs/>
          <w:sz w:val="24"/>
          <w:szCs w:val="24"/>
          <w:lang w:eastAsia="en-ZW"/>
        </w:rPr>
        <w:t xml:space="preserve">S </w:t>
      </w:r>
      <w:r w:rsidR="001C0C80" w:rsidRPr="00B94384">
        <w:rPr>
          <w:rFonts w:ascii="Times New Roman" w:eastAsia="Times New Roman" w:hAnsi="Times New Roman" w:cs="Times New Roman"/>
          <w:sz w:val="24"/>
          <w:szCs w:val="24"/>
          <w:lang w:eastAsia="en-ZW"/>
        </w:rPr>
        <w:t xml:space="preserve">v </w:t>
      </w:r>
      <w:r w:rsidR="001C0C80" w:rsidRPr="003A150B">
        <w:rPr>
          <w:rFonts w:ascii="Times New Roman" w:eastAsia="Times New Roman" w:hAnsi="Times New Roman" w:cs="Times New Roman"/>
          <w:i/>
          <w:iCs/>
          <w:sz w:val="24"/>
          <w:szCs w:val="24"/>
          <w:lang w:eastAsia="en-ZW"/>
        </w:rPr>
        <w:t>Chaterera</w:t>
      </w:r>
      <w:r w:rsidR="001C0C80" w:rsidRPr="003A150B">
        <w:rPr>
          <w:rFonts w:ascii="Times New Roman" w:eastAsia="Times New Roman" w:hAnsi="Times New Roman" w:cs="Times New Roman"/>
          <w:sz w:val="24"/>
          <w:szCs w:val="24"/>
          <w:lang w:eastAsia="en-ZW"/>
        </w:rPr>
        <w:t xml:space="preserve"> 1998 (1) ZLR 387 (H) similarly underscored that where the state case rests on a single identifying witness, the courts must examine all surrounding factors with the utmost care. If the identification is not positively reliable, or if the court is left with any substantial doubt, the accused must be given the benefit of that doubt. A conviction cannot be sustained on evidence that falls short of the exacting standards required for safe identification.</w:t>
      </w:r>
    </w:p>
    <w:p w14:paraId="2DB9897C" w14:textId="77777777" w:rsidR="00B94384" w:rsidRDefault="001C0C80" w:rsidP="00B94384">
      <w:pPr>
        <w:spacing w:after="0"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 xml:space="preserve">Among the critical factors to consider are those outlined in </w:t>
      </w:r>
      <w:r w:rsidRPr="003A150B">
        <w:rPr>
          <w:rFonts w:ascii="Times New Roman" w:eastAsia="Times New Roman" w:hAnsi="Times New Roman" w:cs="Times New Roman"/>
          <w:i/>
          <w:iCs/>
          <w:sz w:val="24"/>
          <w:szCs w:val="24"/>
          <w:lang w:eastAsia="en-ZW"/>
        </w:rPr>
        <w:t>Mthetwa</w:t>
      </w:r>
      <w:r w:rsidRPr="003A150B">
        <w:rPr>
          <w:rFonts w:ascii="Times New Roman" w:eastAsia="Times New Roman" w:hAnsi="Times New Roman" w:cs="Times New Roman"/>
          <w:sz w:val="24"/>
          <w:szCs w:val="24"/>
          <w:lang w:eastAsia="en-ZW"/>
        </w:rPr>
        <w:t xml:space="preserve"> and </w:t>
      </w:r>
      <w:r w:rsidRPr="003A150B">
        <w:rPr>
          <w:rFonts w:ascii="Times New Roman" w:eastAsia="Times New Roman" w:hAnsi="Times New Roman" w:cs="Times New Roman"/>
          <w:i/>
          <w:iCs/>
          <w:sz w:val="24"/>
          <w:szCs w:val="24"/>
          <w:lang w:eastAsia="en-ZW"/>
        </w:rPr>
        <w:t>Turnbull</w:t>
      </w:r>
      <w:r w:rsidRPr="003A150B">
        <w:rPr>
          <w:rFonts w:ascii="Times New Roman" w:eastAsia="Times New Roman" w:hAnsi="Times New Roman" w:cs="Times New Roman"/>
          <w:sz w:val="24"/>
          <w:szCs w:val="24"/>
          <w:lang w:eastAsia="en-ZW"/>
        </w:rPr>
        <w:t xml:space="preserve">: the duration of observation, the distance between observer and suspect, the lighting conditions, any obstacles or stress factors affecting the witness, whether the witness had seen the suspect before (recognition vs. stranger identification), and whether any corroboration exists. Good identification evidence – for instance, recognition of a familiar person in broad daylight for an extended period – may not require further confirmation. But poor identification, such as a brief or obstructed glimpse in poor light, inherently demands either corroboration or extreme caution. Indeed, as was noted in </w:t>
      </w:r>
      <w:r w:rsidRPr="003A150B">
        <w:rPr>
          <w:rFonts w:ascii="Times New Roman" w:eastAsia="Times New Roman" w:hAnsi="Times New Roman" w:cs="Times New Roman"/>
          <w:i/>
          <w:iCs/>
          <w:sz w:val="24"/>
          <w:szCs w:val="24"/>
          <w:lang w:eastAsia="en-ZW"/>
        </w:rPr>
        <w:t xml:space="preserve">S </w:t>
      </w:r>
      <w:r w:rsidRPr="00B94384">
        <w:rPr>
          <w:rFonts w:ascii="Times New Roman" w:eastAsia="Times New Roman" w:hAnsi="Times New Roman" w:cs="Times New Roman"/>
          <w:sz w:val="24"/>
          <w:szCs w:val="24"/>
          <w:lang w:eastAsia="en-ZW"/>
        </w:rPr>
        <w:t>v</w:t>
      </w:r>
      <w:r w:rsidRPr="003A150B">
        <w:rPr>
          <w:rFonts w:ascii="Times New Roman" w:eastAsia="Times New Roman" w:hAnsi="Times New Roman" w:cs="Times New Roman"/>
          <w:i/>
          <w:iCs/>
          <w:sz w:val="24"/>
          <w:szCs w:val="24"/>
          <w:lang w:eastAsia="en-ZW"/>
        </w:rPr>
        <w:t xml:space="preserve"> Nkomo &amp; Anor</w:t>
      </w:r>
      <w:r w:rsidRPr="003A150B">
        <w:rPr>
          <w:rFonts w:ascii="Times New Roman" w:eastAsia="Times New Roman" w:hAnsi="Times New Roman" w:cs="Times New Roman"/>
          <w:sz w:val="24"/>
          <w:szCs w:val="24"/>
          <w:lang w:eastAsia="en-ZW"/>
        </w:rPr>
        <w:t xml:space="preserve"> 1989 (3) ZLR 117 (S),</w:t>
      </w:r>
      <w:r w:rsidR="0048519B">
        <w:rPr>
          <w:rFonts w:ascii="Times New Roman" w:eastAsia="Times New Roman" w:hAnsi="Times New Roman" w:cs="Times New Roman"/>
          <w:sz w:val="24"/>
          <w:szCs w:val="24"/>
          <w:lang w:eastAsia="en-ZW"/>
        </w:rPr>
        <w:t xml:space="preserve"> that</w:t>
      </w:r>
      <w:r w:rsidRPr="003A150B">
        <w:rPr>
          <w:rFonts w:ascii="Times New Roman" w:eastAsia="Times New Roman" w:hAnsi="Times New Roman" w:cs="Times New Roman"/>
          <w:sz w:val="24"/>
          <w:szCs w:val="24"/>
          <w:lang w:eastAsia="en-ZW"/>
        </w:rPr>
        <w:t xml:space="preserve"> generally strong identification evidence needs no support, whereas weak identification does. A witness’s mere assertion of certainty is never enough; the objective basis of that certainty must be probed. The court should ask the witness – or reflect in judgment – what features or </w:t>
      </w:r>
      <w:r w:rsidRPr="003A150B">
        <w:rPr>
          <w:rFonts w:ascii="Times New Roman" w:eastAsia="Times New Roman" w:hAnsi="Times New Roman" w:cs="Times New Roman"/>
          <w:sz w:val="24"/>
          <w:szCs w:val="24"/>
          <w:lang w:eastAsia="en-ZW"/>
        </w:rPr>
        <w:lastRenderedPageBreak/>
        <w:t>observations support the identification (e.g. facial features, clothing, voice, etc.), and assess their reliability in context.</w:t>
      </w:r>
    </w:p>
    <w:p w14:paraId="72DCF73D" w14:textId="77777777" w:rsidR="00B94384" w:rsidRDefault="001C0C80" w:rsidP="00B94384">
      <w:pPr>
        <w:spacing w:after="0"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 xml:space="preserve">Furthermore, when an accused raises an </w:t>
      </w:r>
      <w:r w:rsidRPr="0037092A">
        <w:rPr>
          <w:rFonts w:ascii="Times New Roman" w:eastAsia="Times New Roman" w:hAnsi="Times New Roman" w:cs="Times New Roman"/>
          <w:i/>
          <w:iCs/>
          <w:sz w:val="24"/>
          <w:szCs w:val="24"/>
          <w:lang w:eastAsia="en-ZW"/>
        </w:rPr>
        <w:t>alibi</w:t>
      </w:r>
      <w:r w:rsidRPr="003A150B">
        <w:rPr>
          <w:rFonts w:ascii="Times New Roman" w:eastAsia="Times New Roman" w:hAnsi="Times New Roman" w:cs="Times New Roman"/>
          <w:sz w:val="24"/>
          <w:szCs w:val="24"/>
          <w:lang w:eastAsia="en-ZW"/>
        </w:rPr>
        <w:t xml:space="preserve">, our law is that the accused bears no onus to prove it. The burden remains on the State to disprove the </w:t>
      </w:r>
      <w:r w:rsidRPr="00D241DC">
        <w:rPr>
          <w:rFonts w:ascii="Times New Roman" w:eastAsia="Times New Roman" w:hAnsi="Times New Roman" w:cs="Times New Roman"/>
          <w:i/>
          <w:iCs/>
          <w:sz w:val="24"/>
          <w:szCs w:val="24"/>
          <w:lang w:eastAsia="en-ZW"/>
        </w:rPr>
        <w:t xml:space="preserve">alibi </w:t>
      </w:r>
      <w:r w:rsidRPr="003A150B">
        <w:rPr>
          <w:rFonts w:ascii="Times New Roman" w:eastAsia="Times New Roman" w:hAnsi="Times New Roman" w:cs="Times New Roman"/>
          <w:sz w:val="24"/>
          <w:szCs w:val="24"/>
          <w:lang w:eastAsia="en-ZW"/>
        </w:rPr>
        <w:t xml:space="preserve">beyond reasonable doubt. If there is a reasonable possibility that the alibi is true (or that it has not been shown to be false), then the accused must be acquitted. The Supreme Court in </w:t>
      </w:r>
      <w:r w:rsidRPr="003A150B">
        <w:rPr>
          <w:rFonts w:ascii="Times New Roman" w:eastAsia="Times New Roman" w:hAnsi="Times New Roman" w:cs="Times New Roman"/>
          <w:i/>
          <w:iCs/>
          <w:sz w:val="24"/>
          <w:szCs w:val="24"/>
          <w:lang w:eastAsia="en-ZW"/>
        </w:rPr>
        <w:t xml:space="preserve">R </w:t>
      </w:r>
      <w:r w:rsidRPr="00B94384">
        <w:rPr>
          <w:rFonts w:ascii="Times New Roman" w:eastAsia="Times New Roman" w:hAnsi="Times New Roman" w:cs="Times New Roman"/>
          <w:sz w:val="24"/>
          <w:szCs w:val="24"/>
          <w:lang w:eastAsia="en-ZW"/>
        </w:rPr>
        <w:t>v</w:t>
      </w:r>
      <w:r w:rsidRPr="003A150B">
        <w:rPr>
          <w:rFonts w:ascii="Times New Roman" w:eastAsia="Times New Roman" w:hAnsi="Times New Roman" w:cs="Times New Roman"/>
          <w:i/>
          <w:iCs/>
          <w:sz w:val="24"/>
          <w:szCs w:val="24"/>
          <w:lang w:eastAsia="en-ZW"/>
        </w:rPr>
        <w:t xml:space="preserve"> Biya</w:t>
      </w:r>
      <w:r w:rsidRPr="003A150B">
        <w:rPr>
          <w:rFonts w:ascii="Times New Roman" w:eastAsia="Times New Roman" w:hAnsi="Times New Roman" w:cs="Times New Roman"/>
          <w:sz w:val="24"/>
          <w:szCs w:val="24"/>
          <w:lang w:eastAsia="en-ZW"/>
        </w:rPr>
        <w:t xml:space="preserve"> 1952 (4) SA 514 (A) and </w:t>
      </w:r>
      <w:r w:rsidRPr="003A150B">
        <w:rPr>
          <w:rFonts w:ascii="Times New Roman" w:eastAsia="Times New Roman" w:hAnsi="Times New Roman" w:cs="Times New Roman"/>
          <w:i/>
          <w:iCs/>
          <w:sz w:val="24"/>
          <w:szCs w:val="24"/>
          <w:lang w:eastAsia="en-ZW"/>
        </w:rPr>
        <w:t xml:space="preserve">S </w:t>
      </w:r>
      <w:r w:rsidRPr="0037092A">
        <w:rPr>
          <w:rFonts w:ascii="Times New Roman" w:eastAsia="Times New Roman" w:hAnsi="Times New Roman" w:cs="Times New Roman"/>
          <w:sz w:val="24"/>
          <w:szCs w:val="24"/>
          <w:lang w:eastAsia="en-ZW"/>
        </w:rPr>
        <w:t>v</w:t>
      </w:r>
      <w:r w:rsidRPr="003A150B">
        <w:rPr>
          <w:rFonts w:ascii="Times New Roman" w:eastAsia="Times New Roman" w:hAnsi="Times New Roman" w:cs="Times New Roman"/>
          <w:i/>
          <w:iCs/>
          <w:sz w:val="24"/>
          <w:szCs w:val="24"/>
          <w:lang w:eastAsia="en-ZW"/>
        </w:rPr>
        <w:t xml:space="preserve"> Khumalo &amp; Ors</w:t>
      </w:r>
      <w:r w:rsidRPr="003A150B">
        <w:rPr>
          <w:rFonts w:ascii="Times New Roman" w:eastAsia="Times New Roman" w:hAnsi="Times New Roman" w:cs="Times New Roman"/>
          <w:sz w:val="24"/>
          <w:szCs w:val="24"/>
          <w:lang w:eastAsia="en-ZW"/>
        </w:rPr>
        <w:t xml:space="preserve"> 1991 (4) SA 310 (A) (both followed in Zimbabwe) made it clear that a court should not approach an </w:t>
      </w:r>
      <w:r w:rsidRPr="0037092A">
        <w:rPr>
          <w:rFonts w:ascii="Times New Roman" w:eastAsia="Times New Roman" w:hAnsi="Times New Roman" w:cs="Times New Roman"/>
          <w:i/>
          <w:iCs/>
          <w:sz w:val="24"/>
          <w:szCs w:val="24"/>
          <w:lang w:eastAsia="en-ZW"/>
        </w:rPr>
        <w:t xml:space="preserve">alibi </w:t>
      </w:r>
      <w:r w:rsidRPr="003A150B">
        <w:rPr>
          <w:rFonts w:ascii="Times New Roman" w:eastAsia="Times New Roman" w:hAnsi="Times New Roman" w:cs="Times New Roman"/>
          <w:sz w:val="24"/>
          <w:szCs w:val="24"/>
          <w:lang w:eastAsia="en-ZW"/>
        </w:rPr>
        <w:t xml:space="preserve">with skepticism requiring the accused to “prove” it; rather, it should simply ask whether the </w:t>
      </w:r>
      <w:r w:rsidRPr="00D241DC">
        <w:rPr>
          <w:rFonts w:ascii="Times New Roman" w:eastAsia="Times New Roman" w:hAnsi="Times New Roman" w:cs="Times New Roman"/>
          <w:i/>
          <w:iCs/>
          <w:sz w:val="24"/>
          <w:szCs w:val="24"/>
          <w:lang w:eastAsia="en-ZW"/>
        </w:rPr>
        <w:t>alibi</w:t>
      </w:r>
      <w:r w:rsidRPr="003A150B">
        <w:rPr>
          <w:rFonts w:ascii="Times New Roman" w:eastAsia="Times New Roman" w:hAnsi="Times New Roman" w:cs="Times New Roman"/>
          <w:sz w:val="24"/>
          <w:szCs w:val="24"/>
          <w:lang w:eastAsia="en-ZW"/>
        </w:rPr>
        <w:t xml:space="preserve"> might reasonably be true. In the context of identification, an alibi is particularly important – it is evidence by or on behalf of the accused which must be considered as part of the totality of evidence (per </w:t>
      </w:r>
      <w:r w:rsidRPr="003A150B">
        <w:rPr>
          <w:rFonts w:ascii="Times New Roman" w:eastAsia="Times New Roman" w:hAnsi="Times New Roman" w:cs="Times New Roman"/>
          <w:i/>
          <w:iCs/>
          <w:sz w:val="24"/>
          <w:szCs w:val="24"/>
          <w:lang w:eastAsia="en-ZW"/>
        </w:rPr>
        <w:t>Mthetwa</w:t>
      </w:r>
      <w:r w:rsidRPr="003A150B">
        <w:rPr>
          <w:rFonts w:ascii="Times New Roman" w:eastAsia="Times New Roman" w:hAnsi="Times New Roman" w:cs="Times New Roman"/>
          <w:sz w:val="24"/>
          <w:szCs w:val="24"/>
          <w:lang w:eastAsia="en-ZW"/>
        </w:rPr>
        <w:t>, supra). Our courts have cautioned that the police and prosecution must investigate an accused’s alibi thoroughly, especially in cases hinging on identification, because mistaken identification can and does occur. Failure to do so can result in grave miscarriages of justice.</w:t>
      </w:r>
    </w:p>
    <w:p w14:paraId="58FE06EA" w14:textId="36804B7E" w:rsidR="001C0C80" w:rsidRPr="003A150B" w:rsidRDefault="001C0C80" w:rsidP="00B94384">
      <w:pPr>
        <w:spacing w:after="0"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 xml:space="preserve">With these principles in mind, I turn to </w:t>
      </w:r>
      <w:r w:rsidR="0048519B" w:rsidRPr="003A150B">
        <w:rPr>
          <w:rFonts w:ascii="Times New Roman" w:eastAsia="Times New Roman" w:hAnsi="Times New Roman" w:cs="Times New Roman"/>
          <w:sz w:val="24"/>
          <w:szCs w:val="24"/>
          <w:lang w:eastAsia="en-ZW"/>
        </w:rPr>
        <w:t>analyse</w:t>
      </w:r>
      <w:r w:rsidRPr="003A150B">
        <w:rPr>
          <w:rFonts w:ascii="Times New Roman" w:eastAsia="Times New Roman" w:hAnsi="Times New Roman" w:cs="Times New Roman"/>
          <w:sz w:val="24"/>
          <w:szCs w:val="24"/>
          <w:lang w:eastAsia="en-ZW"/>
        </w:rPr>
        <w:t xml:space="preserve"> the identification evidence in the present case against the above standards.</w:t>
      </w:r>
    </w:p>
    <w:p w14:paraId="245C1E52" w14:textId="471336BF" w:rsidR="001C0C80" w:rsidRPr="006019CB" w:rsidRDefault="006019CB" w:rsidP="006929E8">
      <w:pPr>
        <w:spacing w:before="100" w:beforeAutospacing="1" w:after="100" w:afterAutospacing="1" w:line="360" w:lineRule="auto"/>
        <w:jc w:val="both"/>
        <w:outlineLvl w:val="1"/>
        <w:rPr>
          <w:rFonts w:ascii="Times New Roman" w:eastAsia="Times New Roman" w:hAnsi="Times New Roman" w:cs="Times New Roman"/>
          <w:sz w:val="24"/>
          <w:szCs w:val="24"/>
          <w:lang w:eastAsia="en-ZW"/>
        </w:rPr>
      </w:pPr>
      <w:r w:rsidRPr="006019CB">
        <w:rPr>
          <w:rFonts w:ascii="Times New Roman" w:eastAsia="Times New Roman" w:hAnsi="Times New Roman" w:cs="Times New Roman"/>
          <w:sz w:val="24"/>
          <w:szCs w:val="24"/>
          <w:lang w:eastAsia="en-ZW"/>
        </w:rPr>
        <w:t>ANALYSIS OF IDENTIFICATION EVIDENCE IN THIS CASE</w:t>
      </w:r>
    </w:p>
    <w:p w14:paraId="50A4BF01" w14:textId="77777777" w:rsidR="00D241DC" w:rsidRDefault="001C0C80" w:rsidP="00D241DC">
      <w:pPr>
        <w:spacing w:after="0"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Applying the foregoing principles to the facts of this case, it becomes evident that the quality of the identification evidence was, at best, questionable, and the trial court did not adequately address its frailties.</w:t>
      </w:r>
    </w:p>
    <w:p w14:paraId="36B4536F" w14:textId="77777777" w:rsidR="00D241DC" w:rsidRDefault="001C0C80" w:rsidP="00D241DC">
      <w:pPr>
        <w:spacing w:after="0"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 xml:space="preserve">Opportunity to Observe: The witness’s opportunity for observation was severely limited. By her own account, she only saw the intruder’s face for about 15 seconds. This was not a prolonged encounter but rather a </w:t>
      </w:r>
      <w:r w:rsidRPr="003A150B">
        <w:rPr>
          <w:rFonts w:ascii="Times New Roman" w:eastAsia="Times New Roman" w:hAnsi="Times New Roman" w:cs="Times New Roman"/>
          <w:i/>
          <w:iCs/>
          <w:sz w:val="24"/>
          <w:szCs w:val="24"/>
          <w:lang w:eastAsia="en-ZW"/>
        </w:rPr>
        <w:t>fleeting glimpse</w:t>
      </w:r>
      <w:r w:rsidRPr="003A150B">
        <w:rPr>
          <w:rFonts w:ascii="Times New Roman" w:eastAsia="Times New Roman" w:hAnsi="Times New Roman" w:cs="Times New Roman"/>
          <w:sz w:val="24"/>
          <w:szCs w:val="24"/>
          <w:lang w:eastAsia="en-ZW"/>
        </w:rPr>
        <w:t xml:space="preserve">. Moreover, the intruder was a stranger to her; she had no prior acquaintance with him that might have helped recognition. Indeed, cases have noted that even a momentary observation of someone well-known can be mistaken if conditions are adverse – </w:t>
      </w:r>
      <w:r w:rsidRPr="003A150B">
        <w:rPr>
          <w:rFonts w:ascii="Times New Roman" w:eastAsia="Times New Roman" w:hAnsi="Times New Roman" w:cs="Times New Roman"/>
          <w:i/>
          <w:iCs/>
          <w:sz w:val="24"/>
          <w:szCs w:val="24"/>
          <w:lang w:eastAsia="en-ZW"/>
        </w:rPr>
        <w:t>a fortiori</w:t>
      </w:r>
      <w:r w:rsidRPr="003A150B">
        <w:rPr>
          <w:rFonts w:ascii="Times New Roman" w:eastAsia="Times New Roman" w:hAnsi="Times New Roman" w:cs="Times New Roman"/>
          <w:sz w:val="24"/>
          <w:szCs w:val="24"/>
          <w:lang w:eastAsia="en-ZW"/>
        </w:rPr>
        <w:t>, a momentary observation of a stranger at night is highly prone to error.</w:t>
      </w:r>
    </w:p>
    <w:p w14:paraId="456A971C" w14:textId="77777777" w:rsidR="00D241DC" w:rsidRDefault="001C0C80" w:rsidP="00D241DC">
      <w:pPr>
        <w:spacing w:after="0"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 xml:space="preserve">Lighting and Conditions: The incident occurred in the pre-dawn hours (3 AM). The court a quo accepted the witness’s testimony that a light bulb dimly lit the room. However, “well lit” is a relative term – a single bulb at night may still cast shadows and not fully illuminate a room. There is no indication that the lighting was bright or that it shone directly </w:t>
      </w:r>
      <w:r w:rsidRPr="003A150B">
        <w:rPr>
          <w:rFonts w:ascii="Times New Roman" w:eastAsia="Times New Roman" w:hAnsi="Times New Roman" w:cs="Times New Roman"/>
          <w:sz w:val="24"/>
          <w:szCs w:val="24"/>
          <w:lang w:eastAsia="en-ZW"/>
        </w:rPr>
        <w:lastRenderedPageBreak/>
        <w:t>on the intruder’s face. The witness was peering from behind furniture (two couches) and from under a blanket when she first saw the intruder. These factors could only have impeded her view. By the time she uncovered herself after a “few minutes” (having hidden under the blanket in fear when the knife was brandished), the intruder was gone. Thus, any visual contact was not continuous but interrupted by the witness’s act of hiding, further reducing the effective observation time.</w:t>
      </w:r>
    </w:p>
    <w:p w14:paraId="6CB93582" w14:textId="77777777" w:rsidR="00D241DC" w:rsidRDefault="001C0C80" w:rsidP="00D241DC">
      <w:pPr>
        <w:spacing w:after="0"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 xml:space="preserve">It is apparent that the conditions here align with what </w:t>
      </w:r>
      <w:r w:rsidRPr="003A150B">
        <w:rPr>
          <w:rFonts w:ascii="Times New Roman" w:eastAsia="Times New Roman" w:hAnsi="Times New Roman" w:cs="Times New Roman"/>
          <w:i/>
          <w:iCs/>
          <w:sz w:val="24"/>
          <w:szCs w:val="24"/>
          <w:lang w:eastAsia="en-ZW"/>
        </w:rPr>
        <w:t>Turnbull</w:t>
      </w:r>
      <w:r w:rsidRPr="003A150B">
        <w:rPr>
          <w:rFonts w:ascii="Times New Roman" w:eastAsia="Times New Roman" w:hAnsi="Times New Roman" w:cs="Times New Roman"/>
          <w:sz w:val="24"/>
          <w:szCs w:val="24"/>
          <w:lang w:eastAsia="en-ZW"/>
        </w:rPr>
        <w:t xml:space="preserve"> described as “difficult conditions” or a scenario of a fleeting glance. The witness was a teenager suddenly awakened from sleep, confronted by an armed intruder in semi-darkness. The stress of the situation (an armed stranger threatening her) would naturally affect her perception and memory. Such frightening, high-stress circumstances heighten the risk of a mistake – a fact well-documented in identification jurisprudence. The trial court’s reasoning did not sufficiently grapple with this. It placed weight on the witness’s ability to notice a red jacket and a beard on the intruder, but it failed to ask whether those observations, made under duress in seconds, were reliable. Notably, by the time the accused was arrested days later, he “no longer has” the beard (according to the witness’s testimony). This means the identifying features were not distinctive or permanent – clothing can be changed and facial hair can be shaved. Identification based on such mutable features after a brief encounter is inherently precarious.</w:t>
      </w:r>
    </w:p>
    <w:p w14:paraId="271239DA" w14:textId="5393EB5D" w:rsidR="001C0C80" w:rsidRPr="003A150B" w:rsidRDefault="001C0C80" w:rsidP="00D241DC">
      <w:pPr>
        <w:spacing w:after="0"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 xml:space="preserve">Delay and Subsequent Identification: The witness did not identify the accused at the scene or immediately thereafter (the intruder escaped unidentified). It was only “a few days later” that she claims to have spotted the accused at a neighborhood well and then caused his arrest. This scenario raises additional red flags. Firstly, the passage of a few days can allow memory to fade or become tainted by outside influences (for example, community suspicions or seeing someone in a different context). Secondly, the identification at the water point was essentially an informal show-up – the witness saw a person and decided he was the intruder. There is no evidence of a controlled identification procedure. The risk of a false identification in such circumstances is not negligible; the witness might have been influenced by seeing a vaguely familiar face and transposing her memory of the intruder onto this individual. Best practice, as noted in </w:t>
      </w:r>
      <w:r w:rsidRPr="003A150B">
        <w:rPr>
          <w:rFonts w:ascii="Times New Roman" w:eastAsia="Times New Roman" w:hAnsi="Times New Roman" w:cs="Times New Roman"/>
          <w:i/>
          <w:iCs/>
          <w:sz w:val="24"/>
          <w:szCs w:val="24"/>
          <w:lang w:eastAsia="en-ZW"/>
        </w:rPr>
        <w:t>Nkomo (supra)</w:t>
      </w:r>
      <w:r w:rsidRPr="003A150B">
        <w:rPr>
          <w:rFonts w:ascii="Times New Roman" w:eastAsia="Times New Roman" w:hAnsi="Times New Roman" w:cs="Times New Roman"/>
          <w:sz w:val="24"/>
          <w:szCs w:val="24"/>
          <w:lang w:eastAsia="en-ZW"/>
        </w:rPr>
        <w:t xml:space="preserve"> and other cases, would have been to conduct a formal identification parade to test the witness’s ability to pick out the suspect from others. That was not done. The absence of an identification parade or any similar safeguard means the court should have been even more cautious in accepting the identification.</w:t>
      </w:r>
    </w:p>
    <w:p w14:paraId="50B3A957" w14:textId="77777777" w:rsidR="00D241DC" w:rsidRDefault="001C0C80" w:rsidP="00D241DC">
      <w:pPr>
        <w:spacing w:after="0" w:line="360" w:lineRule="auto"/>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lastRenderedPageBreak/>
        <w:t>Lack of Corroboration: No corroborative evidence bolstered the identification. None of the stolen property (worth over US$700 and various goods) was recovered from the accused or found in his possession. There were no fingerprints, DNA, or other forensic links to the scene. No other witness saw the intruder’s face. In short, the State case hinged entirely on the single witness’s visual identification. It is a long-standing rule that the testimony of a single witness must be approached with caution, and this is especially so in identification situations (</w:t>
      </w:r>
      <w:r w:rsidRPr="003A150B">
        <w:rPr>
          <w:rFonts w:ascii="Times New Roman" w:eastAsia="Times New Roman" w:hAnsi="Times New Roman" w:cs="Times New Roman"/>
          <w:i/>
          <w:iCs/>
          <w:sz w:val="24"/>
          <w:szCs w:val="24"/>
          <w:lang w:eastAsia="en-ZW"/>
        </w:rPr>
        <w:t>S v Charikwa</w:t>
      </w:r>
      <w:r w:rsidRPr="003A150B">
        <w:rPr>
          <w:rFonts w:ascii="Times New Roman" w:eastAsia="Times New Roman" w:hAnsi="Times New Roman" w:cs="Times New Roman"/>
          <w:sz w:val="24"/>
          <w:szCs w:val="24"/>
          <w:lang w:eastAsia="en-ZW"/>
        </w:rPr>
        <w:t xml:space="preserve"> 1999 (1) ZLR 117 (S)). Here, not only was the witness single, but her identification was made under doubtful conditions as described. According to </w:t>
      </w:r>
      <w:r w:rsidRPr="003A150B">
        <w:rPr>
          <w:rFonts w:ascii="Times New Roman" w:eastAsia="Times New Roman" w:hAnsi="Times New Roman" w:cs="Times New Roman"/>
          <w:i/>
          <w:iCs/>
          <w:sz w:val="24"/>
          <w:szCs w:val="24"/>
          <w:lang w:eastAsia="en-ZW"/>
        </w:rPr>
        <w:t>Turnbull</w:t>
      </w:r>
      <w:r w:rsidRPr="003A150B">
        <w:rPr>
          <w:rFonts w:ascii="Times New Roman" w:eastAsia="Times New Roman" w:hAnsi="Times New Roman" w:cs="Times New Roman"/>
          <w:sz w:val="24"/>
          <w:szCs w:val="24"/>
          <w:lang w:eastAsia="en-ZW"/>
        </w:rPr>
        <w:t xml:space="preserve">, if the quality of identification evidence is poor, a conviction should not result unless there is other evidence capable of supporting its correctness. Far from providing support, the other evidence in this case (or lack thereof) did nothing to enhance the reliability of the identification. If anything, the evidence of the accused’s alibi (discussed below) provided </w:t>
      </w:r>
      <w:r w:rsidRPr="003A150B">
        <w:rPr>
          <w:rFonts w:ascii="Times New Roman" w:eastAsia="Times New Roman" w:hAnsi="Times New Roman" w:cs="Times New Roman"/>
          <w:i/>
          <w:iCs/>
          <w:sz w:val="24"/>
          <w:szCs w:val="24"/>
          <w:lang w:eastAsia="en-ZW"/>
        </w:rPr>
        <w:t>countervailing</w:t>
      </w:r>
      <w:r w:rsidRPr="003A150B">
        <w:rPr>
          <w:rFonts w:ascii="Times New Roman" w:eastAsia="Times New Roman" w:hAnsi="Times New Roman" w:cs="Times New Roman"/>
          <w:sz w:val="24"/>
          <w:szCs w:val="24"/>
          <w:lang w:eastAsia="en-ZW"/>
        </w:rPr>
        <w:t xml:space="preserve"> material that the magistrate needed to consider in weighing the totality of the evidence.</w:t>
      </w:r>
    </w:p>
    <w:p w14:paraId="215A40C3" w14:textId="77777777" w:rsidR="00D241DC" w:rsidRDefault="001C0C80" w:rsidP="00D241DC">
      <w:pPr>
        <w:spacing w:after="0" w:line="360" w:lineRule="auto"/>
        <w:ind w:firstLine="720"/>
        <w:jc w:val="both"/>
        <w:rPr>
          <w:rFonts w:ascii="Times New Roman" w:eastAsia="Times New Roman" w:hAnsi="Times New Roman" w:cs="Times New Roman"/>
          <w:sz w:val="24"/>
          <w:szCs w:val="24"/>
          <w:lang w:eastAsia="en-ZW"/>
        </w:rPr>
      </w:pPr>
      <w:r w:rsidRPr="00D241DC">
        <w:rPr>
          <w:rFonts w:ascii="Times New Roman" w:eastAsia="Times New Roman" w:hAnsi="Times New Roman" w:cs="Times New Roman"/>
          <w:i/>
          <w:iCs/>
          <w:sz w:val="24"/>
          <w:szCs w:val="24"/>
          <w:lang w:eastAsia="en-ZW"/>
        </w:rPr>
        <w:t xml:space="preserve">Witness’s Confidence </w:t>
      </w:r>
      <w:r w:rsidRPr="00D241DC">
        <w:rPr>
          <w:rFonts w:ascii="Times New Roman" w:eastAsia="Times New Roman" w:hAnsi="Times New Roman" w:cs="Times New Roman"/>
          <w:sz w:val="24"/>
          <w:szCs w:val="24"/>
          <w:lang w:eastAsia="en-ZW"/>
        </w:rPr>
        <w:t>vs</w:t>
      </w:r>
      <w:r w:rsidRPr="00D241DC">
        <w:rPr>
          <w:rFonts w:ascii="Times New Roman" w:eastAsia="Times New Roman" w:hAnsi="Times New Roman" w:cs="Times New Roman"/>
          <w:i/>
          <w:iCs/>
          <w:sz w:val="24"/>
          <w:szCs w:val="24"/>
          <w:lang w:eastAsia="en-ZW"/>
        </w:rPr>
        <w:t>. Reliability</w:t>
      </w:r>
      <w:r w:rsidRPr="003A150B">
        <w:rPr>
          <w:rFonts w:ascii="Times New Roman" w:eastAsia="Times New Roman" w:hAnsi="Times New Roman" w:cs="Times New Roman"/>
          <w:sz w:val="24"/>
          <w:szCs w:val="24"/>
          <w:lang w:eastAsia="en-ZW"/>
        </w:rPr>
        <w:t xml:space="preserve">: The magistrate was impressed by the witness’s confidence and detail (she testified to being “sure” and described the suspect’s attire and appearance). However, courts are warned that an honestly confident witness is not proof of correctness – mistaken witnesses can be sincerely confident. As the Supreme Court observed, </w:t>
      </w:r>
      <w:r w:rsidRPr="003A150B">
        <w:rPr>
          <w:rFonts w:ascii="Times New Roman" w:eastAsia="Times New Roman" w:hAnsi="Times New Roman" w:cs="Times New Roman"/>
          <w:i/>
          <w:iCs/>
          <w:sz w:val="24"/>
          <w:szCs w:val="24"/>
          <w:lang w:eastAsia="en-ZW"/>
        </w:rPr>
        <w:t>“It is not enough that the witness is honest and believes she is right – she may be honestly mistaken”</w:t>
      </w:r>
      <w:r w:rsidRPr="003A150B">
        <w:rPr>
          <w:rFonts w:ascii="Times New Roman" w:eastAsia="Times New Roman" w:hAnsi="Times New Roman" w:cs="Times New Roman"/>
          <w:sz w:val="24"/>
          <w:szCs w:val="24"/>
          <w:lang w:eastAsia="en-ZW"/>
        </w:rPr>
        <w:t xml:space="preserve">. The “bald assertion” of certainty must never be taken at face value. In this case, although the witness said she was certain, the objective circumstances we have examined seriously undermine the accuracy of her observation. The magistrate should have probed questions such as: How well could you see his face? What distinguishing marks did you notice? Could you describe him (height, build, complexion) beyond just “a beard and a red jacket”? The record shows no such detailed inquiry; nor did the judgment engage with these specific identification factors in any meaningful way. Instead, the court </w:t>
      </w:r>
      <w:r w:rsidRPr="008D0409">
        <w:rPr>
          <w:rFonts w:ascii="Times New Roman" w:eastAsia="Times New Roman" w:hAnsi="Times New Roman" w:cs="Times New Roman"/>
          <w:i/>
          <w:iCs/>
          <w:sz w:val="24"/>
          <w:szCs w:val="24"/>
          <w:lang w:eastAsia="en-ZW"/>
        </w:rPr>
        <w:t>a quo</w:t>
      </w:r>
      <w:r w:rsidRPr="003A150B">
        <w:rPr>
          <w:rFonts w:ascii="Times New Roman" w:eastAsia="Times New Roman" w:hAnsi="Times New Roman" w:cs="Times New Roman"/>
          <w:sz w:val="24"/>
          <w:szCs w:val="24"/>
          <w:lang w:eastAsia="en-ZW"/>
        </w:rPr>
        <w:t xml:space="preserve"> appeared to accept that 15 seconds of looking at a stranger in the middle of the night was “a long time to observe someone”. With respect, that conclusion is contrary to common experience and case law. Fifteen seconds can seem long in a panic, but it is a very short period for making an accurate identification, especially under the stress and surprise of a violent encounter. By comparison, identification evidence has been deemed dubious in cases of “fleeting glances” even when lasting a few seconds longer, or when witnesses had somewhat longer observation </w:t>
      </w:r>
      <w:r w:rsidRPr="003A150B">
        <w:rPr>
          <w:rFonts w:ascii="Times New Roman" w:eastAsia="Times New Roman" w:hAnsi="Times New Roman" w:cs="Times New Roman"/>
          <w:sz w:val="24"/>
          <w:szCs w:val="24"/>
          <w:lang w:eastAsia="en-ZW"/>
        </w:rPr>
        <w:lastRenderedPageBreak/>
        <w:t>but in frightful circumstances. The court’s failure to treat 15 seconds as potentially a “fleeting glance” in context was a misdirection.</w:t>
      </w:r>
    </w:p>
    <w:p w14:paraId="6EA889F3" w14:textId="36276BAB" w:rsidR="001C0C80" w:rsidRPr="003A150B" w:rsidRDefault="001C0C80" w:rsidP="00D241DC">
      <w:pPr>
        <w:spacing w:after="0"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 xml:space="preserve">The </w:t>
      </w:r>
      <w:r w:rsidRPr="00D241DC">
        <w:rPr>
          <w:rFonts w:ascii="Times New Roman" w:eastAsia="Times New Roman" w:hAnsi="Times New Roman" w:cs="Times New Roman"/>
          <w:i/>
          <w:iCs/>
          <w:sz w:val="24"/>
          <w:szCs w:val="24"/>
          <w:lang w:eastAsia="en-ZW"/>
        </w:rPr>
        <w:t>Alibi</w:t>
      </w:r>
      <w:r w:rsidRPr="003A150B">
        <w:rPr>
          <w:rFonts w:ascii="Times New Roman" w:eastAsia="Times New Roman" w:hAnsi="Times New Roman" w:cs="Times New Roman"/>
          <w:sz w:val="24"/>
          <w:szCs w:val="24"/>
          <w:lang w:eastAsia="en-ZW"/>
        </w:rPr>
        <w:t xml:space="preserve"> Evidence: The accused’s alibi was that he was home ill in bed, and his mother to some extent corroborated this (saying he was indeed sick and did not leave the house). The magistrate dismissed the alibi largely because it was not “fully corroborated” – essentially faulting the </w:t>
      </w:r>
      <w:r w:rsidR="003F3BA1" w:rsidRPr="003A150B">
        <w:rPr>
          <w:rFonts w:ascii="Times New Roman" w:eastAsia="Times New Roman" w:hAnsi="Times New Roman" w:cs="Times New Roman"/>
          <w:sz w:val="24"/>
          <w:szCs w:val="24"/>
          <w:lang w:eastAsia="en-ZW"/>
        </w:rPr>
        <w:t>defence</w:t>
      </w:r>
      <w:r w:rsidRPr="003A150B">
        <w:rPr>
          <w:rFonts w:ascii="Times New Roman" w:eastAsia="Times New Roman" w:hAnsi="Times New Roman" w:cs="Times New Roman"/>
          <w:sz w:val="24"/>
          <w:szCs w:val="24"/>
          <w:lang w:eastAsia="en-ZW"/>
        </w:rPr>
        <w:t xml:space="preserve"> for not bringing a medical report or for the mother not personally confirming the accused’s presence in his bedroom at 3 AM. This approach turns the burden of proof on its head. It is well established that an accused does not have to prove his alibi; he needs only to raise a reasonable possibility that he was elsewhere. The onus is on the State to investigate and rebut the alibi. In </w:t>
      </w:r>
      <w:r w:rsidRPr="003A150B">
        <w:rPr>
          <w:rFonts w:ascii="Times New Roman" w:eastAsia="Times New Roman" w:hAnsi="Times New Roman" w:cs="Times New Roman"/>
          <w:i/>
          <w:iCs/>
          <w:sz w:val="24"/>
          <w:szCs w:val="24"/>
          <w:lang w:eastAsia="en-ZW"/>
        </w:rPr>
        <w:t xml:space="preserve">S </w:t>
      </w:r>
      <w:r w:rsidRPr="00D241DC">
        <w:rPr>
          <w:rFonts w:ascii="Times New Roman" w:eastAsia="Times New Roman" w:hAnsi="Times New Roman" w:cs="Times New Roman"/>
          <w:sz w:val="24"/>
          <w:szCs w:val="24"/>
          <w:lang w:eastAsia="en-ZW"/>
        </w:rPr>
        <w:t xml:space="preserve">v </w:t>
      </w:r>
      <w:r w:rsidRPr="003A150B">
        <w:rPr>
          <w:rFonts w:ascii="Times New Roman" w:eastAsia="Times New Roman" w:hAnsi="Times New Roman" w:cs="Times New Roman"/>
          <w:i/>
          <w:iCs/>
          <w:sz w:val="24"/>
          <w:szCs w:val="24"/>
          <w:lang w:eastAsia="en-ZW"/>
        </w:rPr>
        <w:t>Mutandi</w:t>
      </w:r>
      <w:r w:rsidRPr="003A150B">
        <w:rPr>
          <w:rFonts w:ascii="Times New Roman" w:eastAsia="Times New Roman" w:hAnsi="Times New Roman" w:cs="Times New Roman"/>
          <w:sz w:val="24"/>
          <w:szCs w:val="24"/>
          <w:lang w:eastAsia="en-ZW"/>
        </w:rPr>
        <w:t xml:space="preserve"> 1996 (1) ZLR 367 (HC), Gillespie J noted that the police should proactively check an alibi because “mistakes in identification can happen”. Here, it appears no serious effort was made by the State to verify the accused’s claim of illness (e.g., checking clinic records or neighbors who might have seen him at home that night). </w:t>
      </w:r>
      <w:r w:rsidRPr="00D241DC">
        <w:rPr>
          <w:rFonts w:ascii="Times New Roman" w:eastAsia="Times New Roman" w:hAnsi="Times New Roman" w:cs="Times New Roman"/>
          <w:smallCaps/>
          <w:sz w:val="24"/>
          <w:szCs w:val="24"/>
          <w:lang w:eastAsia="en-ZW"/>
        </w:rPr>
        <w:t>McNally</w:t>
      </w:r>
      <w:r w:rsidRPr="003A150B">
        <w:rPr>
          <w:rFonts w:ascii="Times New Roman" w:eastAsia="Times New Roman" w:hAnsi="Times New Roman" w:cs="Times New Roman"/>
          <w:sz w:val="24"/>
          <w:szCs w:val="24"/>
          <w:lang w:eastAsia="en-ZW"/>
        </w:rPr>
        <w:t xml:space="preserve"> JA warned in </w:t>
      </w:r>
      <w:r w:rsidRPr="003A150B">
        <w:rPr>
          <w:rFonts w:ascii="Times New Roman" w:eastAsia="Times New Roman" w:hAnsi="Times New Roman" w:cs="Times New Roman"/>
          <w:i/>
          <w:iCs/>
          <w:sz w:val="24"/>
          <w:szCs w:val="24"/>
          <w:lang w:eastAsia="en-ZW"/>
        </w:rPr>
        <w:t xml:space="preserve">S </w:t>
      </w:r>
      <w:r w:rsidRPr="00D241DC">
        <w:rPr>
          <w:rFonts w:ascii="Times New Roman" w:eastAsia="Times New Roman" w:hAnsi="Times New Roman" w:cs="Times New Roman"/>
          <w:sz w:val="24"/>
          <w:szCs w:val="24"/>
          <w:lang w:eastAsia="en-ZW"/>
        </w:rPr>
        <w:t>v</w:t>
      </w:r>
      <w:r w:rsidRPr="003A150B">
        <w:rPr>
          <w:rFonts w:ascii="Times New Roman" w:eastAsia="Times New Roman" w:hAnsi="Times New Roman" w:cs="Times New Roman"/>
          <w:i/>
          <w:iCs/>
          <w:sz w:val="24"/>
          <w:szCs w:val="24"/>
          <w:lang w:eastAsia="en-ZW"/>
        </w:rPr>
        <w:t xml:space="preserve"> Mudawarima</w:t>
      </w:r>
      <w:r w:rsidRPr="003A150B">
        <w:rPr>
          <w:rFonts w:ascii="Times New Roman" w:eastAsia="Times New Roman" w:hAnsi="Times New Roman" w:cs="Times New Roman"/>
          <w:sz w:val="24"/>
          <w:szCs w:val="24"/>
          <w:lang w:eastAsia="en-ZW"/>
        </w:rPr>
        <w:t xml:space="preserve"> (1989 (3) ZLR 182 (S)) that where police ignore an alibi, it can cast doubt on the reliability of their identification evidence. The magistrate’s criticism that the accused produced no medical proof of illness improperly shifted the burden onto the </w:t>
      </w:r>
      <w:r w:rsidR="003F3BA1" w:rsidRPr="003A150B">
        <w:rPr>
          <w:rFonts w:ascii="Times New Roman" w:eastAsia="Times New Roman" w:hAnsi="Times New Roman" w:cs="Times New Roman"/>
          <w:sz w:val="24"/>
          <w:szCs w:val="24"/>
          <w:lang w:eastAsia="en-ZW"/>
        </w:rPr>
        <w:t>defence</w:t>
      </w:r>
      <w:r w:rsidRPr="003A150B">
        <w:rPr>
          <w:rFonts w:ascii="Times New Roman" w:eastAsia="Times New Roman" w:hAnsi="Times New Roman" w:cs="Times New Roman"/>
          <w:sz w:val="24"/>
          <w:szCs w:val="24"/>
          <w:lang w:eastAsia="en-ZW"/>
        </w:rPr>
        <w:t>. The correct question should have been whether the alibi might reasonably be true. Given that the identification was the only link placing accused at the scene, if that identification is suspect (as discussed), the alibi need not be airtight – it simply needs to introduce doubt. In my view, the alibi here was not conclusively disproven at all; it remained a plausible scenario. The mother’s testimony, though not perfect, did support the accused’s account that he was home sick. At the very least, the alibi evidence by the accused and his mother constitutes evidence on behalf of the accused that must be weighed with the State’s evidence. Doing so, one finds that the alibi increases the doubt already attending the weak identification. It was a further safeguard against a wrongful conviction, which the magistrate unfortunately discounted.</w:t>
      </w:r>
    </w:p>
    <w:p w14:paraId="52C1291C" w14:textId="7D6C068F" w:rsidR="001C0C80" w:rsidRPr="006019CB" w:rsidRDefault="006019CB" w:rsidP="006929E8">
      <w:pPr>
        <w:spacing w:before="100" w:beforeAutospacing="1" w:after="100" w:afterAutospacing="1" w:line="360" w:lineRule="auto"/>
        <w:jc w:val="both"/>
        <w:outlineLvl w:val="1"/>
        <w:rPr>
          <w:rFonts w:ascii="Times New Roman" w:eastAsia="Times New Roman" w:hAnsi="Times New Roman" w:cs="Times New Roman"/>
          <w:sz w:val="24"/>
          <w:szCs w:val="24"/>
          <w:lang w:eastAsia="en-ZW"/>
        </w:rPr>
      </w:pPr>
      <w:r w:rsidRPr="006019CB">
        <w:rPr>
          <w:rFonts w:ascii="Times New Roman" w:eastAsia="Times New Roman" w:hAnsi="Times New Roman" w:cs="Times New Roman"/>
          <w:sz w:val="24"/>
          <w:szCs w:val="24"/>
          <w:lang w:eastAsia="en-ZW"/>
        </w:rPr>
        <w:t>CONCLUSION</w:t>
      </w:r>
    </w:p>
    <w:p w14:paraId="3467A1AF" w14:textId="77777777" w:rsidR="00B94384" w:rsidRDefault="001C0C80" w:rsidP="00B94384">
      <w:pPr>
        <w:spacing w:after="0"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 xml:space="preserve">Having evaluated the evidence in line with established legal standards, I am driven to the conclusion that the conviction of the accused is unsafe. The identification evidence was of poor quality – a single witness’s momentary observation of a stranger in </w:t>
      </w:r>
      <w:r w:rsidR="003F3BA1" w:rsidRPr="003A150B">
        <w:rPr>
          <w:rFonts w:ascii="Times New Roman" w:eastAsia="Times New Roman" w:hAnsi="Times New Roman" w:cs="Times New Roman"/>
          <w:sz w:val="24"/>
          <w:szCs w:val="24"/>
          <w:lang w:eastAsia="en-ZW"/>
        </w:rPr>
        <w:t>unfavourable</w:t>
      </w:r>
      <w:r w:rsidRPr="003A150B">
        <w:rPr>
          <w:rFonts w:ascii="Times New Roman" w:eastAsia="Times New Roman" w:hAnsi="Times New Roman" w:cs="Times New Roman"/>
          <w:sz w:val="24"/>
          <w:szCs w:val="24"/>
          <w:lang w:eastAsia="en-ZW"/>
        </w:rPr>
        <w:t xml:space="preserve"> conditions – and was not corroborated by any other evidence. The trial court did not apply the </w:t>
      </w:r>
      <w:r w:rsidRPr="003A150B">
        <w:rPr>
          <w:rFonts w:ascii="Times New Roman" w:eastAsia="Times New Roman" w:hAnsi="Times New Roman" w:cs="Times New Roman"/>
          <w:sz w:val="24"/>
          <w:szCs w:val="24"/>
          <w:lang w:eastAsia="en-ZW"/>
        </w:rPr>
        <w:lastRenderedPageBreak/>
        <w:t xml:space="preserve">requisite caution. It treated the witness’s identification as if it were unassailable, whereas in truth it was fraught with the very dangers highlighted in </w:t>
      </w:r>
      <w:r w:rsidRPr="003A150B">
        <w:rPr>
          <w:rFonts w:ascii="Times New Roman" w:eastAsia="Times New Roman" w:hAnsi="Times New Roman" w:cs="Times New Roman"/>
          <w:i/>
          <w:iCs/>
          <w:sz w:val="24"/>
          <w:szCs w:val="24"/>
          <w:lang w:eastAsia="en-ZW"/>
        </w:rPr>
        <w:t xml:space="preserve">S </w:t>
      </w:r>
      <w:r w:rsidRPr="00B94384">
        <w:rPr>
          <w:rFonts w:ascii="Times New Roman" w:eastAsia="Times New Roman" w:hAnsi="Times New Roman" w:cs="Times New Roman"/>
          <w:sz w:val="24"/>
          <w:szCs w:val="24"/>
          <w:lang w:eastAsia="en-ZW"/>
        </w:rPr>
        <w:t xml:space="preserve">v </w:t>
      </w:r>
      <w:r w:rsidRPr="003A150B">
        <w:rPr>
          <w:rFonts w:ascii="Times New Roman" w:eastAsia="Times New Roman" w:hAnsi="Times New Roman" w:cs="Times New Roman"/>
          <w:i/>
          <w:iCs/>
          <w:sz w:val="24"/>
          <w:szCs w:val="24"/>
          <w:lang w:eastAsia="en-ZW"/>
        </w:rPr>
        <w:t>Mthetwa</w:t>
      </w:r>
      <w:r w:rsidRPr="003A150B">
        <w:rPr>
          <w:rFonts w:ascii="Times New Roman" w:eastAsia="Times New Roman" w:hAnsi="Times New Roman" w:cs="Times New Roman"/>
          <w:sz w:val="24"/>
          <w:szCs w:val="24"/>
          <w:lang w:eastAsia="en-ZW"/>
        </w:rPr>
        <w:t xml:space="preserve">, </w:t>
      </w:r>
      <w:r w:rsidRPr="003A150B">
        <w:rPr>
          <w:rFonts w:ascii="Times New Roman" w:eastAsia="Times New Roman" w:hAnsi="Times New Roman" w:cs="Times New Roman"/>
          <w:i/>
          <w:iCs/>
          <w:sz w:val="24"/>
          <w:szCs w:val="24"/>
          <w:lang w:eastAsia="en-ZW"/>
        </w:rPr>
        <w:t>R</w:t>
      </w:r>
      <w:r w:rsidRPr="00B94384">
        <w:rPr>
          <w:rFonts w:ascii="Times New Roman" w:eastAsia="Times New Roman" w:hAnsi="Times New Roman" w:cs="Times New Roman"/>
          <w:sz w:val="24"/>
          <w:szCs w:val="24"/>
          <w:lang w:eastAsia="en-ZW"/>
        </w:rPr>
        <w:t xml:space="preserve"> v</w:t>
      </w:r>
      <w:r w:rsidRPr="003A150B">
        <w:rPr>
          <w:rFonts w:ascii="Times New Roman" w:eastAsia="Times New Roman" w:hAnsi="Times New Roman" w:cs="Times New Roman"/>
          <w:i/>
          <w:iCs/>
          <w:sz w:val="24"/>
          <w:szCs w:val="24"/>
          <w:lang w:eastAsia="en-ZW"/>
        </w:rPr>
        <w:t xml:space="preserve"> Turnbull</w:t>
      </w:r>
      <w:r w:rsidRPr="003A150B">
        <w:rPr>
          <w:rFonts w:ascii="Times New Roman" w:eastAsia="Times New Roman" w:hAnsi="Times New Roman" w:cs="Times New Roman"/>
          <w:sz w:val="24"/>
          <w:szCs w:val="24"/>
          <w:lang w:eastAsia="en-ZW"/>
        </w:rPr>
        <w:t>, and related authorities. The possibility of an honest mistake in identity was not excluded on the facts; on the contrary, it looms large given the circumstances. In such a situation, our law demands that the benefit of the doubt be given to the accused.</w:t>
      </w:r>
    </w:p>
    <w:p w14:paraId="60C39DCC" w14:textId="77777777" w:rsidR="00B94384" w:rsidRDefault="001C0C80" w:rsidP="00B94384">
      <w:pPr>
        <w:spacing w:after="0"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 xml:space="preserve">Moreover, the court a quo’s handling of the </w:t>
      </w:r>
      <w:r w:rsidRPr="0037092A">
        <w:rPr>
          <w:rFonts w:ascii="Times New Roman" w:eastAsia="Times New Roman" w:hAnsi="Times New Roman" w:cs="Times New Roman"/>
          <w:i/>
          <w:iCs/>
          <w:sz w:val="24"/>
          <w:szCs w:val="24"/>
          <w:lang w:eastAsia="en-ZW"/>
        </w:rPr>
        <w:t>alibi</w:t>
      </w:r>
      <w:r w:rsidRPr="003A150B">
        <w:rPr>
          <w:rFonts w:ascii="Times New Roman" w:eastAsia="Times New Roman" w:hAnsi="Times New Roman" w:cs="Times New Roman"/>
          <w:sz w:val="24"/>
          <w:szCs w:val="24"/>
          <w:lang w:eastAsia="en-ZW"/>
        </w:rPr>
        <w:t xml:space="preserve"> </w:t>
      </w:r>
      <w:r w:rsidR="003F3BA1" w:rsidRPr="003A150B">
        <w:rPr>
          <w:rFonts w:ascii="Times New Roman" w:eastAsia="Times New Roman" w:hAnsi="Times New Roman" w:cs="Times New Roman"/>
          <w:sz w:val="24"/>
          <w:szCs w:val="24"/>
          <w:lang w:eastAsia="en-ZW"/>
        </w:rPr>
        <w:t>defence</w:t>
      </w:r>
      <w:r w:rsidRPr="003A150B">
        <w:rPr>
          <w:rFonts w:ascii="Times New Roman" w:eastAsia="Times New Roman" w:hAnsi="Times New Roman" w:cs="Times New Roman"/>
          <w:sz w:val="24"/>
          <w:szCs w:val="24"/>
          <w:lang w:eastAsia="en-ZW"/>
        </w:rPr>
        <w:t xml:space="preserve"> was a misdirection. By effectively requiring the accused to produce “proof” of his alibi and dismissing it for want of corroboration, the magistrate fell into error. If the identification was not established beyond reasonable doubt (as it was not), then the alibi did not need to be rejected – it only needed to be a reasonable possibility. The State manifestly failed to negate the alibi; indeed, the State’s evidence was too weak to overcome it. As was observed in </w:t>
      </w:r>
      <w:r w:rsidRPr="003A150B">
        <w:rPr>
          <w:rFonts w:ascii="Times New Roman" w:eastAsia="Times New Roman" w:hAnsi="Times New Roman" w:cs="Times New Roman"/>
          <w:i/>
          <w:iCs/>
          <w:sz w:val="24"/>
          <w:szCs w:val="24"/>
          <w:lang w:eastAsia="en-ZW"/>
        </w:rPr>
        <w:t xml:space="preserve">S </w:t>
      </w:r>
      <w:r w:rsidRPr="00B94384">
        <w:rPr>
          <w:rFonts w:ascii="Times New Roman" w:eastAsia="Times New Roman" w:hAnsi="Times New Roman" w:cs="Times New Roman"/>
          <w:sz w:val="24"/>
          <w:szCs w:val="24"/>
          <w:lang w:eastAsia="en-ZW"/>
        </w:rPr>
        <w:t>v</w:t>
      </w:r>
      <w:r w:rsidRPr="003A150B">
        <w:rPr>
          <w:rFonts w:ascii="Times New Roman" w:eastAsia="Times New Roman" w:hAnsi="Times New Roman" w:cs="Times New Roman"/>
          <w:i/>
          <w:iCs/>
          <w:sz w:val="24"/>
          <w:szCs w:val="24"/>
          <w:lang w:eastAsia="en-ZW"/>
        </w:rPr>
        <w:t xml:space="preserve"> Chaterera</w:t>
      </w:r>
      <w:r w:rsidRPr="003A150B">
        <w:rPr>
          <w:rFonts w:ascii="Times New Roman" w:eastAsia="Times New Roman" w:hAnsi="Times New Roman" w:cs="Times New Roman"/>
          <w:sz w:val="24"/>
          <w:szCs w:val="24"/>
          <w:lang w:eastAsia="en-ZW"/>
        </w:rPr>
        <w:t xml:space="preserve"> (supra) and similar cases, a conviction cannot stand where there is any serious uncertainty about the identification of the culprit. Here, the uncertainties abound.</w:t>
      </w:r>
    </w:p>
    <w:p w14:paraId="65461DEE" w14:textId="77777777" w:rsidR="00B94384" w:rsidRDefault="001C0C80" w:rsidP="00B94384">
      <w:pPr>
        <w:spacing w:after="0"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In the premises, this court is not satisfied that the conviction is supported by the evidence or the law. On the contrary, to allow it to stand would be a miscarriage of justice. This court is empowered to interfere in review proceedings where, as here, the proceedings in the lower court are not in accordance with real and substantial justice.</w:t>
      </w:r>
    </w:p>
    <w:p w14:paraId="5CFAB591" w14:textId="73A03CB7" w:rsidR="001C0C80" w:rsidRPr="003A150B" w:rsidRDefault="001C0C80" w:rsidP="00B94384">
      <w:pPr>
        <w:spacing w:after="0" w:line="360" w:lineRule="auto"/>
        <w:ind w:firstLine="720"/>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Accordingly, it is ordered as follows:</w:t>
      </w:r>
    </w:p>
    <w:p w14:paraId="4C4314DF" w14:textId="5A8C6B22" w:rsidR="0048519B" w:rsidRPr="00B94384" w:rsidRDefault="001C0C80" w:rsidP="00B94384">
      <w:pPr>
        <w:numPr>
          <w:ilvl w:val="0"/>
          <w:numId w:val="1"/>
        </w:numPr>
        <w:spacing w:before="100" w:beforeAutospacing="1" w:after="0" w:line="360" w:lineRule="auto"/>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The conviction of the accused, Takudzwa Tsombo, in Gokwe CRB GMZ 1137/26 is hereby quashed, and the sentence set aside in its entirety</w:t>
      </w:r>
      <w:r w:rsidR="0048519B">
        <w:rPr>
          <w:rFonts w:ascii="Times New Roman" w:eastAsia="Times New Roman" w:hAnsi="Times New Roman" w:cs="Times New Roman"/>
          <w:sz w:val="24"/>
          <w:szCs w:val="24"/>
          <w:lang w:eastAsia="en-ZW"/>
        </w:rPr>
        <w:t>.</w:t>
      </w:r>
    </w:p>
    <w:p w14:paraId="751337D9" w14:textId="4507D57F" w:rsidR="0048519B" w:rsidRPr="00B94384" w:rsidRDefault="001C0C80" w:rsidP="00B94384">
      <w:pPr>
        <w:numPr>
          <w:ilvl w:val="0"/>
          <w:numId w:val="1"/>
        </w:numPr>
        <w:spacing w:before="100" w:beforeAutospacing="1" w:after="0" w:line="360" w:lineRule="auto"/>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The accused is to be immediately released from custody.</w:t>
      </w:r>
    </w:p>
    <w:p w14:paraId="3BE7FD36" w14:textId="51A07B4A" w:rsidR="001C0C80" w:rsidRDefault="001C0C80" w:rsidP="00B94384">
      <w:pPr>
        <w:numPr>
          <w:ilvl w:val="0"/>
          <w:numId w:val="1"/>
        </w:numPr>
        <w:spacing w:before="100" w:beforeAutospacing="1" w:after="0" w:line="360" w:lineRule="auto"/>
        <w:jc w:val="both"/>
        <w:rPr>
          <w:rFonts w:ascii="Times New Roman" w:eastAsia="Times New Roman" w:hAnsi="Times New Roman" w:cs="Times New Roman"/>
          <w:sz w:val="24"/>
          <w:szCs w:val="24"/>
          <w:lang w:eastAsia="en-ZW"/>
        </w:rPr>
      </w:pPr>
      <w:r w:rsidRPr="003A150B">
        <w:rPr>
          <w:rFonts w:ascii="Times New Roman" w:eastAsia="Times New Roman" w:hAnsi="Times New Roman" w:cs="Times New Roman"/>
          <w:sz w:val="24"/>
          <w:szCs w:val="24"/>
          <w:lang w:eastAsia="en-ZW"/>
        </w:rPr>
        <w:t xml:space="preserve"> The trial court (court </w:t>
      </w:r>
      <w:r w:rsidRPr="008D0409">
        <w:rPr>
          <w:rFonts w:ascii="Times New Roman" w:eastAsia="Times New Roman" w:hAnsi="Times New Roman" w:cs="Times New Roman"/>
          <w:i/>
          <w:iCs/>
          <w:sz w:val="24"/>
          <w:szCs w:val="24"/>
          <w:lang w:eastAsia="en-ZW"/>
        </w:rPr>
        <w:t>a quo</w:t>
      </w:r>
      <w:r w:rsidRPr="003A150B">
        <w:rPr>
          <w:rFonts w:ascii="Times New Roman" w:eastAsia="Times New Roman" w:hAnsi="Times New Roman" w:cs="Times New Roman"/>
          <w:sz w:val="24"/>
          <w:szCs w:val="24"/>
          <w:lang w:eastAsia="en-ZW"/>
        </w:rPr>
        <w:t>) is directed to issue a Warrant of Liberation forthwith in respect of Takudzwa Tsombo</w:t>
      </w:r>
      <w:r w:rsidR="0048519B">
        <w:rPr>
          <w:rFonts w:ascii="Times New Roman" w:eastAsia="Times New Roman" w:hAnsi="Times New Roman" w:cs="Times New Roman"/>
          <w:sz w:val="24"/>
          <w:szCs w:val="24"/>
          <w:lang w:eastAsia="en-ZW"/>
        </w:rPr>
        <w:t>.</w:t>
      </w:r>
    </w:p>
    <w:p w14:paraId="14A69456" w14:textId="77777777" w:rsidR="0048519B" w:rsidRPr="003A150B" w:rsidRDefault="0048519B" w:rsidP="0048519B">
      <w:pPr>
        <w:spacing w:before="100" w:beforeAutospacing="1" w:after="100" w:afterAutospacing="1" w:line="240" w:lineRule="auto"/>
        <w:rPr>
          <w:rFonts w:ascii="Times New Roman" w:eastAsia="Times New Roman" w:hAnsi="Times New Roman" w:cs="Times New Roman"/>
          <w:sz w:val="24"/>
          <w:szCs w:val="24"/>
          <w:lang w:eastAsia="en-ZW"/>
        </w:rPr>
      </w:pPr>
    </w:p>
    <w:p w14:paraId="7663B394" w14:textId="3E804809" w:rsidR="0034709C" w:rsidRDefault="0034709C" w:rsidP="0034709C">
      <w:pPr>
        <w:spacing w:before="100" w:beforeAutospacing="1" w:after="100" w:afterAutospacing="1" w:line="240" w:lineRule="auto"/>
        <w:rPr>
          <w:rFonts w:ascii="Times New Roman" w:eastAsia="Times New Roman" w:hAnsi="Times New Roman" w:cs="Times New Roman"/>
          <w:b/>
          <w:bCs/>
          <w:sz w:val="24"/>
          <w:szCs w:val="24"/>
          <w:lang w:eastAsia="en-ZW"/>
        </w:rPr>
      </w:pPr>
      <w:r w:rsidRPr="006929E8">
        <w:rPr>
          <w:rFonts w:ascii="Times New Roman" w:eastAsia="Times New Roman" w:hAnsi="Times New Roman" w:cs="Times New Roman"/>
          <w:b/>
          <w:bCs/>
          <w:sz w:val="24"/>
          <w:szCs w:val="24"/>
          <w:lang w:eastAsia="en-ZW"/>
        </w:rPr>
        <w:t>MAMBARA J</w:t>
      </w:r>
      <w:r w:rsidR="008D0409" w:rsidRPr="006929E8">
        <w:rPr>
          <w:rFonts w:ascii="Times New Roman" w:eastAsia="Times New Roman" w:hAnsi="Times New Roman" w:cs="Times New Roman"/>
          <w:b/>
          <w:bCs/>
          <w:sz w:val="24"/>
          <w:szCs w:val="24"/>
          <w:lang w:eastAsia="en-ZW"/>
        </w:rPr>
        <w:t>:</w:t>
      </w:r>
      <w:r w:rsidRPr="006929E8">
        <w:rPr>
          <w:rFonts w:ascii="Times New Roman" w:eastAsia="Times New Roman" w:hAnsi="Times New Roman" w:cs="Times New Roman"/>
          <w:b/>
          <w:bCs/>
          <w:sz w:val="24"/>
          <w:szCs w:val="24"/>
          <w:lang w:eastAsia="en-ZW"/>
        </w:rPr>
        <w:t>………………</w:t>
      </w:r>
      <w:r w:rsidR="00B94384">
        <w:rPr>
          <w:rFonts w:ascii="Times New Roman" w:eastAsia="Times New Roman" w:hAnsi="Times New Roman" w:cs="Times New Roman"/>
          <w:b/>
          <w:bCs/>
          <w:sz w:val="24"/>
          <w:szCs w:val="24"/>
          <w:lang w:eastAsia="en-ZW"/>
        </w:rPr>
        <w:t>……………</w:t>
      </w:r>
    </w:p>
    <w:p w14:paraId="0AB1D297" w14:textId="77777777" w:rsidR="00B94384" w:rsidRPr="006929E8" w:rsidRDefault="00B94384" w:rsidP="0034709C">
      <w:pPr>
        <w:spacing w:before="100" w:beforeAutospacing="1" w:after="100" w:afterAutospacing="1" w:line="240" w:lineRule="auto"/>
        <w:rPr>
          <w:rFonts w:ascii="Times New Roman" w:eastAsia="Times New Roman" w:hAnsi="Times New Roman" w:cs="Times New Roman"/>
          <w:b/>
          <w:bCs/>
          <w:sz w:val="24"/>
          <w:szCs w:val="24"/>
          <w:lang w:eastAsia="en-ZW"/>
        </w:rPr>
      </w:pPr>
    </w:p>
    <w:p w14:paraId="7F877B48" w14:textId="5DD68EA2" w:rsidR="0034709C" w:rsidRPr="006929E8" w:rsidRDefault="0034709C" w:rsidP="0034709C">
      <w:pPr>
        <w:spacing w:before="100" w:beforeAutospacing="1" w:after="100" w:afterAutospacing="1" w:line="240" w:lineRule="auto"/>
        <w:rPr>
          <w:rFonts w:ascii="Times New Roman" w:eastAsia="Times New Roman" w:hAnsi="Times New Roman" w:cs="Times New Roman"/>
          <w:b/>
          <w:bCs/>
          <w:sz w:val="24"/>
          <w:szCs w:val="24"/>
          <w:lang w:eastAsia="en-ZW"/>
        </w:rPr>
      </w:pPr>
      <w:r w:rsidRPr="006929E8">
        <w:rPr>
          <w:rFonts w:ascii="Times New Roman" w:eastAsia="Times New Roman" w:hAnsi="Times New Roman" w:cs="Times New Roman"/>
          <w:b/>
          <w:bCs/>
          <w:sz w:val="24"/>
          <w:szCs w:val="24"/>
          <w:lang w:eastAsia="en-ZW"/>
        </w:rPr>
        <w:t>MANDAZA J</w:t>
      </w:r>
      <w:r w:rsidR="008D0409" w:rsidRPr="006929E8">
        <w:rPr>
          <w:rFonts w:ascii="Times New Roman" w:eastAsia="Times New Roman" w:hAnsi="Times New Roman" w:cs="Times New Roman"/>
          <w:b/>
          <w:bCs/>
          <w:sz w:val="24"/>
          <w:szCs w:val="24"/>
          <w:lang w:eastAsia="en-ZW"/>
        </w:rPr>
        <w:t>:</w:t>
      </w:r>
      <w:r w:rsidR="006929E8">
        <w:rPr>
          <w:rFonts w:ascii="Times New Roman" w:eastAsia="Times New Roman" w:hAnsi="Times New Roman" w:cs="Times New Roman"/>
          <w:b/>
          <w:bCs/>
          <w:sz w:val="24"/>
          <w:szCs w:val="24"/>
          <w:lang w:eastAsia="en-ZW"/>
        </w:rPr>
        <w:t>…………………….</w:t>
      </w:r>
      <w:r w:rsidRPr="006929E8">
        <w:rPr>
          <w:rFonts w:ascii="Times New Roman" w:eastAsia="Times New Roman" w:hAnsi="Times New Roman" w:cs="Times New Roman"/>
          <w:b/>
          <w:bCs/>
          <w:sz w:val="24"/>
          <w:szCs w:val="24"/>
          <w:lang w:eastAsia="en-ZW"/>
        </w:rPr>
        <w:t xml:space="preserve">   Agree</w:t>
      </w:r>
    </w:p>
    <w:p w14:paraId="7FB6D613" w14:textId="0F3F2B8E" w:rsidR="001C0C80" w:rsidRPr="003A150B" w:rsidRDefault="001C0C80" w:rsidP="001C0C80">
      <w:pPr>
        <w:spacing w:after="0" w:line="240" w:lineRule="auto"/>
        <w:rPr>
          <w:rFonts w:ascii="Times New Roman" w:eastAsia="Times New Roman" w:hAnsi="Times New Roman" w:cs="Times New Roman"/>
          <w:sz w:val="24"/>
          <w:szCs w:val="24"/>
          <w:lang w:eastAsia="en-ZW"/>
        </w:rPr>
      </w:pPr>
    </w:p>
    <w:sectPr w:rsidR="001C0C80" w:rsidRPr="003A150B">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627ABE" w14:textId="77777777" w:rsidR="003655D0" w:rsidRDefault="003655D0" w:rsidP="006929E8">
      <w:pPr>
        <w:spacing w:after="0" w:line="240" w:lineRule="auto"/>
      </w:pPr>
      <w:r>
        <w:separator/>
      </w:r>
    </w:p>
  </w:endnote>
  <w:endnote w:type="continuationSeparator" w:id="0">
    <w:p w14:paraId="19A1BEEF" w14:textId="77777777" w:rsidR="003655D0" w:rsidRDefault="003655D0" w:rsidP="00692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5A1A2B" w14:textId="77777777" w:rsidR="003655D0" w:rsidRDefault="003655D0" w:rsidP="006929E8">
      <w:pPr>
        <w:spacing w:after="0" w:line="240" w:lineRule="auto"/>
      </w:pPr>
      <w:r>
        <w:separator/>
      </w:r>
    </w:p>
  </w:footnote>
  <w:footnote w:type="continuationSeparator" w:id="0">
    <w:p w14:paraId="3DDCC1E9" w14:textId="77777777" w:rsidR="003655D0" w:rsidRDefault="003655D0" w:rsidP="006929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5907519"/>
      <w:docPartObj>
        <w:docPartGallery w:val="Page Numbers (Top of Page)"/>
        <w:docPartUnique/>
      </w:docPartObj>
    </w:sdtPr>
    <w:sdtEndPr>
      <w:rPr>
        <w:noProof/>
      </w:rPr>
    </w:sdtEndPr>
    <w:sdtContent>
      <w:p w14:paraId="611FE47D" w14:textId="77777777" w:rsidR="006929E8" w:rsidRDefault="006929E8">
        <w:pPr>
          <w:pStyle w:val="Header"/>
          <w:jc w:val="right"/>
          <w:rPr>
            <w:noProof/>
          </w:rPr>
        </w:pPr>
        <w:r>
          <w:fldChar w:fldCharType="begin"/>
        </w:r>
        <w:r>
          <w:instrText xml:space="preserve"> PAGE   \* MERGEFORMAT </w:instrText>
        </w:r>
        <w:r>
          <w:fldChar w:fldCharType="separate"/>
        </w:r>
        <w:r w:rsidR="0072336C">
          <w:rPr>
            <w:noProof/>
          </w:rPr>
          <w:t>1</w:t>
        </w:r>
        <w:r>
          <w:rPr>
            <w:noProof/>
          </w:rPr>
          <w:fldChar w:fldCharType="end"/>
        </w:r>
      </w:p>
      <w:p w14:paraId="564E0E8E" w14:textId="7D8A49CA" w:rsidR="006929E8" w:rsidRDefault="006929E8">
        <w:pPr>
          <w:pStyle w:val="Header"/>
          <w:jc w:val="right"/>
          <w:rPr>
            <w:noProof/>
          </w:rPr>
        </w:pPr>
        <w:r>
          <w:rPr>
            <w:noProof/>
          </w:rPr>
          <w:t>HH</w:t>
        </w:r>
        <w:r w:rsidR="008B1C57">
          <w:rPr>
            <w:noProof/>
          </w:rPr>
          <w:t xml:space="preserve"> 61-26</w:t>
        </w:r>
      </w:p>
      <w:p w14:paraId="7669644F" w14:textId="05FBAF0D" w:rsidR="006929E8" w:rsidRDefault="006929E8">
        <w:pPr>
          <w:pStyle w:val="Header"/>
          <w:jc w:val="right"/>
          <w:rPr>
            <w:noProof/>
          </w:rPr>
        </w:pPr>
        <w:r>
          <w:rPr>
            <w:noProof/>
          </w:rPr>
          <w:t xml:space="preserve">HCHCR </w:t>
        </w:r>
        <w:r w:rsidR="00D241DC">
          <w:rPr>
            <w:noProof/>
          </w:rPr>
          <w:t>281/26</w:t>
        </w:r>
      </w:p>
      <w:p w14:paraId="04E143BA" w14:textId="5B92D43A" w:rsidR="006929E8" w:rsidRDefault="006929E8">
        <w:pPr>
          <w:pStyle w:val="Header"/>
          <w:jc w:val="right"/>
        </w:pPr>
        <w:r>
          <w:rPr>
            <w:noProof/>
          </w:rPr>
          <w:t>REF CASE No CRB GMZ 1137/26</w:t>
        </w:r>
      </w:p>
    </w:sdtContent>
  </w:sdt>
  <w:p w14:paraId="53788283" w14:textId="77777777" w:rsidR="006929E8" w:rsidRDefault="006929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1E1B"/>
    <w:multiLevelType w:val="multilevel"/>
    <w:tmpl w:val="6DB2B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887B63"/>
    <w:multiLevelType w:val="multilevel"/>
    <w:tmpl w:val="A1561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C80"/>
    <w:rsid w:val="00083873"/>
    <w:rsid w:val="000B6FE7"/>
    <w:rsid w:val="001C0C80"/>
    <w:rsid w:val="001F03FB"/>
    <w:rsid w:val="00223139"/>
    <w:rsid w:val="0034709C"/>
    <w:rsid w:val="003655D0"/>
    <w:rsid w:val="0037092A"/>
    <w:rsid w:val="003A150B"/>
    <w:rsid w:val="003F3BA1"/>
    <w:rsid w:val="003F40BA"/>
    <w:rsid w:val="0048519B"/>
    <w:rsid w:val="00492B0B"/>
    <w:rsid w:val="006019CB"/>
    <w:rsid w:val="006235E8"/>
    <w:rsid w:val="006929E8"/>
    <w:rsid w:val="0072336C"/>
    <w:rsid w:val="007655B1"/>
    <w:rsid w:val="008A702B"/>
    <w:rsid w:val="008B1C57"/>
    <w:rsid w:val="008D0409"/>
    <w:rsid w:val="00A2602D"/>
    <w:rsid w:val="00B308D0"/>
    <w:rsid w:val="00B94384"/>
    <w:rsid w:val="00BF64EF"/>
    <w:rsid w:val="00C6747C"/>
    <w:rsid w:val="00D241DC"/>
    <w:rsid w:val="00E342C8"/>
    <w:rsid w:val="00E84508"/>
    <w:rsid w:val="00F46C8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2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C0C8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paragraph" w:styleId="Heading2">
    <w:name w:val="heading 2"/>
    <w:basedOn w:val="Normal"/>
    <w:link w:val="Heading2Char"/>
    <w:uiPriority w:val="9"/>
    <w:qFormat/>
    <w:rsid w:val="001C0C80"/>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C80"/>
    <w:rPr>
      <w:rFonts w:ascii="Times New Roman" w:eastAsia="Times New Roman" w:hAnsi="Times New Roman" w:cs="Times New Roman"/>
      <w:b/>
      <w:bCs/>
      <w:kern w:val="36"/>
      <w:sz w:val="48"/>
      <w:szCs w:val="48"/>
      <w:lang w:eastAsia="en-ZW"/>
    </w:rPr>
  </w:style>
  <w:style w:type="character" w:customStyle="1" w:styleId="Heading2Char">
    <w:name w:val="Heading 2 Char"/>
    <w:basedOn w:val="DefaultParagraphFont"/>
    <w:link w:val="Heading2"/>
    <w:uiPriority w:val="9"/>
    <w:rsid w:val="001C0C80"/>
    <w:rPr>
      <w:rFonts w:ascii="Times New Roman" w:eastAsia="Times New Roman" w:hAnsi="Times New Roman" w:cs="Times New Roman"/>
      <w:b/>
      <w:bCs/>
      <w:sz w:val="36"/>
      <w:szCs w:val="36"/>
      <w:lang w:eastAsia="en-ZW"/>
    </w:rPr>
  </w:style>
  <w:style w:type="paragraph" w:styleId="NormalWeb">
    <w:name w:val="Normal (Web)"/>
    <w:basedOn w:val="Normal"/>
    <w:uiPriority w:val="99"/>
    <w:semiHidden/>
    <w:unhideWhenUsed/>
    <w:rsid w:val="001C0C80"/>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1C0C80"/>
    <w:rPr>
      <w:b/>
      <w:bCs/>
    </w:rPr>
  </w:style>
  <w:style w:type="character" w:styleId="Emphasis">
    <w:name w:val="Emphasis"/>
    <w:basedOn w:val="DefaultParagraphFont"/>
    <w:uiPriority w:val="20"/>
    <w:qFormat/>
    <w:rsid w:val="001C0C80"/>
    <w:rPr>
      <w:i/>
      <w:iCs/>
    </w:rPr>
  </w:style>
  <w:style w:type="paragraph" w:styleId="ListParagraph">
    <w:name w:val="List Paragraph"/>
    <w:basedOn w:val="Normal"/>
    <w:uiPriority w:val="34"/>
    <w:qFormat/>
    <w:rsid w:val="0048519B"/>
    <w:pPr>
      <w:ind w:left="720"/>
      <w:contextualSpacing/>
    </w:pPr>
  </w:style>
  <w:style w:type="paragraph" w:styleId="Header">
    <w:name w:val="header"/>
    <w:basedOn w:val="Normal"/>
    <w:link w:val="HeaderChar"/>
    <w:uiPriority w:val="99"/>
    <w:unhideWhenUsed/>
    <w:rsid w:val="006929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9E8"/>
  </w:style>
  <w:style w:type="paragraph" w:styleId="Footer">
    <w:name w:val="footer"/>
    <w:basedOn w:val="Normal"/>
    <w:link w:val="FooterChar"/>
    <w:uiPriority w:val="99"/>
    <w:unhideWhenUsed/>
    <w:rsid w:val="006929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9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C0C8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paragraph" w:styleId="Heading2">
    <w:name w:val="heading 2"/>
    <w:basedOn w:val="Normal"/>
    <w:link w:val="Heading2Char"/>
    <w:uiPriority w:val="9"/>
    <w:qFormat/>
    <w:rsid w:val="001C0C80"/>
    <w:pPr>
      <w:spacing w:before="100" w:beforeAutospacing="1" w:after="100" w:afterAutospacing="1" w:line="240" w:lineRule="auto"/>
      <w:outlineLvl w:val="1"/>
    </w:pPr>
    <w:rPr>
      <w:rFonts w:ascii="Times New Roman" w:eastAsia="Times New Roman" w:hAnsi="Times New Roman" w:cs="Times New Roman"/>
      <w:b/>
      <w:bCs/>
      <w:sz w:val="36"/>
      <w:szCs w:val="36"/>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C80"/>
    <w:rPr>
      <w:rFonts w:ascii="Times New Roman" w:eastAsia="Times New Roman" w:hAnsi="Times New Roman" w:cs="Times New Roman"/>
      <w:b/>
      <w:bCs/>
      <w:kern w:val="36"/>
      <w:sz w:val="48"/>
      <w:szCs w:val="48"/>
      <w:lang w:eastAsia="en-ZW"/>
    </w:rPr>
  </w:style>
  <w:style w:type="character" w:customStyle="1" w:styleId="Heading2Char">
    <w:name w:val="Heading 2 Char"/>
    <w:basedOn w:val="DefaultParagraphFont"/>
    <w:link w:val="Heading2"/>
    <w:uiPriority w:val="9"/>
    <w:rsid w:val="001C0C80"/>
    <w:rPr>
      <w:rFonts w:ascii="Times New Roman" w:eastAsia="Times New Roman" w:hAnsi="Times New Roman" w:cs="Times New Roman"/>
      <w:b/>
      <w:bCs/>
      <w:sz w:val="36"/>
      <w:szCs w:val="36"/>
      <w:lang w:eastAsia="en-ZW"/>
    </w:rPr>
  </w:style>
  <w:style w:type="paragraph" w:styleId="NormalWeb">
    <w:name w:val="Normal (Web)"/>
    <w:basedOn w:val="Normal"/>
    <w:uiPriority w:val="99"/>
    <w:semiHidden/>
    <w:unhideWhenUsed/>
    <w:rsid w:val="001C0C80"/>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1C0C80"/>
    <w:rPr>
      <w:b/>
      <w:bCs/>
    </w:rPr>
  </w:style>
  <w:style w:type="character" w:styleId="Emphasis">
    <w:name w:val="Emphasis"/>
    <w:basedOn w:val="DefaultParagraphFont"/>
    <w:uiPriority w:val="20"/>
    <w:qFormat/>
    <w:rsid w:val="001C0C80"/>
    <w:rPr>
      <w:i/>
      <w:iCs/>
    </w:rPr>
  </w:style>
  <w:style w:type="paragraph" w:styleId="ListParagraph">
    <w:name w:val="List Paragraph"/>
    <w:basedOn w:val="Normal"/>
    <w:uiPriority w:val="34"/>
    <w:qFormat/>
    <w:rsid w:val="0048519B"/>
    <w:pPr>
      <w:ind w:left="720"/>
      <w:contextualSpacing/>
    </w:pPr>
  </w:style>
  <w:style w:type="paragraph" w:styleId="Header">
    <w:name w:val="header"/>
    <w:basedOn w:val="Normal"/>
    <w:link w:val="HeaderChar"/>
    <w:uiPriority w:val="99"/>
    <w:unhideWhenUsed/>
    <w:rsid w:val="006929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9E8"/>
  </w:style>
  <w:style w:type="paragraph" w:styleId="Footer">
    <w:name w:val="footer"/>
    <w:basedOn w:val="Normal"/>
    <w:link w:val="FooterChar"/>
    <w:uiPriority w:val="99"/>
    <w:unhideWhenUsed/>
    <w:rsid w:val="006929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5256102">
      <w:bodyDiv w:val="1"/>
      <w:marLeft w:val="0"/>
      <w:marRight w:val="0"/>
      <w:marTop w:val="0"/>
      <w:marBottom w:val="0"/>
      <w:divBdr>
        <w:top w:val="none" w:sz="0" w:space="0" w:color="auto"/>
        <w:left w:val="none" w:sz="0" w:space="0" w:color="auto"/>
        <w:bottom w:val="none" w:sz="0" w:space="0" w:color="auto"/>
        <w:right w:val="none" w:sz="0" w:space="0" w:color="auto"/>
      </w:divBdr>
      <w:divsChild>
        <w:div w:id="1719165244">
          <w:marLeft w:val="0"/>
          <w:marRight w:val="0"/>
          <w:marTop w:val="0"/>
          <w:marBottom w:val="0"/>
          <w:divBdr>
            <w:top w:val="none" w:sz="0" w:space="0" w:color="auto"/>
            <w:left w:val="none" w:sz="0" w:space="0" w:color="auto"/>
            <w:bottom w:val="none" w:sz="0" w:space="0" w:color="auto"/>
            <w:right w:val="none" w:sz="0" w:space="0" w:color="auto"/>
          </w:divBdr>
          <w:divsChild>
            <w:div w:id="132214367">
              <w:marLeft w:val="0"/>
              <w:marRight w:val="0"/>
              <w:marTop w:val="0"/>
              <w:marBottom w:val="0"/>
              <w:divBdr>
                <w:top w:val="none" w:sz="0" w:space="0" w:color="auto"/>
                <w:left w:val="none" w:sz="0" w:space="0" w:color="auto"/>
                <w:bottom w:val="none" w:sz="0" w:space="0" w:color="auto"/>
                <w:right w:val="none" w:sz="0" w:space="0" w:color="auto"/>
              </w:divBdr>
              <w:divsChild>
                <w:div w:id="17506189">
                  <w:marLeft w:val="0"/>
                  <w:marRight w:val="0"/>
                  <w:marTop w:val="0"/>
                  <w:marBottom w:val="0"/>
                  <w:divBdr>
                    <w:top w:val="none" w:sz="0" w:space="0" w:color="auto"/>
                    <w:left w:val="none" w:sz="0" w:space="0" w:color="auto"/>
                    <w:bottom w:val="none" w:sz="0" w:space="0" w:color="auto"/>
                    <w:right w:val="none" w:sz="0" w:space="0" w:color="auto"/>
                  </w:divBdr>
                  <w:divsChild>
                    <w:div w:id="306709261">
                      <w:marLeft w:val="0"/>
                      <w:marRight w:val="0"/>
                      <w:marTop w:val="0"/>
                      <w:marBottom w:val="0"/>
                      <w:divBdr>
                        <w:top w:val="none" w:sz="0" w:space="0" w:color="auto"/>
                        <w:left w:val="none" w:sz="0" w:space="0" w:color="auto"/>
                        <w:bottom w:val="none" w:sz="0" w:space="0" w:color="auto"/>
                        <w:right w:val="none" w:sz="0" w:space="0" w:color="auto"/>
                      </w:divBdr>
                      <w:divsChild>
                        <w:div w:id="1229265729">
                          <w:marLeft w:val="0"/>
                          <w:marRight w:val="0"/>
                          <w:marTop w:val="0"/>
                          <w:marBottom w:val="0"/>
                          <w:divBdr>
                            <w:top w:val="none" w:sz="0" w:space="0" w:color="auto"/>
                            <w:left w:val="none" w:sz="0" w:space="0" w:color="auto"/>
                            <w:bottom w:val="none" w:sz="0" w:space="0" w:color="auto"/>
                            <w:right w:val="none" w:sz="0" w:space="0" w:color="auto"/>
                          </w:divBdr>
                          <w:divsChild>
                            <w:div w:id="1941528374">
                              <w:marLeft w:val="0"/>
                              <w:marRight w:val="0"/>
                              <w:marTop w:val="0"/>
                              <w:marBottom w:val="0"/>
                              <w:divBdr>
                                <w:top w:val="none" w:sz="0" w:space="0" w:color="auto"/>
                                <w:left w:val="none" w:sz="0" w:space="0" w:color="auto"/>
                                <w:bottom w:val="none" w:sz="0" w:space="0" w:color="auto"/>
                                <w:right w:val="none" w:sz="0" w:space="0" w:color="auto"/>
                              </w:divBdr>
                              <w:divsChild>
                                <w:div w:id="622155345">
                                  <w:marLeft w:val="0"/>
                                  <w:marRight w:val="0"/>
                                  <w:marTop w:val="0"/>
                                  <w:marBottom w:val="0"/>
                                  <w:divBdr>
                                    <w:top w:val="none" w:sz="0" w:space="0" w:color="auto"/>
                                    <w:left w:val="none" w:sz="0" w:space="0" w:color="auto"/>
                                    <w:bottom w:val="none" w:sz="0" w:space="0" w:color="auto"/>
                                    <w:right w:val="none" w:sz="0" w:space="0" w:color="auto"/>
                                  </w:divBdr>
                                  <w:divsChild>
                                    <w:div w:id="1596550770">
                                      <w:marLeft w:val="0"/>
                                      <w:marRight w:val="0"/>
                                      <w:marTop w:val="0"/>
                                      <w:marBottom w:val="0"/>
                                      <w:divBdr>
                                        <w:top w:val="none" w:sz="0" w:space="0" w:color="auto"/>
                                        <w:left w:val="none" w:sz="0" w:space="0" w:color="auto"/>
                                        <w:bottom w:val="none" w:sz="0" w:space="0" w:color="auto"/>
                                        <w:right w:val="none" w:sz="0" w:space="0" w:color="auto"/>
                                      </w:divBdr>
                                      <w:divsChild>
                                        <w:div w:id="1664628559">
                                          <w:marLeft w:val="0"/>
                                          <w:marRight w:val="0"/>
                                          <w:marTop w:val="0"/>
                                          <w:marBottom w:val="0"/>
                                          <w:divBdr>
                                            <w:top w:val="none" w:sz="0" w:space="0" w:color="auto"/>
                                            <w:left w:val="none" w:sz="0" w:space="0" w:color="auto"/>
                                            <w:bottom w:val="none" w:sz="0" w:space="0" w:color="auto"/>
                                            <w:right w:val="none" w:sz="0" w:space="0" w:color="auto"/>
                                          </w:divBdr>
                                          <w:divsChild>
                                            <w:div w:id="906649259">
                                              <w:marLeft w:val="0"/>
                                              <w:marRight w:val="0"/>
                                              <w:marTop w:val="0"/>
                                              <w:marBottom w:val="0"/>
                                              <w:divBdr>
                                                <w:top w:val="none" w:sz="0" w:space="0" w:color="auto"/>
                                                <w:left w:val="none" w:sz="0" w:space="0" w:color="auto"/>
                                                <w:bottom w:val="none" w:sz="0" w:space="0" w:color="auto"/>
                                                <w:right w:val="none" w:sz="0" w:space="0" w:color="auto"/>
                                              </w:divBdr>
                                              <w:divsChild>
                                                <w:div w:id="679509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36866222">
                                      <w:marLeft w:val="0"/>
                                      <w:marRight w:val="0"/>
                                      <w:marTop w:val="0"/>
                                      <w:marBottom w:val="0"/>
                                      <w:divBdr>
                                        <w:top w:val="none" w:sz="0" w:space="0" w:color="auto"/>
                                        <w:left w:val="none" w:sz="0" w:space="0" w:color="auto"/>
                                        <w:bottom w:val="none" w:sz="0" w:space="0" w:color="auto"/>
                                        <w:right w:val="none" w:sz="0" w:space="0" w:color="auto"/>
                                      </w:divBdr>
                                      <w:divsChild>
                                        <w:div w:id="14045562">
                                          <w:marLeft w:val="0"/>
                                          <w:marRight w:val="0"/>
                                          <w:marTop w:val="0"/>
                                          <w:marBottom w:val="0"/>
                                          <w:divBdr>
                                            <w:top w:val="none" w:sz="0" w:space="0" w:color="auto"/>
                                            <w:left w:val="none" w:sz="0" w:space="0" w:color="auto"/>
                                            <w:bottom w:val="none" w:sz="0" w:space="0" w:color="auto"/>
                                            <w:right w:val="none" w:sz="0" w:space="0" w:color="auto"/>
                                          </w:divBdr>
                                          <w:divsChild>
                                            <w:div w:id="67001759">
                                              <w:marLeft w:val="0"/>
                                              <w:marRight w:val="0"/>
                                              <w:marTop w:val="0"/>
                                              <w:marBottom w:val="0"/>
                                              <w:divBdr>
                                                <w:top w:val="none" w:sz="0" w:space="0" w:color="auto"/>
                                                <w:left w:val="none" w:sz="0" w:space="0" w:color="auto"/>
                                                <w:bottom w:val="none" w:sz="0" w:space="0" w:color="auto"/>
                                                <w:right w:val="none" w:sz="0" w:space="0" w:color="auto"/>
                                              </w:divBdr>
                                              <w:divsChild>
                                                <w:div w:id="978924711">
                                                  <w:marLeft w:val="0"/>
                                                  <w:marRight w:val="0"/>
                                                  <w:marTop w:val="0"/>
                                                  <w:marBottom w:val="0"/>
                                                  <w:divBdr>
                                                    <w:top w:val="none" w:sz="0" w:space="0" w:color="auto"/>
                                                    <w:left w:val="none" w:sz="0" w:space="0" w:color="auto"/>
                                                    <w:bottom w:val="none" w:sz="0" w:space="0" w:color="auto"/>
                                                    <w:right w:val="none" w:sz="0" w:space="0" w:color="auto"/>
                                                  </w:divBdr>
                                                </w:div>
                                              </w:divsChild>
                                            </w:div>
                                            <w:div w:id="490954023">
                                              <w:marLeft w:val="0"/>
                                              <w:marRight w:val="0"/>
                                              <w:marTop w:val="0"/>
                                              <w:marBottom w:val="0"/>
                                              <w:divBdr>
                                                <w:top w:val="none" w:sz="0" w:space="0" w:color="auto"/>
                                                <w:left w:val="none" w:sz="0" w:space="0" w:color="auto"/>
                                                <w:bottom w:val="none" w:sz="0" w:space="0" w:color="auto"/>
                                                <w:right w:val="none" w:sz="0" w:space="0" w:color="auto"/>
                                              </w:divBdr>
                                              <w:divsChild>
                                                <w:div w:id="871772301">
                                                  <w:marLeft w:val="0"/>
                                                  <w:marRight w:val="0"/>
                                                  <w:marTop w:val="0"/>
                                                  <w:marBottom w:val="0"/>
                                                  <w:divBdr>
                                                    <w:top w:val="none" w:sz="0" w:space="0" w:color="auto"/>
                                                    <w:left w:val="none" w:sz="0" w:space="0" w:color="auto"/>
                                                    <w:bottom w:val="none" w:sz="0" w:space="0" w:color="auto"/>
                                                    <w:right w:val="none" w:sz="0" w:space="0" w:color="auto"/>
                                                  </w:divBdr>
                                                </w:div>
                                              </w:divsChild>
                                            </w:div>
                                            <w:div w:id="1030109507">
                                              <w:marLeft w:val="0"/>
                                              <w:marRight w:val="0"/>
                                              <w:marTop w:val="0"/>
                                              <w:marBottom w:val="0"/>
                                              <w:divBdr>
                                                <w:top w:val="none" w:sz="0" w:space="0" w:color="auto"/>
                                                <w:left w:val="none" w:sz="0" w:space="0" w:color="auto"/>
                                                <w:bottom w:val="none" w:sz="0" w:space="0" w:color="auto"/>
                                                <w:right w:val="none" w:sz="0" w:space="0" w:color="auto"/>
                                              </w:divBdr>
                                              <w:divsChild>
                                                <w:div w:id="1418283145">
                                                  <w:marLeft w:val="0"/>
                                                  <w:marRight w:val="0"/>
                                                  <w:marTop w:val="0"/>
                                                  <w:marBottom w:val="0"/>
                                                  <w:divBdr>
                                                    <w:top w:val="none" w:sz="0" w:space="0" w:color="auto"/>
                                                    <w:left w:val="none" w:sz="0" w:space="0" w:color="auto"/>
                                                    <w:bottom w:val="none" w:sz="0" w:space="0" w:color="auto"/>
                                                    <w:right w:val="none" w:sz="0" w:space="0" w:color="auto"/>
                                                  </w:divBdr>
                                                </w:div>
                                              </w:divsChild>
                                            </w:div>
                                            <w:div w:id="1798136188">
                                              <w:marLeft w:val="0"/>
                                              <w:marRight w:val="0"/>
                                              <w:marTop w:val="0"/>
                                              <w:marBottom w:val="0"/>
                                              <w:divBdr>
                                                <w:top w:val="none" w:sz="0" w:space="0" w:color="auto"/>
                                                <w:left w:val="none" w:sz="0" w:space="0" w:color="auto"/>
                                                <w:bottom w:val="none" w:sz="0" w:space="0" w:color="auto"/>
                                                <w:right w:val="none" w:sz="0" w:space="0" w:color="auto"/>
                                              </w:divBdr>
                                              <w:divsChild>
                                                <w:div w:id="13691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48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2986</Words>
  <Characters>17022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cp:lastPrinted>2026-01-23T10:19:00Z</cp:lastPrinted>
  <dcterms:created xsi:type="dcterms:W3CDTF">2026-01-30T10:14:00Z</dcterms:created>
  <dcterms:modified xsi:type="dcterms:W3CDTF">2026-01-30T10:14:00Z</dcterms:modified>
</cp:coreProperties>
</file>