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F896A9" w14:textId="1B27B038" w:rsidR="00273602" w:rsidRPr="00240AC7" w:rsidRDefault="00E67996" w:rsidP="00273602">
      <w:pPr>
        <w:spacing w:after="0" w:line="240" w:lineRule="auto"/>
        <w:jc w:val="both"/>
        <w:rPr>
          <w:rFonts w:ascii="Times New Roman" w:hAnsi="Times New Roman"/>
        </w:rPr>
      </w:pPr>
      <w:bookmarkStart w:id="0" w:name="_GoBack"/>
      <w:bookmarkEnd w:id="0"/>
      <w:r>
        <w:rPr>
          <w:rFonts w:ascii="Times New Roman" w:hAnsi="Times New Roman"/>
        </w:rPr>
        <w:t>PADENGA HOLDINGS</w:t>
      </w:r>
      <w:r w:rsidR="00273602" w:rsidRPr="00240AC7">
        <w:rPr>
          <w:rFonts w:ascii="Times New Roman" w:hAnsi="Times New Roman"/>
        </w:rPr>
        <w:t xml:space="preserve"> L</w:t>
      </w:r>
      <w:r>
        <w:rPr>
          <w:rFonts w:ascii="Times New Roman" w:hAnsi="Times New Roman"/>
        </w:rPr>
        <w:t>IMI</w:t>
      </w:r>
      <w:r w:rsidR="00273602" w:rsidRPr="00240AC7">
        <w:rPr>
          <w:rFonts w:ascii="Times New Roman" w:hAnsi="Times New Roman"/>
        </w:rPr>
        <w:t>T</w:t>
      </w:r>
      <w:r>
        <w:rPr>
          <w:rFonts w:ascii="Times New Roman" w:hAnsi="Times New Roman"/>
        </w:rPr>
        <w:t>E</w:t>
      </w:r>
      <w:r w:rsidR="00273602" w:rsidRPr="00240AC7">
        <w:rPr>
          <w:rFonts w:ascii="Times New Roman" w:hAnsi="Times New Roman"/>
        </w:rPr>
        <w:t>D</w:t>
      </w:r>
    </w:p>
    <w:p w14:paraId="75789BCA" w14:textId="77777777" w:rsidR="00E67996" w:rsidRDefault="00E67996" w:rsidP="00273602">
      <w:pPr>
        <w:spacing w:after="0" w:line="240" w:lineRule="auto"/>
        <w:jc w:val="both"/>
        <w:rPr>
          <w:rFonts w:ascii="Times New Roman" w:hAnsi="Times New Roman"/>
        </w:rPr>
      </w:pPr>
      <w:proofErr w:type="gramStart"/>
      <w:r>
        <w:rPr>
          <w:rFonts w:ascii="Times New Roman" w:hAnsi="Times New Roman"/>
        </w:rPr>
        <w:t>and</w:t>
      </w:r>
      <w:proofErr w:type="gramEnd"/>
    </w:p>
    <w:p w14:paraId="6FAC989E" w14:textId="612C4FE0" w:rsidR="00E67996" w:rsidRDefault="00E67996" w:rsidP="00273602">
      <w:pPr>
        <w:spacing w:after="0" w:line="240" w:lineRule="auto"/>
        <w:jc w:val="both"/>
        <w:rPr>
          <w:rFonts w:ascii="Times New Roman" w:hAnsi="Times New Roman"/>
        </w:rPr>
      </w:pPr>
      <w:r>
        <w:rPr>
          <w:rFonts w:ascii="Times New Roman" w:hAnsi="Times New Roman"/>
        </w:rPr>
        <w:t>RONQUIL ENTERPRISES [PVT] LTD</w:t>
      </w:r>
    </w:p>
    <w:p w14:paraId="24EBD4FA" w14:textId="77777777" w:rsidR="00E67996" w:rsidRDefault="00E67996" w:rsidP="00273602">
      <w:pPr>
        <w:spacing w:after="0" w:line="240" w:lineRule="auto"/>
        <w:jc w:val="both"/>
        <w:rPr>
          <w:rFonts w:ascii="Times New Roman" w:hAnsi="Times New Roman"/>
        </w:rPr>
      </w:pPr>
      <w:proofErr w:type="gramStart"/>
      <w:r>
        <w:rPr>
          <w:rFonts w:ascii="Times New Roman" w:hAnsi="Times New Roman"/>
        </w:rPr>
        <w:t>and</w:t>
      </w:r>
      <w:proofErr w:type="gramEnd"/>
    </w:p>
    <w:p w14:paraId="19313F2C" w14:textId="48FDE4F7" w:rsidR="00E67996" w:rsidRDefault="00E67996" w:rsidP="00273602">
      <w:pPr>
        <w:spacing w:after="0" w:line="240" w:lineRule="auto"/>
        <w:jc w:val="both"/>
        <w:rPr>
          <w:rFonts w:ascii="Times New Roman" w:hAnsi="Times New Roman"/>
        </w:rPr>
      </w:pPr>
      <w:r>
        <w:rPr>
          <w:rFonts w:ascii="Times New Roman" w:hAnsi="Times New Roman"/>
        </w:rPr>
        <w:t xml:space="preserve">GRAYFOX INVESTMENTS [PVT] LTD </w:t>
      </w:r>
    </w:p>
    <w:p w14:paraId="68B8BB7E" w14:textId="1D246B33" w:rsidR="00273602" w:rsidRPr="00240AC7" w:rsidRDefault="00273602" w:rsidP="00273602">
      <w:pPr>
        <w:spacing w:after="0" w:line="240" w:lineRule="auto"/>
        <w:jc w:val="both"/>
        <w:rPr>
          <w:rFonts w:ascii="Times New Roman" w:hAnsi="Times New Roman"/>
        </w:rPr>
      </w:pPr>
      <w:proofErr w:type="gramStart"/>
      <w:r w:rsidRPr="00240AC7">
        <w:rPr>
          <w:rFonts w:ascii="Times New Roman" w:hAnsi="Times New Roman"/>
        </w:rPr>
        <w:t>versus</w:t>
      </w:r>
      <w:proofErr w:type="gramEnd"/>
    </w:p>
    <w:p w14:paraId="11FDB268" w14:textId="77777777" w:rsidR="00273602" w:rsidRPr="00240AC7" w:rsidRDefault="00273602" w:rsidP="00273602">
      <w:pPr>
        <w:spacing w:after="0" w:line="240" w:lineRule="auto"/>
        <w:jc w:val="both"/>
        <w:rPr>
          <w:rFonts w:ascii="Times New Roman" w:hAnsi="Times New Roman"/>
        </w:rPr>
      </w:pPr>
      <w:r w:rsidRPr="00240AC7">
        <w:rPr>
          <w:rFonts w:ascii="Times New Roman" w:hAnsi="Times New Roman"/>
        </w:rPr>
        <w:t xml:space="preserve">ZIMBABWE REVENUE AUTHORITY </w:t>
      </w:r>
    </w:p>
    <w:p w14:paraId="4CB20D42" w14:textId="77777777" w:rsidR="00273602" w:rsidRPr="00240AC7" w:rsidRDefault="00273602" w:rsidP="00273602">
      <w:pPr>
        <w:pStyle w:val="ListParagraph"/>
        <w:spacing w:after="0" w:line="240" w:lineRule="auto"/>
        <w:jc w:val="both"/>
        <w:rPr>
          <w:rFonts w:ascii="Times New Roman" w:hAnsi="Times New Roman"/>
        </w:rPr>
      </w:pPr>
    </w:p>
    <w:p w14:paraId="65B36FC5" w14:textId="77777777" w:rsidR="00273602" w:rsidRPr="00240AC7" w:rsidRDefault="00273602" w:rsidP="00273602">
      <w:pPr>
        <w:pStyle w:val="ListParagraph"/>
        <w:spacing w:after="0" w:line="240" w:lineRule="auto"/>
        <w:jc w:val="both"/>
        <w:rPr>
          <w:rFonts w:ascii="Times New Roman" w:hAnsi="Times New Roman"/>
        </w:rPr>
      </w:pPr>
    </w:p>
    <w:p w14:paraId="2FD3CDC1" w14:textId="5875E3A1" w:rsidR="00273602" w:rsidRPr="00502C43" w:rsidRDefault="00E67996" w:rsidP="00273602">
      <w:pPr>
        <w:spacing w:after="0" w:line="240" w:lineRule="auto"/>
        <w:jc w:val="both"/>
        <w:rPr>
          <w:rFonts w:ascii="Times New Roman" w:hAnsi="Times New Roman"/>
        </w:rPr>
      </w:pPr>
      <w:r>
        <w:rPr>
          <w:rFonts w:ascii="Times New Roman" w:hAnsi="Times New Roman"/>
        </w:rPr>
        <w:t>SPECIAL COURT FOR INCOME TAX APPEALS</w:t>
      </w:r>
    </w:p>
    <w:p w14:paraId="6B89423F" w14:textId="77777777" w:rsidR="00273602" w:rsidRPr="00502C43" w:rsidRDefault="00273602" w:rsidP="00273602">
      <w:pPr>
        <w:spacing w:after="0" w:line="240" w:lineRule="auto"/>
        <w:jc w:val="both"/>
        <w:rPr>
          <w:rFonts w:ascii="Times New Roman" w:hAnsi="Times New Roman"/>
        </w:rPr>
      </w:pPr>
      <w:r w:rsidRPr="00502C43">
        <w:rPr>
          <w:rFonts w:ascii="Times New Roman" w:hAnsi="Times New Roman"/>
        </w:rPr>
        <w:t>MAFUSIRE J</w:t>
      </w:r>
    </w:p>
    <w:p w14:paraId="0BBF62A0" w14:textId="45372A5E" w:rsidR="00273602" w:rsidRPr="00502C43" w:rsidRDefault="00273602" w:rsidP="00273602">
      <w:pPr>
        <w:spacing w:after="0" w:line="240" w:lineRule="auto"/>
        <w:jc w:val="both"/>
        <w:rPr>
          <w:rFonts w:ascii="Times New Roman" w:hAnsi="Times New Roman"/>
        </w:rPr>
      </w:pPr>
      <w:r w:rsidRPr="00502C43">
        <w:rPr>
          <w:rFonts w:ascii="Times New Roman" w:hAnsi="Times New Roman"/>
        </w:rPr>
        <w:t xml:space="preserve">HARARE, </w:t>
      </w:r>
      <w:r w:rsidR="00E67996">
        <w:rPr>
          <w:rFonts w:ascii="Times New Roman" w:hAnsi="Times New Roman"/>
        </w:rPr>
        <w:t>24 March</w:t>
      </w:r>
      <w:r>
        <w:rPr>
          <w:rFonts w:ascii="Times New Roman" w:hAnsi="Times New Roman"/>
        </w:rPr>
        <w:t xml:space="preserve"> 2025</w:t>
      </w:r>
    </w:p>
    <w:p w14:paraId="483751CA" w14:textId="77777777" w:rsidR="00273602" w:rsidRPr="00502C43" w:rsidRDefault="00273602" w:rsidP="00273602">
      <w:pPr>
        <w:spacing w:after="0" w:line="240" w:lineRule="auto"/>
        <w:jc w:val="both"/>
        <w:rPr>
          <w:rFonts w:ascii="Times New Roman" w:hAnsi="Times New Roman"/>
        </w:rPr>
      </w:pPr>
    </w:p>
    <w:p w14:paraId="0D499F08" w14:textId="032609F2" w:rsidR="00273602" w:rsidRDefault="00273602" w:rsidP="00273602">
      <w:pPr>
        <w:spacing w:after="0" w:line="240" w:lineRule="auto"/>
        <w:jc w:val="both"/>
        <w:rPr>
          <w:rFonts w:ascii="Times New Roman" w:hAnsi="Times New Roman"/>
        </w:rPr>
      </w:pPr>
      <w:r w:rsidRPr="00502C43">
        <w:rPr>
          <w:rFonts w:ascii="Times New Roman" w:hAnsi="Times New Roman"/>
        </w:rPr>
        <w:t xml:space="preserve">Date of judgment: </w:t>
      </w:r>
      <w:r w:rsidR="00D84E53">
        <w:rPr>
          <w:rFonts w:ascii="Times New Roman" w:hAnsi="Times New Roman"/>
        </w:rPr>
        <w:t>2</w:t>
      </w:r>
      <w:r w:rsidR="00B11C01">
        <w:rPr>
          <w:rFonts w:ascii="Times New Roman" w:hAnsi="Times New Roman"/>
        </w:rPr>
        <w:t>1</w:t>
      </w:r>
      <w:r w:rsidR="00E67996">
        <w:rPr>
          <w:rFonts w:ascii="Times New Roman" w:hAnsi="Times New Roman"/>
        </w:rPr>
        <w:t xml:space="preserve"> </w:t>
      </w:r>
      <w:r>
        <w:rPr>
          <w:rFonts w:ascii="Times New Roman" w:hAnsi="Times New Roman"/>
        </w:rPr>
        <w:t>October 2025</w:t>
      </w:r>
    </w:p>
    <w:p w14:paraId="420CB768" w14:textId="7717D106" w:rsidR="00CE15E0" w:rsidRDefault="00CE15E0" w:rsidP="00273602">
      <w:pPr>
        <w:spacing w:after="0" w:line="240" w:lineRule="auto"/>
        <w:jc w:val="both"/>
        <w:rPr>
          <w:rFonts w:ascii="Times New Roman" w:hAnsi="Times New Roman"/>
        </w:rPr>
      </w:pPr>
    </w:p>
    <w:p w14:paraId="67BABF39" w14:textId="14E989EB" w:rsidR="00CE15E0" w:rsidRPr="00502C43" w:rsidRDefault="00CE15E0" w:rsidP="00273602">
      <w:pPr>
        <w:spacing w:after="0" w:line="240" w:lineRule="auto"/>
        <w:jc w:val="both"/>
        <w:rPr>
          <w:rFonts w:ascii="Times New Roman" w:hAnsi="Times New Roman"/>
        </w:rPr>
      </w:pPr>
      <w:r>
        <w:rPr>
          <w:rFonts w:ascii="Times New Roman" w:hAnsi="Times New Roman"/>
        </w:rPr>
        <w:t>Assessors:</w:t>
      </w:r>
      <w:r>
        <w:rPr>
          <w:rFonts w:ascii="Times New Roman" w:hAnsi="Times New Roman"/>
        </w:rPr>
        <w:tab/>
        <w:t>Mr W. T. Mandinde &amp; Mrs T. Mafusire</w:t>
      </w:r>
    </w:p>
    <w:p w14:paraId="5C66B7EB" w14:textId="77777777" w:rsidR="00273602" w:rsidRPr="00502C43" w:rsidRDefault="00273602" w:rsidP="00273602">
      <w:pPr>
        <w:tabs>
          <w:tab w:val="left" w:pos="3879"/>
        </w:tabs>
        <w:spacing w:after="0" w:line="240" w:lineRule="auto"/>
        <w:jc w:val="both"/>
        <w:rPr>
          <w:rFonts w:ascii="Times New Roman" w:hAnsi="Times New Roman"/>
        </w:rPr>
      </w:pPr>
      <w:r w:rsidRPr="00502C43">
        <w:rPr>
          <w:rFonts w:ascii="Times New Roman" w:hAnsi="Times New Roman"/>
        </w:rPr>
        <w:tab/>
      </w:r>
    </w:p>
    <w:p w14:paraId="08F7239D" w14:textId="5D2298F9" w:rsidR="00273602" w:rsidRPr="00502C43" w:rsidRDefault="00E67996" w:rsidP="00273602">
      <w:pPr>
        <w:spacing w:line="360" w:lineRule="auto"/>
        <w:jc w:val="both"/>
        <w:rPr>
          <w:rFonts w:ascii="Times New Roman" w:hAnsi="Times New Roman"/>
          <w:bCs/>
        </w:rPr>
      </w:pPr>
      <w:r>
        <w:rPr>
          <w:rFonts w:ascii="Times New Roman" w:hAnsi="Times New Roman"/>
          <w:b/>
        </w:rPr>
        <w:t>Capital gains tax appeal</w:t>
      </w:r>
      <w:r w:rsidR="00273602" w:rsidRPr="00502C43">
        <w:rPr>
          <w:rFonts w:ascii="Times New Roman" w:hAnsi="Times New Roman"/>
          <w:bCs/>
        </w:rPr>
        <w:t xml:space="preserve"> </w:t>
      </w:r>
    </w:p>
    <w:p w14:paraId="71711B29" w14:textId="27938412" w:rsidR="00273602" w:rsidRPr="00502C43" w:rsidRDefault="00E67996" w:rsidP="00273602">
      <w:pPr>
        <w:spacing w:after="0" w:line="240" w:lineRule="auto"/>
        <w:jc w:val="both"/>
        <w:rPr>
          <w:rFonts w:ascii="Times New Roman" w:hAnsi="Times New Roman"/>
        </w:rPr>
      </w:pPr>
      <w:r>
        <w:rPr>
          <w:rFonts w:ascii="Times New Roman" w:hAnsi="Times New Roman"/>
          <w:i/>
        </w:rPr>
        <w:t>Mr M</w:t>
      </w:r>
      <w:r w:rsidR="00273602" w:rsidRPr="00502C43">
        <w:rPr>
          <w:rFonts w:ascii="Times New Roman" w:hAnsi="Times New Roman"/>
          <w:i/>
        </w:rPr>
        <w:t xml:space="preserve">. </w:t>
      </w:r>
      <w:r>
        <w:rPr>
          <w:rFonts w:ascii="Times New Roman" w:hAnsi="Times New Roman"/>
          <w:i/>
        </w:rPr>
        <w:t>Tshum</w:t>
      </w:r>
      <w:r w:rsidR="00273602" w:rsidRPr="00502C43">
        <w:rPr>
          <w:rFonts w:ascii="Times New Roman" w:hAnsi="Times New Roman"/>
          <w:i/>
        </w:rPr>
        <w:t>a</w:t>
      </w:r>
      <w:r w:rsidR="00273602" w:rsidRPr="00502C43">
        <w:rPr>
          <w:rFonts w:ascii="Times New Roman" w:hAnsi="Times New Roman"/>
        </w:rPr>
        <w:t>, for the appellant</w:t>
      </w:r>
      <w:r>
        <w:rPr>
          <w:rFonts w:ascii="Times New Roman" w:hAnsi="Times New Roman"/>
        </w:rPr>
        <w:t>s</w:t>
      </w:r>
    </w:p>
    <w:p w14:paraId="1B2BDA79" w14:textId="6C591AAA" w:rsidR="00273602" w:rsidRPr="00502C43" w:rsidRDefault="00E67996" w:rsidP="00273602">
      <w:pPr>
        <w:spacing w:after="0" w:line="240" w:lineRule="auto"/>
        <w:jc w:val="both"/>
        <w:rPr>
          <w:rFonts w:ascii="Times New Roman" w:hAnsi="Times New Roman"/>
        </w:rPr>
      </w:pPr>
      <w:r>
        <w:rPr>
          <w:rFonts w:ascii="Times New Roman" w:hAnsi="Times New Roman"/>
          <w:i/>
        </w:rPr>
        <w:t xml:space="preserve">Mr </w:t>
      </w:r>
      <w:r w:rsidR="00273602" w:rsidRPr="00502C43">
        <w:rPr>
          <w:rFonts w:ascii="Times New Roman" w:hAnsi="Times New Roman"/>
          <w:i/>
        </w:rPr>
        <w:t>S. Bhebhe</w:t>
      </w:r>
      <w:r w:rsidR="00273602" w:rsidRPr="00502C43">
        <w:rPr>
          <w:rFonts w:ascii="Times New Roman" w:hAnsi="Times New Roman"/>
        </w:rPr>
        <w:t>, for the respondent</w:t>
      </w:r>
    </w:p>
    <w:p w14:paraId="7C69210E" w14:textId="77777777" w:rsidR="00273602" w:rsidRPr="00240AC7" w:rsidRDefault="00273602" w:rsidP="00273602">
      <w:pPr>
        <w:pStyle w:val="ListParagraph"/>
        <w:spacing w:after="0" w:line="240" w:lineRule="auto"/>
        <w:jc w:val="both"/>
        <w:rPr>
          <w:rFonts w:ascii="Times New Roman" w:hAnsi="Times New Roman"/>
        </w:rPr>
      </w:pPr>
    </w:p>
    <w:p w14:paraId="682612C4" w14:textId="77777777" w:rsidR="00273602" w:rsidRPr="00E67996" w:rsidRDefault="00273602" w:rsidP="004725C2">
      <w:pPr>
        <w:pStyle w:val="ListParagraph"/>
        <w:spacing w:line="360" w:lineRule="auto"/>
        <w:ind w:left="0" w:firstLine="720"/>
        <w:rPr>
          <w:rFonts w:ascii="Times New Roman" w:hAnsi="Times New Roman" w:cs="Times New Roman"/>
          <w:bCs/>
        </w:rPr>
      </w:pPr>
      <w:r w:rsidRPr="00E67996">
        <w:rPr>
          <w:rFonts w:ascii="Times New Roman" w:hAnsi="Times New Roman" w:cs="Times New Roman"/>
          <w:bCs/>
        </w:rPr>
        <w:t>MAFUSIRE J</w:t>
      </w:r>
    </w:p>
    <w:p w14:paraId="17AACCA3" w14:textId="77777777" w:rsidR="00273602" w:rsidRPr="00E67996" w:rsidRDefault="00273602" w:rsidP="004725C2">
      <w:pPr>
        <w:spacing w:line="360" w:lineRule="auto"/>
        <w:rPr>
          <w:rFonts w:ascii="Times New Roman" w:hAnsi="Times New Roman" w:cs="Times New Roman"/>
          <w:b/>
          <w:bCs/>
        </w:rPr>
      </w:pPr>
      <w:proofErr w:type="gramStart"/>
      <w:r w:rsidRPr="00E67996">
        <w:rPr>
          <w:rFonts w:ascii="Times New Roman" w:hAnsi="Times New Roman" w:cs="Times New Roman"/>
          <w:b/>
          <w:bCs/>
        </w:rPr>
        <w:t>a</w:t>
      </w:r>
      <w:proofErr w:type="gramEnd"/>
      <w:r w:rsidRPr="00E67996">
        <w:rPr>
          <w:rFonts w:ascii="Times New Roman" w:hAnsi="Times New Roman" w:cs="Times New Roman"/>
          <w:bCs/>
        </w:rPr>
        <w:t xml:space="preserve"> </w:t>
      </w:r>
      <w:r w:rsidRPr="00E67996">
        <w:rPr>
          <w:rFonts w:ascii="Times New Roman" w:hAnsi="Times New Roman" w:cs="Times New Roman"/>
          <w:bCs/>
        </w:rPr>
        <w:tab/>
      </w:r>
      <w:r w:rsidRPr="00E67996">
        <w:rPr>
          <w:rFonts w:ascii="Times New Roman" w:hAnsi="Times New Roman" w:cs="Times New Roman"/>
          <w:b/>
          <w:bCs/>
        </w:rPr>
        <w:t>Introduction</w:t>
      </w:r>
    </w:p>
    <w:p w14:paraId="034F5C89" w14:textId="4039C850" w:rsidR="00E54E6C" w:rsidRDefault="00D84E53" w:rsidP="00E54E6C">
      <w:pPr>
        <w:pStyle w:val="NormalWeb"/>
        <w:spacing w:before="240" w:beforeAutospacing="0" w:after="160" w:afterAutospacing="0" w:line="360" w:lineRule="auto"/>
        <w:ind w:left="720" w:hanging="720"/>
        <w:jc w:val="both"/>
        <w:rPr>
          <w:color w:val="000000"/>
        </w:rPr>
      </w:pPr>
      <w:r>
        <w:rPr>
          <w:color w:val="000000"/>
        </w:rPr>
        <w:t>[</w:t>
      </w:r>
      <w:r w:rsidR="00324E0E">
        <w:rPr>
          <w:color w:val="000000"/>
        </w:rPr>
        <w:t>1</w:t>
      </w:r>
      <w:r>
        <w:rPr>
          <w:color w:val="000000"/>
        </w:rPr>
        <w:t>]</w:t>
      </w:r>
      <w:r w:rsidR="00E54E6C">
        <w:rPr>
          <w:color w:val="000000"/>
        </w:rPr>
        <w:tab/>
        <w:t>The appeal in this matter centres on the proper meaning and application of s 1</w:t>
      </w:r>
      <w:r>
        <w:rPr>
          <w:color w:val="000000"/>
        </w:rPr>
        <w:t xml:space="preserve">5 of the Capital Gains </w:t>
      </w:r>
      <w:r w:rsidR="00324E0E">
        <w:rPr>
          <w:color w:val="000000"/>
        </w:rPr>
        <w:t xml:space="preserve">Tax </w:t>
      </w:r>
      <w:r>
        <w:rPr>
          <w:color w:val="000000"/>
        </w:rPr>
        <w:t>Act [</w:t>
      </w:r>
      <w:r w:rsidRPr="004F09C0">
        <w:rPr>
          <w:i/>
          <w:color w:val="000000"/>
        </w:rPr>
        <w:t xml:space="preserve">Chapter </w:t>
      </w:r>
      <w:r w:rsidR="007F5D28">
        <w:rPr>
          <w:i/>
          <w:color w:val="000000"/>
        </w:rPr>
        <w:t>23:01</w:t>
      </w:r>
      <w:r w:rsidR="007F5D28">
        <w:rPr>
          <w:color w:val="000000"/>
        </w:rPr>
        <w:t xml:space="preserve">] </w:t>
      </w:r>
      <w:r w:rsidR="004F09C0">
        <w:rPr>
          <w:color w:val="000000"/>
        </w:rPr>
        <w:t>[“</w:t>
      </w:r>
      <w:r w:rsidR="004F09C0" w:rsidRPr="004F09C0">
        <w:rPr>
          <w:b/>
          <w:i/>
          <w:color w:val="000000"/>
        </w:rPr>
        <w:t>the Act</w:t>
      </w:r>
      <w:r w:rsidR="004F09C0">
        <w:rPr>
          <w:color w:val="000000"/>
        </w:rPr>
        <w:t>”]</w:t>
      </w:r>
      <w:r w:rsidR="00E54E6C">
        <w:rPr>
          <w:color w:val="000000"/>
        </w:rPr>
        <w:t>.</w:t>
      </w:r>
    </w:p>
    <w:p w14:paraId="3D038C33" w14:textId="2C5FA85E" w:rsidR="00D84E53" w:rsidRDefault="00E54E6C" w:rsidP="00E54E6C">
      <w:pPr>
        <w:pStyle w:val="NormalWeb"/>
        <w:spacing w:before="240" w:beforeAutospacing="0" w:after="160" w:afterAutospacing="0" w:line="360" w:lineRule="auto"/>
        <w:ind w:left="720" w:hanging="720"/>
        <w:jc w:val="both"/>
        <w:rPr>
          <w:color w:val="000000"/>
        </w:rPr>
      </w:pPr>
      <w:r>
        <w:rPr>
          <w:color w:val="000000"/>
        </w:rPr>
        <w:t>[</w:t>
      </w:r>
      <w:r w:rsidR="00324E0E">
        <w:rPr>
          <w:color w:val="000000"/>
        </w:rPr>
        <w:t>2</w:t>
      </w:r>
      <w:r>
        <w:rPr>
          <w:color w:val="000000"/>
        </w:rPr>
        <w:t>]</w:t>
      </w:r>
      <w:r>
        <w:rPr>
          <w:color w:val="000000"/>
        </w:rPr>
        <w:tab/>
        <w:t xml:space="preserve">Portions of that provision relevant </w:t>
      </w:r>
      <w:r w:rsidR="00112F98">
        <w:rPr>
          <w:color w:val="000000"/>
        </w:rPr>
        <w:t>to the present dispute</w:t>
      </w:r>
      <w:r w:rsidR="00D944BF">
        <w:rPr>
          <w:color w:val="000000"/>
        </w:rPr>
        <w:t xml:space="preserve"> read as follows,</w:t>
      </w:r>
      <w:r>
        <w:rPr>
          <w:color w:val="000000"/>
        </w:rPr>
        <w:t xml:space="preserve"> the </w:t>
      </w:r>
      <w:r w:rsidR="00324E0E">
        <w:rPr>
          <w:color w:val="000000"/>
        </w:rPr>
        <w:t>highlighted</w:t>
      </w:r>
      <w:r>
        <w:rPr>
          <w:color w:val="000000"/>
        </w:rPr>
        <w:t xml:space="preserve"> </w:t>
      </w:r>
      <w:r w:rsidR="00D944BF">
        <w:rPr>
          <w:color w:val="000000"/>
        </w:rPr>
        <w:t>words</w:t>
      </w:r>
      <w:r w:rsidR="00F6798A">
        <w:rPr>
          <w:color w:val="000000"/>
        </w:rPr>
        <w:t xml:space="preserve"> – </w:t>
      </w:r>
      <w:r>
        <w:rPr>
          <w:color w:val="000000"/>
        </w:rPr>
        <w:t>including the heading</w:t>
      </w:r>
      <w:r w:rsidR="00F6798A">
        <w:rPr>
          <w:color w:val="000000"/>
        </w:rPr>
        <w:t xml:space="preserve"> – signifying the </w:t>
      </w:r>
      <w:r w:rsidR="00324E0E">
        <w:rPr>
          <w:color w:val="000000"/>
        </w:rPr>
        <w:t xml:space="preserve">highly contested </w:t>
      </w:r>
      <w:r>
        <w:rPr>
          <w:color w:val="000000"/>
        </w:rPr>
        <w:t>points</w:t>
      </w:r>
      <w:r w:rsidR="00D84E53">
        <w:rPr>
          <w:color w:val="000000"/>
        </w:rPr>
        <w:t>:</w:t>
      </w:r>
    </w:p>
    <w:p w14:paraId="18EFB1A5" w14:textId="50E0779F" w:rsidR="00D84E53" w:rsidRPr="00E54E6C" w:rsidRDefault="00D84E53" w:rsidP="00E54E6C">
      <w:pPr>
        <w:pStyle w:val="Default"/>
        <w:spacing w:after="240"/>
        <w:ind w:left="720" w:firstLine="720"/>
        <w:rPr>
          <w:sz w:val="22"/>
          <w:szCs w:val="22"/>
        </w:rPr>
      </w:pPr>
      <w:r>
        <w:rPr>
          <w:bCs/>
        </w:rPr>
        <w:t>“</w:t>
      </w:r>
      <w:r w:rsidRPr="00E54E6C">
        <w:rPr>
          <w:b/>
          <w:bCs/>
          <w:sz w:val="22"/>
          <w:szCs w:val="22"/>
        </w:rPr>
        <w:t xml:space="preserve">15 </w:t>
      </w:r>
      <w:r w:rsidRPr="00E54E6C">
        <w:rPr>
          <w:b/>
          <w:bCs/>
          <w:sz w:val="22"/>
          <w:szCs w:val="22"/>
          <w:u w:val="single"/>
        </w:rPr>
        <w:t>Transfers of specified assets between companies under the same control</w:t>
      </w:r>
      <w:r w:rsidRPr="00E54E6C">
        <w:rPr>
          <w:b/>
          <w:bCs/>
          <w:sz w:val="22"/>
          <w:szCs w:val="22"/>
        </w:rPr>
        <w:t xml:space="preserve"> </w:t>
      </w:r>
    </w:p>
    <w:p w14:paraId="3E7EB626" w14:textId="7C290F21" w:rsidR="00D84E53" w:rsidRPr="00E54E6C" w:rsidRDefault="00D84E53" w:rsidP="00E54E6C">
      <w:pPr>
        <w:pStyle w:val="Default"/>
        <w:spacing w:after="240"/>
        <w:ind w:left="2160" w:hanging="720"/>
        <w:rPr>
          <w:sz w:val="22"/>
          <w:szCs w:val="22"/>
        </w:rPr>
      </w:pPr>
      <w:r w:rsidRPr="00E54E6C">
        <w:rPr>
          <w:sz w:val="22"/>
          <w:szCs w:val="22"/>
        </w:rPr>
        <w:t>[1]</w:t>
      </w:r>
      <w:r w:rsidRPr="00E54E6C">
        <w:rPr>
          <w:sz w:val="22"/>
          <w:szCs w:val="22"/>
        </w:rPr>
        <w:tab/>
        <w:t xml:space="preserve">If the ownership of any specified asset is transferred from one company to another in any of the following circumstances— </w:t>
      </w:r>
    </w:p>
    <w:p w14:paraId="0724BFBA" w14:textId="0A1E64AD" w:rsidR="00D84E53" w:rsidRPr="00E54E6C" w:rsidRDefault="00D84E53" w:rsidP="00E54E6C">
      <w:pPr>
        <w:pStyle w:val="Default"/>
        <w:spacing w:after="240"/>
        <w:ind w:left="1440" w:firstLine="720"/>
        <w:rPr>
          <w:sz w:val="22"/>
          <w:szCs w:val="22"/>
        </w:rPr>
      </w:pPr>
      <w:r w:rsidRPr="00E54E6C">
        <w:rPr>
          <w:sz w:val="22"/>
          <w:szCs w:val="22"/>
        </w:rPr>
        <w:t>[</w:t>
      </w:r>
      <w:proofErr w:type="gramStart"/>
      <w:r w:rsidRPr="00E54E6C">
        <w:rPr>
          <w:sz w:val="22"/>
          <w:szCs w:val="22"/>
        </w:rPr>
        <w:t>a</w:t>
      </w:r>
      <w:proofErr w:type="gramEnd"/>
      <w:r w:rsidRPr="00E54E6C">
        <w:rPr>
          <w:sz w:val="22"/>
          <w:szCs w:val="22"/>
        </w:rPr>
        <w:t>]</w:t>
      </w:r>
      <w:r w:rsidRPr="00E54E6C">
        <w:rPr>
          <w:sz w:val="22"/>
          <w:szCs w:val="22"/>
        </w:rPr>
        <w:tab/>
      </w:r>
      <w:r w:rsidR="00112F98" w:rsidRPr="00E54E6C">
        <w:rPr>
          <w:sz w:val="22"/>
          <w:szCs w:val="22"/>
        </w:rPr>
        <w:t>… … …</w:t>
      </w:r>
      <w:r w:rsidRPr="00E54E6C">
        <w:rPr>
          <w:sz w:val="22"/>
          <w:szCs w:val="22"/>
        </w:rPr>
        <w:t xml:space="preserve"> </w:t>
      </w:r>
    </w:p>
    <w:p w14:paraId="3ABD7014" w14:textId="1E0A795C" w:rsidR="00D84E53" w:rsidRPr="00E54E6C" w:rsidRDefault="00112F98" w:rsidP="00E54E6C">
      <w:pPr>
        <w:pStyle w:val="Default"/>
        <w:spacing w:after="240"/>
        <w:ind w:left="2880" w:hanging="720"/>
        <w:rPr>
          <w:sz w:val="22"/>
          <w:szCs w:val="22"/>
        </w:rPr>
      </w:pPr>
      <w:r w:rsidRPr="00E54E6C">
        <w:rPr>
          <w:sz w:val="22"/>
          <w:szCs w:val="22"/>
        </w:rPr>
        <w:t>[</w:t>
      </w:r>
      <w:r w:rsidR="00D84E53" w:rsidRPr="00E54E6C">
        <w:rPr>
          <w:sz w:val="22"/>
          <w:szCs w:val="22"/>
        </w:rPr>
        <w:t>b</w:t>
      </w:r>
      <w:r w:rsidRPr="00E54E6C">
        <w:rPr>
          <w:sz w:val="22"/>
          <w:szCs w:val="22"/>
        </w:rPr>
        <w:t>]</w:t>
      </w:r>
      <w:r w:rsidRPr="00E54E6C">
        <w:rPr>
          <w:sz w:val="22"/>
          <w:szCs w:val="22"/>
        </w:rPr>
        <w:tab/>
      </w:r>
      <w:r w:rsidR="00D84E53" w:rsidRPr="00E54E6C">
        <w:rPr>
          <w:sz w:val="22"/>
          <w:szCs w:val="22"/>
        </w:rPr>
        <w:t xml:space="preserve">the transfer is effected from one company to another </w:t>
      </w:r>
      <w:r w:rsidR="00D84E53" w:rsidRPr="00E54E6C">
        <w:rPr>
          <w:b/>
          <w:sz w:val="22"/>
          <w:szCs w:val="22"/>
          <w:u w:val="single"/>
        </w:rPr>
        <w:t>under the same control</w:t>
      </w:r>
      <w:r w:rsidR="00D84E53" w:rsidRPr="00E54E6C">
        <w:rPr>
          <w:sz w:val="22"/>
          <w:szCs w:val="22"/>
        </w:rPr>
        <w:t xml:space="preserve">, in the course of or in furtherance of a scheme of reconstruction </w:t>
      </w:r>
      <w:r w:rsidR="00D84E53" w:rsidRPr="00E54E6C">
        <w:rPr>
          <w:sz w:val="22"/>
          <w:szCs w:val="22"/>
        </w:rPr>
        <w:lastRenderedPageBreak/>
        <w:t xml:space="preserve">of a group of companies or a merger </w:t>
      </w:r>
      <w:r w:rsidR="00D84E53" w:rsidRPr="00324E0E">
        <w:rPr>
          <w:b/>
          <w:sz w:val="22"/>
          <w:szCs w:val="22"/>
          <w:u w:val="single"/>
        </w:rPr>
        <w:t>or other business operation which, in the opinion of the Commissioner, is of a similar nature</w:t>
      </w:r>
      <w:r w:rsidR="00D84E53" w:rsidRPr="00E54E6C">
        <w:rPr>
          <w:sz w:val="22"/>
          <w:szCs w:val="22"/>
        </w:rPr>
        <w:t xml:space="preserve">; or </w:t>
      </w:r>
    </w:p>
    <w:p w14:paraId="7F6B5D4E" w14:textId="3550DC68" w:rsidR="00D84E53" w:rsidRPr="00E54E6C" w:rsidRDefault="00D87D2A" w:rsidP="00E54E6C">
      <w:pPr>
        <w:pStyle w:val="Default"/>
        <w:spacing w:after="240"/>
        <w:ind w:left="1440" w:firstLine="720"/>
        <w:rPr>
          <w:color w:val="auto"/>
          <w:sz w:val="22"/>
          <w:szCs w:val="22"/>
        </w:rPr>
      </w:pPr>
      <w:r w:rsidRPr="00E54E6C">
        <w:rPr>
          <w:sz w:val="22"/>
          <w:szCs w:val="22"/>
        </w:rPr>
        <w:t>[</w:t>
      </w:r>
      <w:r w:rsidR="00D84E53" w:rsidRPr="00E54E6C">
        <w:rPr>
          <w:sz w:val="22"/>
          <w:szCs w:val="22"/>
        </w:rPr>
        <w:t>c</w:t>
      </w:r>
      <w:r w:rsidRPr="00E54E6C">
        <w:rPr>
          <w:sz w:val="22"/>
          <w:szCs w:val="22"/>
        </w:rPr>
        <w:t>]</w:t>
      </w:r>
      <w:r w:rsidRPr="00E54E6C">
        <w:rPr>
          <w:sz w:val="22"/>
          <w:szCs w:val="22"/>
        </w:rPr>
        <w:tab/>
        <w:t>… … …</w:t>
      </w:r>
      <w:r w:rsidR="00D84E53" w:rsidRPr="00E54E6C">
        <w:rPr>
          <w:color w:val="auto"/>
          <w:sz w:val="22"/>
          <w:szCs w:val="22"/>
        </w:rPr>
        <w:t xml:space="preserve">; </w:t>
      </w:r>
    </w:p>
    <w:p w14:paraId="54E77F4F" w14:textId="0B3BFDEF" w:rsidR="00D84E53" w:rsidRPr="00E54E6C" w:rsidRDefault="00D84E53" w:rsidP="00E54E6C">
      <w:pPr>
        <w:pStyle w:val="Default"/>
        <w:spacing w:after="240"/>
        <w:ind w:left="1440"/>
        <w:rPr>
          <w:color w:val="auto"/>
          <w:sz w:val="22"/>
          <w:szCs w:val="22"/>
        </w:rPr>
      </w:pPr>
      <w:r w:rsidRPr="00E54E6C">
        <w:rPr>
          <w:color w:val="auto"/>
          <w:sz w:val="22"/>
          <w:szCs w:val="22"/>
        </w:rPr>
        <w:t xml:space="preserve">the transferor and the transferee may elect that, notwithstanding the terms of any agreement of sale, the selling price of the asset shall, in relation to the transferor, be deemed, for the purposes of this Act, to be an amount equal to the sum of the deductions allowable to the transferor in respect of the specified asset in terms of paragraphs </w:t>
      </w:r>
      <w:r w:rsidR="00D87D2A" w:rsidRPr="00E54E6C">
        <w:rPr>
          <w:color w:val="auto"/>
          <w:sz w:val="22"/>
          <w:szCs w:val="22"/>
        </w:rPr>
        <w:t>[</w:t>
      </w:r>
      <w:r w:rsidRPr="00E54E6C">
        <w:rPr>
          <w:i/>
          <w:color w:val="auto"/>
          <w:sz w:val="22"/>
          <w:szCs w:val="22"/>
        </w:rPr>
        <w:t>a</w:t>
      </w:r>
      <w:r w:rsidR="00D87D2A" w:rsidRPr="00E54E6C">
        <w:rPr>
          <w:color w:val="auto"/>
          <w:sz w:val="22"/>
          <w:szCs w:val="22"/>
        </w:rPr>
        <w:t>]</w:t>
      </w:r>
      <w:r w:rsidRPr="00E54E6C">
        <w:rPr>
          <w:color w:val="auto"/>
          <w:sz w:val="22"/>
          <w:szCs w:val="22"/>
        </w:rPr>
        <w:t xml:space="preserve">, </w:t>
      </w:r>
      <w:r w:rsidR="00D87D2A" w:rsidRPr="00E54E6C">
        <w:rPr>
          <w:color w:val="auto"/>
          <w:sz w:val="22"/>
          <w:szCs w:val="22"/>
        </w:rPr>
        <w:t>[</w:t>
      </w:r>
      <w:r w:rsidRPr="00E54E6C">
        <w:rPr>
          <w:i/>
          <w:color w:val="auto"/>
          <w:sz w:val="22"/>
          <w:szCs w:val="22"/>
        </w:rPr>
        <w:t>b</w:t>
      </w:r>
      <w:r w:rsidR="00D87D2A" w:rsidRPr="00E54E6C">
        <w:rPr>
          <w:color w:val="auto"/>
          <w:sz w:val="22"/>
          <w:szCs w:val="22"/>
        </w:rPr>
        <w:t>]</w:t>
      </w:r>
      <w:r w:rsidRPr="00E54E6C">
        <w:rPr>
          <w:color w:val="auto"/>
          <w:sz w:val="22"/>
          <w:szCs w:val="22"/>
        </w:rPr>
        <w:t xml:space="preserve">, </w:t>
      </w:r>
      <w:r w:rsidR="00D87D2A" w:rsidRPr="00E54E6C">
        <w:rPr>
          <w:color w:val="auto"/>
          <w:sz w:val="22"/>
          <w:szCs w:val="22"/>
        </w:rPr>
        <w:t>[</w:t>
      </w:r>
      <w:r w:rsidR="00D87D2A" w:rsidRPr="00E54E6C">
        <w:rPr>
          <w:i/>
          <w:color w:val="auto"/>
          <w:sz w:val="22"/>
          <w:szCs w:val="22"/>
        </w:rPr>
        <w:t>c</w:t>
      </w:r>
      <w:r w:rsidR="00D87D2A" w:rsidRPr="00E54E6C">
        <w:rPr>
          <w:color w:val="auto"/>
          <w:sz w:val="22"/>
          <w:szCs w:val="22"/>
        </w:rPr>
        <w:t>]</w:t>
      </w:r>
      <w:r w:rsidRPr="00E54E6C">
        <w:rPr>
          <w:color w:val="auto"/>
          <w:sz w:val="22"/>
          <w:szCs w:val="22"/>
        </w:rPr>
        <w:t xml:space="preserve"> and </w:t>
      </w:r>
      <w:r w:rsidR="00D87D2A" w:rsidRPr="00E54E6C">
        <w:rPr>
          <w:color w:val="auto"/>
          <w:sz w:val="22"/>
          <w:szCs w:val="22"/>
        </w:rPr>
        <w:t>[</w:t>
      </w:r>
      <w:r w:rsidRPr="00E54E6C">
        <w:rPr>
          <w:i/>
          <w:color w:val="auto"/>
          <w:sz w:val="22"/>
          <w:szCs w:val="22"/>
        </w:rPr>
        <w:t>d</w:t>
      </w:r>
      <w:r w:rsidR="00D87D2A" w:rsidRPr="00E54E6C">
        <w:rPr>
          <w:color w:val="auto"/>
          <w:sz w:val="22"/>
          <w:szCs w:val="22"/>
        </w:rPr>
        <w:t>] of subsection [</w:t>
      </w:r>
      <w:r w:rsidRPr="00E54E6C">
        <w:rPr>
          <w:color w:val="auto"/>
          <w:sz w:val="22"/>
          <w:szCs w:val="22"/>
        </w:rPr>
        <w:t>2</w:t>
      </w:r>
      <w:r w:rsidR="00D87D2A" w:rsidRPr="00E54E6C">
        <w:rPr>
          <w:color w:val="auto"/>
          <w:sz w:val="22"/>
          <w:szCs w:val="22"/>
        </w:rPr>
        <w:t>]</w:t>
      </w:r>
      <w:r w:rsidRPr="00E54E6C">
        <w:rPr>
          <w:color w:val="auto"/>
          <w:sz w:val="22"/>
          <w:szCs w:val="22"/>
        </w:rPr>
        <w:t xml:space="preserve"> of section </w:t>
      </w:r>
      <w:r w:rsidRPr="00E54E6C">
        <w:rPr>
          <w:i/>
          <w:color w:val="auto"/>
          <w:sz w:val="22"/>
          <w:szCs w:val="22"/>
        </w:rPr>
        <w:t>eleven</w:t>
      </w:r>
      <w:r w:rsidRPr="00E54E6C">
        <w:rPr>
          <w:color w:val="auto"/>
          <w:sz w:val="22"/>
          <w:szCs w:val="22"/>
        </w:rPr>
        <w:t xml:space="preserve"> at the date of the transfer: </w:t>
      </w:r>
    </w:p>
    <w:p w14:paraId="500BCAD9" w14:textId="77777777" w:rsidR="00D84E53" w:rsidRPr="00E54E6C" w:rsidRDefault="00D84E53" w:rsidP="00E54E6C">
      <w:pPr>
        <w:pStyle w:val="Default"/>
        <w:spacing w:after="240"/>
        <w:ind w:left="720"/>
        <w:rPr>
          <w:color w:val="auto"/>
          <w:sz w:val="22"/>
          <w:szCs w:val="22"/>
        </w:rPr>
      </w:pPr>
      <w:r w:rsidRPr="00E54E6C">
        <w:rPr>
          <w:color w:val="auto"/>
          <w:sz w:val="22"/>
          <w:szCs w:val="22"/>
        </w:rPr>
        <w:t xml:space="preserve">Provided that, if the specified asset is subsequently sold, otherwise than to a company under the same control, the capital gain or capital loss in the hands of the seller shall be calculated as if the asset had at all times remained in the ownership of the first transferor in respect of whom the election was made in terms of this section. </w:t>
      </w:r>
    </w:p>
    <w:p w14:paraId="6F71B5CE" w14:textId="123B5D7C" w:rsidR="00D84E53" w:rsidRPr="00E54E6C" w:rsidRDefault="004F09C0" w:rsidP="00E54E6C">
      <w:pPr>
        <w:pStyle w:val="Default"/>
        <w:spacing w:after="240"/>
        <w:ind w:left="2160" w:hanging="720"/>
        <w:rPr>
          <w:color w:val="auto"/>
          <w:sz w:val="22"/>
          <w:szCs w:val="22"/>
        </w:rPr>
      </w:pPr>
      <w:r w:rsidRPr="00E54E6C">
        <w:rPr>
          <w:color w:val="auto"/>
          <w:sz w:val="22"/>
          <w:szCs w:val="22"/>
        </w:rPr>
        <w:t>[</w:t>
      </w:r>
      <w:r w:rsidR="00D84E53" w:rsidRPr="00E54E6C">
        <w:rPr>
          <w:color w:val="auto"/>
          <w:sz w:val="22"/>
          <w:szCs w:val="22"/>
        </w:rPr>
        <w:t>2</w:t>
      </w:r>
      <w:r w:rsidRPr="00E54E6C">
        <w:rPr>
          <w:color w:val="auto"/>
          <w:sz w:val="22"/>
          <w:szCs w:val="22"/>
        </w:rPr>
        <w:t>]</w:t>
      </w:r>
      <w:r w:rsidRPr="00E54E6C">
        <w:rPr>
          <w:color w:val="auto"/>
          <w:sz w:val="22"/>
          <w:szCs w:val="22"/>
        </w:rPr>
        <w:tab/>
      </w:r>
      <w:r w:rsidR="00D84E53" w:rsidRPr="00E54E6C">
        <w:rPr>
          <w:color w:val="auto"/>
          <w:sz w:val="22"/>
          <w:szCs w:val="22"/>
        </w:rPr>
        <w:t>Where in the circumst</w:t>
      </w:r>
      <w:r w:rsidRPr="00E54E6C">
        <w:rPr>
          <w:color w:val="auto"/>
          <w:sz w:val="22"/>
          <w:szCs w:val="22"/>
        </w:rPr>
        <w:t>ances referred to in paragraph [</w:t>
      </w:r>
      <w:r w:rsidR="00D84E53" w:rsidRPr="00E54E6C">
        <w:rPr>
          <w:i/>
          <w:iCs/>
          <w:color w:val="auto"/>
          <w:sz w:val="22"/>
          <w:szCs w:val="22"/>
        </w:rPr>
        <w:t>a</w:t>
      </w:r>
      <w:r w:rsidRPr="00E54E6C">
        <w:rPr>
          <w:color w:val="auto"/>
          <w:sz w:val="22"/>
          <w:szCs w:val="22"/>
        </w:rPr>
        <w:t>]</w:t>
      </w:r>
      <w:r w:rsidR="00D84E53" w:rsidRPr="00E54E6C">
        <w:rPr>
          <w:color w:val="auto"/>
          <w:sz w:val="22"/>
          <w:szCs w:val="22"/>
        </w:rPr>
        <w:t xml:space="preserve"> or </w:t>
      </w:r>
      <w:r w:rsidRPr="00E54E6C">
        <w:rPr>
          <w:color w:val="auto"/>
          <w:sz w:val="22"/>
          <w:szCs w:val="22"/>
        </w:rPr>
        <w:t>[</w:t>
      </w:r>
      <w:r w:rsidR="00D84E53" w:rsidRPr="00E54E6C">
        <w:rPr>
          <w:i/>
          <w:iCs/>
          <w:color w:val="auto"/>
          <w:sz w:val="22"/>
          <w:szCs w:val="22"/>
        </w:rPr>
        <w:t>b</w:t>
      </w:r>
      <w:r w:rsidRPr="00E54E6C">
        <w:rPr>
          <w:color w:val="auto"/>
          <w:sz w:val="22"/>
          <w:szCs w:val="22"/>
        </w:rPr>
        <w:t>]</w:t>
      </w:r>
      <w:r w:rsidR="00D84E53" w:rsidRPr="00E54E6C">
        <w:rPr>
          <w:color w:val="auto"/>
          <w:sz w:val="22"/>
          <w:szCs w:val="22"/>
        </w:rPr>
        <w:t xml:space="preserve"> of </w:t>
      </w:r>
      <w:r w:rsidRPr="00E54E6C">
        <w:rPr>
          <w:color w:val="auto"/>
          <w:sz w:val="22"/>
          <w:szCs w:val="22"/>
        </w:rPr>
        <w:t>subsection [</w:t>
      </w:r>
      <w:r w:rsidR="00D84E53" w:rsidRPr="00E54E6C">
        <w:rPr>
          <w:color w:val="auto"/>
          <w:sz w:val="22"/>
          <w:szCs w:val="22"/>
        </w:rPr>
        <w:t>1</w:t>
      </w:r>
      <w:r w:rsidRPr="00E54E6C">
        <w:rPr>
          <w:color w:val="auto"/>
          <w:sz w:val="22"/>
          <w:szCs w:val="22"/>
        </w:rPr>
        <w:t>]</w:t>
      </w:r>
      <w:r w:rsidR="00D84E53" w:rsidRPr="00E54E6C">
        <w:rPr>
          <w:color w:val="auto"/>
          <w:sz w:val="22"/>
          <w:szCs w:val="22"/>
        </w:rPr>
        <w:t xml:space="preserve">, a marketable security issued by a company involved in the scheme, merger or operation is transferred from one person to another for no cash consideration, in exchange for a marketable security issued by another such company, the transferor may elect that, notwithstanding the terms of any agreement of sale, the marketable security transferred by him shall be deemed to have been sold for an amount equal to the sum of the deductions allowable to him at the date of transfer in terms of paragraphs </w:t>
      </w:r>
      <w:r w:rsidRPr="00E54E6C">
        <w:rPr>
          <w:color w:val="auto"/>
          <w:sz w:val="22"/>
          <w:szCs w:val="22"/>
        </w:rPr>
        <w:t>[</w:t>
      </w:r>
      <w:r w:rsidR="00D84E53" w:rsidRPr="00E54E6C">
        <w:rPr>
          <w:i/>
          <w:iCs/>
          <w:color w:val="auto"/>
          <w:sz w:val="22"/>
          <w:szCs w:val="22"/>
        </w:rPr>
        <w:t>a</w:t>
      </w:r>
      <w:r w:rsidRPr="00E54E6C">
        <w:rPr>
          <w:color w:val="auto"/>
          <w:sz w:val="22"/>
          <w:szCs w:val="22"/>
        </w:rPr>
        <w:t>]</w:t>
      </w:r>
      <w:r w:rsidR="00D84E53" w:rsidRPr="00E54E6C">
        <w:rPr>
          <w:color w:val="auto"/>
          <w:sz w:val="22"/>
          <w:szCs w:val="22"/>
        </w:rPr>
        <w:t xml:space="preserve">, </w:t>
      </w:r>
      <w:r w:rsidRPr="00E54E6C">
        <w:rPr>
          <w:color w:val="auto"/>
          <w:sz w:val="22"/>
          <w:szCs w:val="22"/>
        </w:rPr>
        <w:t>[</w:t>
      </w:r>
      <w:r w:rsidR="00D84E53" w:rsidRPr="00E54E6C">
        <w:rPr>
          <w:i/>
          <w:iCs/>
          <w:color w:val="auto"/>
          <w:sz w:val="22"/>
          <w:szCs w:val="22"/>
        </w:rPr>
        <w:t>b</w:t>
      </w:r>
      <w:r w:rsidRPr="00E54E6C">
        <w:rPr>
          <w:color w:val="auto"/>
          <w:sz w:val="22"/>
          <w:szCs w:val="22"/>
        </w:rPr>
        <w:t>]</w:t>
      </w:r>
      <w:r w:rsidR="00D84E53" w:rsidRPr="00E54E6C">
        <w:rPr>
          <w:color w:val="auto"/>
          <w:sz w:val="22"/>
          <w:szCs w:val="22"/>
        </w:rPr>
        <w:t xml:space="preserve">, </w:t>
      </w:r>
      <w:r w:rsidRPr="00E54E6C">
        <w:rPr>
          <w:color w:val="auto"/>
          <w:sz w:val="22"/>
          <w:szCs w:val="22"/>
        </w:rPr>
        <w:t>[</w:t>
      </w:r>
      <w:r w:rsidR="00D84E53" w:rsidRPr="00E54E6C">
        <w:rPr>
          <w:i/>
          <w:iCs/>
          <w:color w:val="auto"/>
          <w:sz w:val="22"/>
          <w:szCs w:val="22"/>
        </w:rPr>
        <w:t>c</w:t>
      </w:r>
      <w:r w:rsidRPr="00E54E6C">
        <w:rPr>
          <w:color w:val="auto"/>
          <w:sz w:val="22"/>
          <w:szCs w:val="22"/>
        </w:rPr>
        <w:t>]</w:t>
      </w:r>
      <w:r w:rsidR="00D84E53" w:rsidRPr="00E54E6C">
        <w:rPr>
          <w:color w:val="auto"/>
          <w:sz w:val="22"/>
          <w:szCs w:val="22"/>
        </w:rPr>
        <w:t xml:space="preserve"> and </w:t>
      </w:r>
      <w:r w:rsidRPr="00E54E6C">
        <w:rPr>
          <w:color w:val="auto"/>
          <w:sz w:val="22"/>
          <w:szCs w:val="22"/>
        </w:rPr>
        <w:t>[</w:t>
      </w:r>
      <w:r w:rsidR="00D84E53" w:rsidRPr="00E54E6C">
        <w:rPr>
          <w:i/>
          <w:iCs/>
          <w:color w:val="auto"/>
          <w:sz w:val="22"/>
          <w:szCs w:val="22"/>
        </w:rPr>
        <w:t>d</w:t>
      </w:r>
      <w:r w:rsidRPr="00E54E6C">
        <w:rPr>
          <w:color w:val="auto"/>
          <w:sz w:val="22"/>
          <w:szCs w:val="22"/>
        </w:rPr>
        <w:t>] of subsection [2]</w:t>
      </w:r>
      <w:r w:rsidR="00D84E53" w:rsidRPr="00E54E6C">
        <w:rPr>
          <w:color w:val="auto"/>
          <w:sz w:val="22"/>
          <w:szCs w:val="22"/>
        </w:rPr>
        <w:t xml:space="preserve"> of section </w:t>
      </w:r>
      <w:r w:rsidR="00D84E53" w:rsidRPr="00E54E6C">
        <w:rPr>
          <w:i/>
          <w:iCs/>
          <w:color w:val="auto"/>
          <w:sz w:val="22"/>
          <w:szCs w:val="22"/>
        </w:rPr>
        <w:t xml:space="preserve">eleven </w:t>
      </w:r>
      <w:r w:rsidR="00D84E53" w:rsidRPr="00E54E6C">
        <w:rPr>
          <w:color w:val="auto"/>
          <w:sz w:val="22"/>
          <w:szCs w:val="22"/>
        </w:rPr>
        <w:t xml:space="preserve">in respect of the </w:t>
      </w:r>
      <w:r w:rsidRPr="00E54E6C">
        <w:rPr>
          <w:color w:val="auto"/>
          <w:sz w:val="22"/>
          <w:szCs w:val="22"/>
        </w:rPr>
        <w:t>m</w:t>
      </w:r>
      <w:r w:rsidR="00D84E53" w:rsidRPr="00E54E6C">
        <w:rPr>
          <w:color w:val="auto"/>
          <w:sz w:val="22"/>
          <w:szCs w:val="22"/>
        </w:rPr>
        <w:t xml:space="preserve">arketable security transferred by him. </w:t>
      </w:r>
    </w:p>
    <w:p w14:paraId="43C01478" w14:textId="4BACAB8A" w:rsidR="00D84E53" w:rsidRPr="00D84E53" w:rsidRDefault="004F09C0" w:rsidP="004F09C0">
      <w:pPr>
        <w:pStyle w:val="Default"/>
        <w:spacing w:after="240" w:line="360" w:lineRule="auto"/>
        <w:ind w:left="2160" w:hanging="720"/>
      </w:pPr>
      <w:r w:rsidRPr="00E54E6C">
        <w:rPr>
          <w:color w:val="auto"/>
          <w:sz w:val="22"/>
          <w:szCs w:val="22"/>
        </w:rPr>
        <w:t>[</w:t>
      </w:r>
      <w:r w:rsidR="00D84E53" w:rsidRPr="00E54E6C">
        <w:rPr>
          <w:color w:val="auto"/>
          <w:sz w:val="22"/>
          <w:szCs w:val="22"/>
        </w:rPr>
        <w:t>3</w:t>
      </w:r>
      <w:r w:rsidRPr="00E54E6C">
        <w:rPr>
          <w:color w:val="auto"/>
          <w:sz w:val="22"/>
          <w:szCs w:val="22"/>
        </w:rPr>
        <w:t>]</w:t>
      </w:r>
      <w:r w:rsidRPr="00E54E6C">
        <w:rPr>
          <w:color w:val="auto"/>
          <w:sz w:val="22"/>
          <w:szCs w:val="22"/>
        </w:rPr>
        <w:tab/>
        <w:t>… … …</w:t>
      </w:r>
      <w:r w:rsidR="00E54E6C">
        <w:rPr>
          <w:color w:val="auto"/>
        </w:rPr>
        <w:t>”</w:t>
      </w:r>
    </w:p>
    <w:p w14:paraId="5F8E90E1" w14:textId="599B3170" w:rsidR="004F09C0" w:rsidRDefault="004F09C0" w:rsidP="00164B03">
      <w:pPr>
        <w:pStyle w:val="NormalWeb"/>
        <w:spacing w:before="0" w:beforeAutospacing="0" w:after="240" w:afterAutospacing="0" w:line="360" w:lineRule="auto"/>
        <w:ind w:left="720" w:hanging="720"/>
        <w:jc w:val="both"/>
        <w:rPr>
          <w:color w:val="000000"/>
        </w:rPr>
      </w:pPr>
      <w:r>
        <w:rPr>
          <w:color w:val="000000"/>
        </w:rPr>
        <w:t>[</w:t>
      </w:r>
      <w:r w:rsidR="00324E0E">
        <w:rPr>
          <w:color w:val="000000"/>
        </w:rPr>
        <w:t>3</w:t>
      </w:r>
      <w:r>
        <w:rPr>
          <w:color w:val="000000"/>
        </w:rPr>
        <w:t>]</w:t>
      </w:r>
      <w:r>
        <w:rPr>
          <w:color w:val="000000"/>
        </w:rPr>
        <w:tab/>
        <w:t>Debunked to simple conversational</w:t>
      </w:r>
      <w:r w:rsidR="00F6798A">
        <w:rPr>
          <w:color w:val="000000"/>
        </w:rPr>
        <w:t xml:space="preserve"> language</w:t>
      </w:r>
      <w:r>
        <w:rPr>
          <w:color w:val="000000"/>
        </w:rPr>
        <w:t xml:space="preserve">, s 15 </w:t>
      </w:r>
      <w:r w:rsidR="00F6798A">
        <w:rPr>
          <w:color w:val="000000"/>
        </w:rPr>
        <w:t>of the Act</w:t>
      </w:r>
      <w:r w:rsidR="007F5D28">
        <w:rPr>
          <w:color w:val="000000"/>
        </w:rPr>
        <w:t xml:space="preserve">, as read with s 11 that is referred to therein, are </w:t>
      </w:r>
      <w:r w:rsidR="00164B03">
        <w:rPr>
          <w:color w:val="000000"/>
        </w:rPr>
        <w:t>allowing the deferment of payment of capital gains tax in circumstances in which, among other things, a specified asset, in this case, shares, are transferred from one company to another</w:t>
      </w:r>
      <w:r w:rsidR="005454E1">
        <w:rPr>
          <w:color w:val="000000"/>
        </w:rPr>
        <w:t>, in a reconstruction or merger or other similar mechanism</w:t>
      </w:r>
      <w:r w:rsidR="006E1835">
        <w:rPr>
          <w:color w:val="000000"/>
        </w:rPr>
        <w:t>,</w:t>
      </w:r>
      <w:r w:rsidR="005454E1">
        <w:rPr>
          <w:color w:val="000000"/>
        </w:rPr>
        <w:t xml:space="preserve"> where</w:t>
      </w:r>
      <w:r w:rsidR="00164B03">
        <w:rPr>
          <w:color w:val="000000"/>
        </w:rPr>
        <w:t xml:space="preserve"> the </w:t>
      </w:r>
      <w:r w:rsidR="00EF0A51">
        <w:rPr>
          <w:color w:val="000000"/>
        </w:rPr>
        <w:t>two are under the same control</w:t>
      </w:r>
      <w:r>
        <w:rPr>
          <w:color w:val="000000"/>
        </w:rPr>
        <w:t xml:space="preserve">.  </w:t>
      </w:r>
    </w:p>
    <w:p w14:paraId="2D43606E" w14:textId="77C4282B" w:rsidR="00F6798A" w:rsidRDefault="00F6798A" w:rsidP="00F6798A">
      <w:pPr>
        <w:pStyle w:val="NormalWeb"/>
        <w:spacing w:before="0" w:beforeAutospacing="0" w:after="240" w:afterAutospacing="0" w:line="360" w:lineRule="auto"/>
        <w:ind w:left="720" w:hanging="720"/>
        <w:jc w:val="both"/>
        <w:rPr>
          <w:color w:val="000000"/>
        </w:rPr>
      </w:pPr>
      <w:r>
        <w:rPr>
          <w:color w:val="000000"/>
        </w:rPr>
        <w:t>[</w:t>
      </w:r>
      <w:r w:rsidR="00324E0E">
        <w:rPr>
          <w:color w:val="000000"/>
        </w:rPr>
        <w:t>4</w:t>
      </w:r>
      <w:r>
        <w:rPr>
          <w:color w:val="000000"/>
        </w:rPr>
        <w:t>]</w:t>
      </w:r>
      <w:r>
        <w:rPr>
          <w:color w:val="000000"/>
        </w:rPr>
        <w:tab/>
      </w:r>
      <w:r w:rsidRPr="00D84E53">
        <w:rPr>
          <w:color w:val="000000"/>
        </w:rPr>
        <w:t xml:space="preserve">This </w:t>
      </w:r>
      <w:r>
        <w:rPr>
          <w:color w:val="000000"/>
        </w:rPr>
        <w:t xml:space="preserve">case </w:t>
      </w:r>
      <w:r w:rsidRPr="00D84E53">
        <w:rPr>
          <w:color w:val="000000"/>
        </w:rPr>
        <w:t xml:space="preserve">is an appeal against </w:t>
      </w:r>
      <w:r>
        <w:rPr>
          <w:color w:val="000000"/>
        </w:rPr>
        <w:t xml:space="preserve">a certain </w:t>
      </w:r>
      <w:r w:rsidRPr="00D84E53">
        <w:rPr>
          <w:color w:val="000000"/>
        </w:rPr>
        <w:t xml:space="preserve">decision </w:t>
      </w:r>
      <w:r>
        <w:rPr>
          <w:color w:val="000000"/>
        </w:rPr>
        <w:t xml:space="preserve">by the respondent concerning the deferment of payment of capital </w:t>
      </w:r>
      <w:r w:rsidR="00A77398">
        <w:rPr>
          <w:color w:val="000000"/>
        </w:rPr>
        <w:t xml:space="preserve">gains </w:t>
      </w:r>
      <w:r>
        <w:rPr>
          <w:color w:val="000000"/>
        </w:rPr>
        <w:t>tax by appellant</w:t>
      </w:r>
      <w:r w:rsidR="00CC1FE0">
        <w:rPr>
          <w:color w:val="000000"/>
        </w:rPr>
        <w:t>s</w:t>
      </w:r>
      <w:r>
        <w:rPr>
          <w:color w:val="000000"/>
        </w:rPr>
        <w:t xml:space="preserve"> 2 and 3 in respect of certain shares transferred by them to </w:t>
      </w:r>
      <w:r w:rsidR="00CC1FE0">
        <w:rPr>
          <w:color w:val="000000"/>
        </w:rPr>
        <w:t xml:space="preserve">the first </w:t>
      </w:r>
      <w:r>
        <w:rPr>
          <w:color w:val="000000"/>
        </w:rPr>
        <w:t xml:space="preserve">appellant. </w:t>
      </w:r>
    </w:p>
    <w:p w14:paraId="5A3C168B" w14:textId="746FC439" w:rsidR="00F6798A" w:rsidRDefault="00F6798A" w:rsidP="00F6798A">
      <w:pPr>
        <w:pStyle w:val="NormalWeb"/>
        <w:spacing w:before="0" w:beforeAutospacing="0" w:after="240" w:afterAutospacing="0" w:line="360" w:lineRule="auto"/>
        <w:ind w:left="720" w:hanging="720"/>
        <w:jc w:val="both"/>
        <w:rPr>
          <w:color w:val="000000"/>
        </w:rPr>
      </w:pPr>
      <w:r>
        <w:rPr>
          <w:color w:val="000000"/>
        </w:rPr>
        <w:lastRenderedPageBreak/>
        <w:t>[</w:t>
      </w:r>
      <w:r w:rsidR="00324E0E">
        <w:rPr>
          <w:color w:val="000000"/>
        </w:rPr>
        <w:t>5</w:t>
      </w:r>
      <w:r>
        <w:rPr>
          <w:color w:val="000000"/>
        </w:rPr>
        <w:t>]</w:t>
      </w:r>
      <w:r>
        <w:rPr>
          <w:color w:val="000000"/>
        </w:rPr>
        <w:tab/>
        <w:t xml:space="preserve">Relying on the provisions of s 15 aforesaid, the appellants argue </w:t>
      </w:r>
      <w:r w:rsidR="001856BE">
        <w:rPr>
          <w:color w:val="000000"/>
        </w:rPr>
        <w:t xml:space="preserve">that </w:t>
      </w:r>
      <w:r>
        <w:rPr>
          <w:color w:val="000000"/>
        </w:rPr>
        <w:t>they were entitled to defer</w:t>
      </w:r>
      <w:r w:rsidR="00A77398">
        <w:rPr>
          <w:color w:val="000000"/>
        </w:rPr>
        <w:t xml:space="preserve"> the capital gains tax</w:t>
      </w:r>
      <w:r>
        <w:rPr>
          <w:color w:val="000000"/>
        </w:rPr>
        <w:t xml:space="preserve">. Relying on the same provisions, the respondent argues </w:t>
      </w:r>
      <w:r w:rsidR="001856BE">
        <w:rPr>
          <w:color w:val="000000"/>
        </w:rPr>
        <w:t xml:space="preserve">that </w:t>
      </w:r>
      <w:r>
        <w:rPr>
          <w:color w:val="000000"/>
        </w:rPr>
        <w:t xml:space="preserve">they were not. </w:t>
      </w:r>
    </w:p>
    <w:p w14:paraId="21F1435A" w14:textId="1FF139F1" w:rsidR="00F6798A" w:rsidRPr="00E67996" w:rsidRDefault="00F6798A" w:rsidP="00F6798A">
      <w:pPr>
        <w:pStyle w:val="NormalWeb"/>
        <w:spacing w:before="0" w:beforeAutospacing="0" w:after="240" w:afterAutospacing="0" w:line="360" w:lineRule="auto"/>
        <w:ind w:left="720" w:hanging="720"/>
        <w:jc w:val="both"/>
      </w:pPr>
      <w:r>
        <w:rPr>
          <w:color w:val="000000"/>
        </w:rPr>
        <w:t>[</w:t>
      </w:r>
      <w:r w:rsidR="00324E0E">
        <w:rPr>
          <w:color w:val="000000"/>
        </w:rPr>
        <w:t>6</w:t>
      </w:r>
      <w:r>
        <w:rPr>
          <w:color w:val="000000"/>
        </w:rPr>
        <w:t>]</w:t>
      </w:r>
      <w:r>
        <w:rPr>
          <w:color w:val="000000"/>
        </w:rPr>
        <w:tab/>
        <w:t>“</w:t>
      </w:r>
      <w:r w:rsidRPr="00A77398">
        <w:rPr>
          <w:i/>
          <w:color w:val="000000"/>
        </w:rPr>
        <w:t>To be</w:t>
      </w:r>
      <w:r w:rsidR="003400FF">
        <w:rPr>
          <w:i/>
          <w:color w:val="000000"/>
        </w:rPr>
        <w:t>,</w:t>
      </w:r>
      <w:r w:rsidRPr="00A77398">
        <w:rPr>
          <w:i/>
          <w:color w:val="000000"/>
        </w:rPr>
        <w:t xml:space="preserve"> or not to be</w:t>
      </w:r>
      <w:r w:rsidR="003400FF">
        <w:rPr>
          <w:i/>
          <w:color w:val="000000"/>
        </w:rPr>
        <w:t>:</w:t>
      </w:r>
      <w:r w:rsidRPr="00A77398">
        <w:rPr>
          <w:i/>
          <w:color w:val="000000"/>
        </w:rPr>
        <w:t xml:space="preserve"> that is the question</w:t>
      </w:r>
      <w:r w:rsidR="003400FF">
        <w:rPr>
          <w:i/>
          <w:color w:val="000000"/>
        </w:rPr>
        <w:t>,</w:t>
      </w:r>
      <w:r>
        <w:rPr>
          <w:color w:val="000000"/>
        </w:rPr>
        <w:t xml:space="preserve">” </w:t>
      </w:r>
      <w:r w:rsidR="003400FF">
        <w:rPr>
          <w:color w:val="000000"/>
        </w:rPr>
        <w:t xml:space="preserve">says </w:t>
      </w:r>
      <w:r w:rsidRPr="00A77398">
        <w:rPr>
          <w:color w:val="000000"/>
          <w:sz w:val="20"/>
          <w:szCs w:val="20"/>
        </w:rPr>
        <w:t>WILLIAM SHAKESPEARE</w:t>
      </w:r>
      <w:r>
        <w:rPr>
          <w:color w:val="000000"/>
        </w:rPr>
        <w:t xml:space="preserve"> in the play </w:t>
      </w:r>
      <w:r w:rsidRPr="00A77398">
        <w:rPr>
          <w:i/>
          <w:color w:val="000000"/>
        </w:rPr>
        <w:t>Hamlet</w:t>
      </w:r>
      <w:r w:rsidR="00A77398">
        <w:rPr>
          <w:color w:val="000000"/>
        </w:rPr>
        <w:t>.</w:t>
      </w:r>
      <w:r w:rsidR="003400FF" w:rsidRPr="00795242">
        <w:t xml:space="preserve"> </w:t>
      </w:r>
      <w:r w:rsidR="003400FF">
        <w:rPr>
          <w:color w:val="000000"/>
        </w:rPr>
        <w:t>Were the appellant</w:t>
      </w:r>
      <w:r w:rsidR="00CC1FE0">
        <w:rPr>
          <w:color w:val="000000"/>
        </w:rPr>
        <w:t>s</w:t>
      </w:r>
      <w:r w:rsidR="003400FF">
        <w:rPr>
          <w:color w:val="000000"/>
        </w:rPr>
        <w:t xml:space="preserve"> entitled</w:t>
      </w:r>
      <w:r w:rsidR="00324E0E">
        <w:rPr>
          <w:color w:val="000000"/>
        </w:rPr>
        <w:t xml:space="preserve"> to defer</w:t>
      </w:r>
      <w:r w:rsidR="003400FF">
        <w:rPr>
          <w:color w:val="000000"/>
        </w:rPr>
        <w:t xml:space="preserve">, or not entitled </w:t>
      </w:r>
      <w:r w:rsidR="00A77398">
        <w:rPr>
          <w:color w:val="000000"/>
        </w:rPr>
        <w:t xml:space="preserve">to defer, that </w:t>
      </w:r>
      <w:r w:rsidR="003400FF">
        <w:rPr>
          <w:color w:val="000000"/>
        </w:rPr>
        <w:t xml:space="preserve">is </w:t>
      </w:r>
      <w:r w:rsidR="00A77398">
        <w:rPr>
          <w:color w:val="000000"/>
        </w:rPr>
        <w:t xml:space="preserve">the question. </w:t>
      </w:r>
    </w:p>
    <w:p w14:paraId="22199AF4" w14:textId="10C4A231" w:rsidR="00A77398" w:rsidRPr="00E67996" w:rsidRDefault="00A77398" w:rsidP="00A77398">
      <w:pPr>
        <w:pStyle w:val="NormalWeb"/>
        <w:spacing w:before="240" w:beforeAutospacing="0" w:after="160" w:afterAutospacing="0" w:line="360" w:lineRule="auto"/>
        <w:jc w:val="both"/>
      </w:pPr>
      <w:proofErr w:type="gramStart"/>
      <w:r>
        <w:rPr>
          <w:b/>
          <w:bCs/>
          <w:color w:val="000000"/>
        </w:rPr>
        <w:t>b</w:t>
      </w:r>
      <w:proofErr w:type="gramEnd"/>
      <w:r>
        <w:rPr>
          <w:b/>
          <w:bCs/>
          <w:color w:val="000000"/>
        </w:rPr>
        <w:tab/>
      </w:r>
      <w:r w:rsidR="003400FF">
        <w:rPr>
          <w:b/>
          <w:bCs/>
          <w:color w:val="000000"/>
        </w:rPr>
        <w:t>Factual matrix</w:t>
      </w:r>
    </w:p>
    <w:p w14:paraId="3E062C6C" w14:textId="1C86807C" w:rsidR="00E53B96" w:rsidRDefault="00A77398" w:rsidP="00A77398">
      <w:pPr>
        <w:pStyle w:val="NormalWeb"/>
        <w:spacing w:before="240" w:beforeAutospacing="0" w:after="160" w:afterAutospacing="0" w:line="360" w:lineRule="auto"/>
        <w:ind w:left="720" w:hanging="720"/>
        <w:jc w:val="both"/>
        <w:rPr>
          <w:color w:val="000000"/>
        </w:rPr>
      </w:pPr>
      <w:r>
        <w:rPr>
          <w:color w:val="000000"/>
        </w:rPr>
        <w:t>[</w:t>
      </w:r>
      <w:r w:rsidR="00324E0E">
        <w:rPr>
          <w:color w:val="000000"/>
        </w:rPr>
        <w:t>7</w:t>
      </w:r>
      <w:r>
        <w:rPr>
          <w:color w:val="000000"/>
        </w:rPr>
        <w:t>]</w:t>
      </w:r>
      <w:r>
        <w:rPr>
          <w:color w:val="000000"/>
        </w:rPr>
        <w:tab/>
        <w:t xml:space="preserve">In the beginning there were four companies. In the end there were still four companies, all private entities, liable for, among other things, all kinds of taxes, including capital gains tax </w:t>
      </w:r>
      <w:r w:rsidR="00E53B96">
        <w:rPr>
          <w:color w:val="000000"/>
        </w:rPr>
        <w:t>where it is due.</w:t>
      </w:r>
    </w:p>
    <w:p w14:paraId="10ADAFCF" w14:textId="4333590D" w:rsidR="00E53B96" w:rsidRDefault="00E53B96" w:rsidP="00A77398">
      <w:pPr>
        <w:pStyle w:val="NormalWeb"/>
        <w:spacing w:before="240" w:beforeAutospacing="0" w:after="160" w:afterAutospacing="0" w:line="360" w:lineRule="auto"/>
        <w:ind w:left="720" w:hanging="720"/>
        <w:jc w:val="both"/>
        <w:rPr>
          <w:color w:val="000000"/>
        </w:rPr>
      </w:pPr>
      <w:r>
        <w:rPr>
          <w:color w:val="000000"/>
        </w:rPr>
        <w:t>[</w:t>
      </w:r>
      <w:r w:rsidR="00324E0E">
        <w:rPr>
          <w:color w:val="000000"/>
        </w:rPr>
        <w:t>8</w:t>
      </w:r>
      <w:r>
        <w:rPr>
          <w:color w:val="000000"/>
        </w:rPr>
        <w:t>]</w:t>
      </w:r>
      <w:r>
        <w:rPr>
          <w:color w:val="000000"/>
        </w:rPr>
        <w:tab/>
        <w:t xml:space="preserve">The four companies </w:t>
      </w:r>
      <w:r w:rsidR="003400FF">
        <w:rPr>
          <w:color w:val="000000"/>
        </w:rPr>
        <w:t>in question w</w:t>
      </w:r>
      <w:r>
        <w:rPr>
          <w:color w:val="000000"/>
        </w:rPr>
        <w:t xml:space="preserve">ere Padenga Holdings Limited, </w:t>
      </w:r>
      <w:r w:rsidR="003400FF">
        <w:rPr>
          <w:color w:val="000000"/>
        </w:rPr>
        <w:t xml:space="preserve">which is </w:t>
      </w:r>
      <w:r>
        <w:rPr>
          <w:color w:val="000000"/>
        </w:rPr>
        <w:t>the fi</w:t>
      </w:r>
      <w:r w:rsidR="003400FF">
        <w:rPr>
          <w:color w:val="000000"/>
        </w:rPr>
        <w:t>r</w:t>
      </w:r>
      <w:r>
        <w:rPr>
          <w:color w:val="000000"/>
        </w:rPr>
        <w:t>st appellant</w:t>
      </w:r>
      <w:r w:rsidR="003400FF">
        <w:rPr>
          <w:color w:val="000000"/>
        </w:rPr>
        <w:t xml:space="preserve"> herein</w:t>
      </w:r>
      <w:r>
        <w:rPr>
          <w:color w:val="000000"/>
        </w:rPr>
        <w:t xml:space="preserve">, Ronquil Enterprises [Private] Limited, the second appellant, Grayfox Investments [Private] Limited, the third </w:t>
      </w:r>
      <w:r w:rsidR="00CC1FE0">
        <w:rPr>
          <w:color w:val="000000"/>
        </w:rPr>
        <w:t>appellan</w:t>
      </w:r>
      <w:r>
        <w:rPr>
          <w:color w:val="000000"/>
        </w:rPr>
        <w:t>t</w:t>
      </w:r>
      <w:r w:rsidR="00CC1FE0">
        <w:rPr>
          <w:color w:val="000000"/>
        </w:rPr>
        <w:t>,</w:t>
      </w:r>
      <w:r>
        <w:rPr>
          <w:color w:val="000000"/>
        </w:rPr>
        <w:t xml:space="preserve"> and </w:t>
      </w:r>
      <w:r w:rsidR="003400FF">
        <w:rPr>
          <w:color w:val="000000"/>
        </w:rPr>
        <w:t xml:space="preserve">a company called </w:t>
      </w:r>
      <w:r>
        <w:rPr>
          <w:color w:val="000000"/>
        </w:rPr>
        <w:t>Dallaglio Investments [Private] Limited</w:t>
      </w:r>
      <w:r w:rsidR="005E4264">
        <w:rPr>
          <w:color w:val="000000"/>
        </w:rPr>
        <w:t xml:space="preserve"> [“</w:t>
      </w:r>
      <w:r w:rsidR="005E4264" w:rsidRPr="005E4264">
        <w:rPr>
          <w:b/>
          <w:i/>
          <w:color w:val="000000"/>
        </w:rPr>
        <w:t>Dallaglio</w:t>
      </w:r>
      <w:r w:rsidR="005E4264">
        <w:rPr>
          <w:color w:val="000000"/>
        </w:rPr>
        <w:t>”]</w:t>
      </w:r>
      <w:r w:rsidR="003400FF">
        <w:rPr>
          <w:color w:val="000000"/>
        </w:rPr>
        <w:t>, which is not cited</w:t>
      </w:r>
      <w:r>
        <w:rPr>
          <w:color w:val="000000"/>
        </w:rPr>
        <w:t>.</w:t>
      </w:r>
    </w:p>
    <w:p w14:paraId="604918D0" w14:textId="55D4C9D2" w:rsidR="00E53B96" w:rsidRDefault="00A77398" w:rsidP="00A77398">
      <w:pPr>
        <w:pStyle w:val="NormalWeb"/>
        <w:spacing w:before="240" w:beforeAutospacing="0" w:after="160" w:afterAutospacing="0" w:line="360" w:lineRule="auto"/>
        <w:ind w:left="720" w:hanging="720"/>
        <w:jc w:val="both"/>
        <w:rPr>
          <w:color w:val="000000"/>
        </w:rPr>
      </w:pPr>
      <w:r>
        <w:rPr>
          <w:color w:val="000000"/>
        </w:rPr>
        <w:t xml:space="preserve"> </w:t>
      </w:r>
      <w:r w:rsidR="00E53B96">
        <w:rPr>
          <w:color w:val="000000"/>
        </w:rPr>
        <w:t>[</w:t>
      </w:r>
      <w:r w:rsidR="00324E0E">
        <w:rPr>
          <w:color w:val="000000"/>
        </w:rPr>
        <w:t>9</w:t>
      </w:r>
      <w:r w:rsidR="00E53B96">
        <w:rPr>
          <w:color w:val="000000"/>
        </w:rPr>
        <w:t>]</w:t>
      </w:r>
      <w:r w:rsidR="00E53B96">
        <w:rPr>
          <w:color w:val="000000"/>
        </w:rPr>
        <w:tab/>
        <w:t xml:space="preserve">The respondent </w:t>
      </w:r>
      <w:r w:rsidR="006A4CD8">
        <w:rPr>
          <w:color w:val="000000"/>
        </w:rPr>
        <w:t xml:space="preserve">is the central collector of revenue for </w:t>
      </w:r>
      <w:r w:rsidR="00AD2574">
        <w:rPr>
          <w:color w:val="000000"/>
        </w:rPr>
        <w:t xml:space="preserve">Government. It </w:t>
      </w:r>
      <w:r w:rsidR="00E53B96">
        <w:rPr>
          <w:color w:val="000000"/>
        </w:rPr>
        <w:t xml:space="preserve">has taken issue with the involvement of the first appellant in this appeal. It says the first appellant has no business being cited as an appellant because the dispute concerns the liability of appellants </w:t>
      </w:r>
      <w:r w:rsidR="00AD2574">
        <w:rPr>
          <w:color w:val="000000"/>
        </w:rPr>
        <w:t>2</w:t>
      </w:r>
      <w:r w:rsidR="00E53B96">
        <w:rPr>
          <w:color w:val="000000"/>
        </w:rPr>
        <w:t xml:space="preserve"> and </w:t>
      </w:r>
      <w:r w:rsidR="00AD2574">
        <w:rPr>
          <w:color w:val="000000"/>
        </w:rPr>
        <w:t>3</w:t>
      </w:r>
      <w:r w:rsidR="00E53B96">
        <w:rPr>
          <w:color w:val="000000"/>
        </w:rPr>
        <w:t xml:space="preserve"> only in regards to their liability for capital gains tax in respect of the transactions</w:t>
      </w:r>
      <w:r w:rsidR="00AD2574">
        <w:rPr>
          <w:color w:val="000000"/>
        </w:rPr>
        <w:t xml:space="preserve"> in question</w:t>
      </w:r>
      <w:r w:rsidR="00E53B96">
        <w:rPr>
          <w:color w:val="000000"/>
        </w:rPr>
        <w:t xml:space="preserve">. </w:t>
      </w:r>
    </w:p>
    <w:p w14:paraId="28726D1C" w14:textId="5DBA4402" w:rsidR="005E4264" w:rsidRDefault="00E53B96" w:rsidP="00A77398">
      <w:pPr>
        <w:pStyle w:val="NormalWeb"/>
        <w:spacing w:before="240" w:beforeAutospacing="0" w:after="160" w:afterAutospacing="0" w:line="360" w:lineRule="auto"/>
        <w:ind w:left="720" w:hanging="720"/>
        <w:jc w:val="both"/>
        <w:rPr>
          <w:color w:val="000000"/>
        </w:rPr>
      </w:pPr>
      <w:r>
        <w:rPr>
          <w:color w:val="000000"/>
        </w:rPr>
        <w:t>[</w:t>
      </w:r>
      <w:r w:rsidR="00324E0E">
        <w:rPr>
          <w:color w:val="000000"/>
        </w:rPr>
        <w:t>10</w:t>
      </w:r>
      <w:r>
        <w:rPr>
          <w:color w:val="000000"/>
        </w:rPr>
        <w:t>]</w:t>
      </w:r>
      <w:r>
        <w:rPr>
          <w:color w:val="000000"/>
        </w:rPr>
        <w:tab/>
        <w:t xml:space="preserve">Because the respondent has persisted with </w:t>
      </w:r>
      <w:r w:rsidR="00AD2574">
        <w:rPr>
          <w:color w:val="000000"/>
        </w:rPr>
        <w:t xml:space="preserve">the </w:t>
      </w:r>
      <w:r>
        <w:rPr>
          <w:color w:val="000000"/>
        </w:rPr>
        <w:t>aforesaid special objection I shall have to decide it as a preliminary point</w:t>
      </w:r>
      <w:r w:rsidR="005E4264">
        <w:rPr>
          <w:color w:val="000000"/>
        </w:rPr>
        <w:t xml:space="preserve">. But later. For now </w:t>
      </w:r>
      <w:r w:rsidR="00AD2574">
        <w:rPr>
          <w:color w:val="000000"/>
        </w:rPr>
        <w:t xml:space="preserve">the </w:t>
      </w:r>
      <w:r w:rsidR="005E4264">
        <w:rPr>
          <w:color w:val="000000"/>
        </w:rPr>
        <w:t xml:space="preserve">unpacking </w:t>
      </w:r>
      <w:r w:rsidR="00AD2574">
        <w:rPr>
          <w:color w:val="000000"/>
        </w:rPr>
        <w:t xml:space="preserve">of </w:t>
      </w:r>
      <w:r w:rsidR="005E4264">
        <w:rPr>
          <w:color w:val="000000"/>
        </w:rPr>
        <w:t>the factual matrix</w:t>
      </w:r>
      <w:r w:rsidR="00AD2574">
        <w:rPr>
          <w:color w:val="000000"/>
        </w:rPr>
        <w:t xml:space="preserve"> behind the dispute</w:t>
      </w:r>
      <w:r w:rsidR="005E4264">
        <w:rPr>
          <w:color w:val="000000"/>
        </w:rPr>
        <w:t xml:space="preserve"> continues. </w:t>
      </w:r>
    </w:p>
    <w:p w14:paraId="1324B58A" w14:textId="453F1FD8" w:rsidR="006A4CD8" w:rsidRDefault="00E53B96" w:rsidP="00A77398">
      <w:pPr>
        <w:pStyle w:val="NormalWeb"/>
        <w:spacing w:before="240" w:beforeAutospacing="0" w:after="160" w:afterAutospacing="0" w:line="360" w:lineRule="auto"/>
        <w:ind w:left="720" w:hanging="720"/>
        <w:jc w:val="both"/>
        <w:rPr>
          <w:color w:val="000000"/>
        </w:rPr>
      </w:pPr>
      <w:r>
        <w:rPr>
          <w:color w:val="000000"/>
        </w:rPr>
        <w:t xml:space="preserve"> </w:t>
      </w:r>
      <w:r w:rsidR="005E4264">
        <w:rPr>
          <w:color w:val="000000"/>
        </w:rPr>
        <w:t>[</w:t>
      </w:r>
      <w:r w:rsidR="00324E0E">
        <w:rPr>
          <w:color w:val="000000"/>
        </w:rPr>
        <w:t>11</w:t>
      </w:r>
      <w:r w:rsidR="005E4264">
        <w:rPr>
          <w:color w:val="000000"/>
        </w:rPr>
        <w:t>]</w:t>
      </w:r>
      <w:r w:rsidR="005E4264">
        <w:rPr>
          <w:color w:val="000000"/>
        </w:rPr>
        <w:tab/>
        <w:t>In the beginning</w:t>
      </w:r>
      <w:r w:rsidR="003400FF">
        <w:rPr>
          <w:color w:val="000000"/>
        </w:rPr>
        <w:t>,</w:t>
      </w:r>
      <w:r w:rsidR="005E4264">
        <w:rPr>
          <w:color w:val="000000"/>
        </w:rPr>
        <w:t xml:space="preserve"> </w:t>
      </w:r>
      <w:r w:rsidR="00CC1FE0">
        <w:rPr>
          <w:color w:val="000000"/>
        </w:rPr>
        <w:t xml:space="preserve">the first </w:t>
      </w:r>
      <w:r w:rsidR="005E4264">
        <w:rPr>
          <w:color w:val="000000"/>
        </w:rPr>
        <w:t xml:space="preserve">appellant had 50.1% shareholding in Dallaglio. The </w:t>
      </w:r>
      <w:r w:rsidR="006A4CD8">
        <w:rPr>
          <w:color w:val="000000"/>
        </w:rPr>
        <w:t xml:space="preserve">remaining 49.9% </w:t>
      </w:r>
      <w:r w:rsidR="005E4264">
        <w:rPr>
          <w:color w:val="000000"/>
        </w:rPr>
        <w:t xml:space="preserve">was held by appellants 2 and 3 in equal proportions of </w:t>
      </w:r>
      <w:r w:rsidR="006A4CD8">
        <w:rPr>
          <w:color w:val="000000"/>
        </w:rPr>
        <w:t>24.95% each.</w:t>
      </w:r>
      <w:r w:rsidR="00AD2574">
        <w:rPr>
          <w:color w:val="000000"/>
        </w:rPr>
        <w:t xml:space="preserve"> </w:t>
      </w:r>
      <w:r w:rsidR="00CC1FE0">
        <w:rPr>
          <w:color w:val="000000"/>
        </w:rPr>
        <w:t>The first a</w:t>
      </w:r>
      <w:r w:rsidR="00AD2574">
        <w:rPr>
          <w:color w:val="000000"/>
        </w:rPr>
        <w:t>ppellant held no s</w:t>
      </w:r>
      <w:r w:rsidR="00CC1FE0">
        <w:rPr>
          <w:color w:val="000000"/>
        </w:rPr>
        <w:t xml:space="preserve">take or stock </w:t>
      </w:r>
      <w:r w:rsidR="00AD2574">
        <w:rPr>
          <w:color w:val="000000"/>
        </w:rPr>
        <w:t>in appellants 2 or 3. Equally, appellants 2 and 3 held no</w:t>
      </w:r>
      <w:r w:rsidR="00CC1FE0">
        <w:rPr>
          <w:color w:val="000000"/>
        </w:rPr>
        <w:t xml:space="preserve"> stake or stock in the first</w:t>
      </w:r>
      <w:r w:rsidR="009C3F3D">
        <w:rPr>
          <w:color w:val="000000"/>
        </w:rPr>
        <w:t xml:space="preserve"> appellant. That wa</w:t>
      </w:r>
      <w:r w:rsidR="00AD2574">
        <w:rPr>
          <w:color w:val="000000"/>
        </w:rPr>
        <w:t>s in the beginning.</w:t>
      </w:r>
    </w:p>
    <w:p w14:paraId="0BB87E00" w14:textId="7E14363A" w:rsidR="00AD2574" w:rsidRDefault="006A4CD8" w:rsidP="00AD2574">
      <w:pPr>
        <w:pStyle w:val="NormalWeb"/>
        <w:spacing w:before="240" w:beforeAutospacing="0" w:after="160" w:afterAutospacing="0" w:line="360" w:lineRule="auto"/>
        <w:ind w:left="720" w:hanging="720"/>
        <w:jc w:val="both"/>
        <w:rPr>
          <w:color w:val="000000"/>
        </w:rPr>
      </w:pPr>
      <w:r>
        <w:rPr>
          <w:color w:val="000000"/>
        </w:rPr>
        <w:lastRenderedPageBreak/>
        <w:t>[</w:t>
      </w:r>
      <w:r w:rsidR="00324E0E">
        <w:rPr>
          <w:color w:val="000000"/>
        </w:rPr>
        <w:t>12</w:t>
      </w:r>
      <w:r>
        <w:rPr>
          <w:color w:val="000000"/>
        </w:rPr>
        <w:t>]</w:t>
      </w:r>
      <w:r w:rsidR="00AD2574">
        <w:rPr>
          <w:color w:val="000000"/>
        </w:rPr>
        <w:tab/>
      </w:r>
      <w:r w:rsidR="00A12841" w:rsidRPr="00E67996">
        <w:rPr>
          <w:color w:val="000000"/>
        </w:rPr>
        <w:t>A</w:t>
      </w:r>
      <w:r w:rsidR="00AD2574">
        <w:rPr>
          <w:color w:val="000000"/>
        </w:rPr>
        <w:t>t some stage the appellant</w:t>
      </w:r>
      <w:r w:rsidR="009C3F3D">
        <w:rPr>
          <w:color w:val="000000"/>
        </w:rPr>
        <w:t>s</w:t>
      </w:r>
      <w:r w:rsidR="00AD2574">
        <w:rPr>
          <w:color w:val="000000"/>
        </w:rPr>
        <w:t xml:space="preserve"> decided to restructure. They did a share swap. It went like this. Appellants 2 and 3 transferred their entire shareholding in Dallaglio to </w:t>
      </w:r>
      <w:r w:rsidR="00CC1FE0">
        <w:rPr>
          <w:color w:val="000000"/>
        </w:rPr>
        <w:t xml:space="preserve">the first </w:t>
      </w:r>
      <w:r w:rsidR="00AD2574">
        <w:rPr>
          <w:color w:val="000000"/>
        </w:rPr>
        <w:t>appellant. In other words, each of these appellants’ 24.95% shareholding w</w:t>
      </w:r>
      <w:r w:rsidR="005454E1">
        <w:rPr>
          <w:color w:val="000000"/>
        </w:rPr>
        <w:t>as</w:t>
      </w:r>
      <w:r w:rsidR="00AD2574">
        <w:rPr>
          <w:color w:val="000000"/>
        </w:rPr>
        <w:t xml:space="preserve"> taken over by </w:t>
      </w:r>
      <w:r w:rsidR="00CC1FE0">
        <w:rPr>
          <w:color w:val="000000"/>
        </w:rPr>
        <w:t xml:space="preserve">the first </w:t>
      </w:r>
      <w:r w:rsidR="00AD2574">
        <w:rPr>
          <w:color w:val="000000"/>
        </w:rPr>
        <w:t>appellant. In return</w:t>
      </w:r>
      <w:r w:rsidR="009C3F3D">
        <w:rPr>
          <w:color w:val="000000"/>
        </w:rPr>
        <w:t>,</w:t>
      </w:r>
      <w:r w:rsidR="00AD2574">
        <w:rPr>
          <w:color w:val="000000"/>
        </w:rPr>
        <w:t xml:space="preserve"> </w:t>
      </w:r>
      <w:r w:rsidR="00CC1FE0">
        <w:rPr>
          <w:color w:val="000000"/>
        </w:rPr>
        <w:t xml:space="preserve">the first </w:t>
      </w:r>
      <w:r w:rsidR="00AD2574">
        <w:rPr>
          <w:color w:val="000000"/>
        </w:rPr>
        <w:t xml:space="preserve">appellant allotted shares from itself to appellants 2 and 3. </w:t>
      </w:r>
    </w:p>
    <w:p w14:paraId="26BE9B24" w14:textId="0EC8A933" w:rsidR="00BE0FC7" w:rsidRDefault="00AD2574" w:rsidP="00AD2574">
      <w:pPr>
        <w:pStyle w:val="NormalWeb"/>
        <w:spacing w:before="240" w:beforeAutospacing="0" w:after="160" w:afterAutospacing="0" w:line="360" w:lineRule="auto"/>
        <w:ind w:left="720" w:hanging="720"/>
        <w:jc w:val="both"/>
        <w:rPr>
          <w:color w:val="000000"/>
        </w:rPr>
      </w:pPr>
      <w:r>
        <w:rPr>
          <w:color w:val="000000"/>
        </w:rPr>
        <w:t>[</w:t>
      </w:r>
      <w:r w:rsidR="00324E0E">
        <w:rPr>
          <w:color w:val="000000"/>
        </w:rPr>
        <w:t>13</w:t>
      </w:r>
      <w:r>
        <w:rPr>
          <w:color w:val="000000"/>
        </w:rPr>
        <w:t>]</w:t>
      </w:r>
      <w:r>
        <w:rPr>
          <w:color w:val="000000"/>
        </w:rPr>
        <w:tab/>
        <w:t xml:space="preserve">In the end, Dallaglio remained wholly owned by </w:t>
      </w:r>
      <w:r w:rsidR="00CC1FE0">
        <w:rPr>
          <w:color w:val="000000"/>
        </w:rPr>
        <w:t xml:space="preserve">the first </w:t>
      </w:r>
      <w:r>
        <w:rPr>
          <w:color w:val="000000"/>
        </w:rPr>
        <w:t>appellant. Appellants 2 and 3 ceased having any intere</w:t>
      </w:r>
      <w:r w:rsidR="00BE0FC7">
        <w:rPr>
          <w:color w:val="000000"/>
        </w:rPr>
        <w:t xml:space="preserve">st in Dallaglio, except indirectly through </w:t>
      </w:r>
      <w:r w:rsidR="00CC1FE0">
        <w:rPr>
          <w:color w:val="000000"/>
        </w:rPr>
        <w:t xml:space="preserve">the first </w:t>
      </w:r>
      <w:r w:rsidR="00BE0FC7">
        <w:rPr>
          <w:color w:val="000000"/>
        </w:rPr>
        <w:t>appellant</w:t>
      </w:r>
      <w:r w:rsidR="009C3F3D">
        <w:rPr>
          <w:color w:val="000000"/>
        </w:rPr>
        <w:t>,</w:t>
      </w:r>
      <w:r w:rsidR="00BE0FC7">
        <w:rPr>
          <w:color w:val="000000"/>
        </w:rPr>
        <w:t xml:space="preserve"> by virtue of their new shareholding </w:t>
      </w:r>
      <w:r w:rsidR="009C3F3D">
        <w:rPr>
          <w:color w:val="000000"/>
        </w:rPr>
        <w:t xml:space="preserve">in </w:t>
      </w:r>
      <w:r w:rsidR="00CC1FE0">
        <w:rPr>
          <w:color w:val="000000"/>
        </w:rPr>
        <w:t xml:space="preserve">the first </w:t>
      </w:r>
      <w:r w:rsidR="00BE0FC7">
        <w:rPr>
          <w:color w:val="000000"/>
        </w:rPr>
        <w:t xml:space="preserve">appellant. </w:t>
      </w:r>
    </w:p>
    <w:p w14:paraId="54FFED8D" w14:textId="28D72FA9" w:rsidR="00E925F6" w:rsidRPr="00E67996" w:rsidRDefault="00BE0FC7" w:rsidP="00CC1FE0">
      <w:pPr>
        <w:pStyle w:val="NormalWeb"/>
        <w:spacing w:before="240" w:beforeAutospacing="0" w:after="160" w:afterAutospacing="0" w:line="360" w:lineRule="auto"/>
        <w:ind w:left="720" w:hanging="720"/>
        <w:jc w:val="both"/>
        <w:rPr>
          <w:color w:val="000000"/>
        </w:rPr>
      </w:pPr>
      <w:r>
        <w:rPr>
          <w:color w:val="000000"/>
        </w:rPr>
        <w:t>[</w:t>
      </w:r>
      <w:r w:rsidR="00324E0E">
        <w:rPr>
          <w:color w:val="000000"/>
        </w:rPr>
        <w:t>14</w:t>
      </w:r>
      <w:r>
        <w:rPr>
          <w:color w:val="000000"/>
        </w:rPr>
        <w:t>]</w:t>
      </w:r>
      <w:r>
        <w:rPr>
          <w:color w:val="000000"/>
        </w:rPr>
        <w:tab/>
        <w:t xml:space="preserve">It is the classification of the above </w:t>
      </w:r>
      <w:r w:rsidR="00FF1FD0" w:rsidRPr="00E67996">
        <w:rPr>
          <w:color w:val="000000"/>
        </w:rPr>
        <w:t xml:space="preserve">transaction </w:t>
      </w:r>
      <w:r>
        <w:rPr>
          <w:color w:val="000000"/>
        </w:rPr>
        <w:t xml:space="preserve">in relation to capital gains tax implications in terms of s 15 of the Act aforesaid that has given rise to the present dispute. As summarized before, the appellants say they could defer the capital gains tax payment. The respondent says </w:t>
      </w:r>
      <w:r w:rsidR="009C3F3D">
        <w:rPr>
          <w:color w:val="000000"/>
        </w:rPr>
        <w:t>they could not</w:t>
      </w:r>
      <w:r>
        <w:rPr>
          <w:color w:val="000000"/>
        </w:rPr>
        <w:t xml:space="preserve">. </w:t>
      </w:r>
      <w:r w:rsidR="001D0E2D" w:rsidRPr="00E67996">
        <w:rPr>
          <w:color w:val="000000"/>
        </w:rPr>
        <w:t xml:space="preserve">Disgruntled </w:t>
      </w:r>
      <w:r w:rsidR="009C3F3D">
        <w:rPr>
          <w:color w:val="000000"/>
        </w:rPr>
        <w:t xml:space="preserve">by this </w:t>
      </w:r>
      <w:r w:rsidR="00CC1FE0">
        <w:rPr>
          <w:color w:val="000000"/>
        </w:rPr>
        <w:t>decision</w:t>
      </w:r>
      <w:r w:rsidR="005454E1">
        <w:rPr>
          <w:color w:val="000000"/>
        </w:rPr>
        <w:t>,</w:t>
      </w:r>
      <w:r w:rsidR="00CC1FE0">
        <w:rPr>
          <w:color w:val="000000"/>
        </w:rPr>
        <w:t xml:space="preserve"> </w:t>
      </w:r>
      <w:r w:rsidR="009C3F3D">
        <w:rPr>
          <w:color w:val="000000"/>
        </w:rPr>
        <w:t>the</w:t>
      </w:r>
      <w:r w:rsidR="00CC1FE0">
        <w:rPr>
          <w:color w:val="000000"/>
        </w:rPr>
        <w:t xml:space="preserve"> appellants have </w:t>
      </w:r>
      <w:r w:rsidR="009C3F3D">
        <w:rPr>
          <w:color w:val="000000"/>
        </w:rPr>
        <w:t>appealed to this court to have the respondent’s decision set aside.</w:t>
      </w:r>
    </w:p>
    <w:p w14:paraId="4857C6AD" w14:textId="010B8372" w:rsidR="001D0E2D" w:rsidRPr="00E67996" w:rsidRDefault="009C3F3D" w:rsidP="009C3F3D">
      <w:pPr>
        <w:pStyle w:val="NormalWeb"/>
        <w:spacing w:before="240" w:beforeAutospacing="0" w:after="160" w:afterAutospacing="0" w:line="360" w:lineRule="auto"/>
        <w:ind w:left="720" w:hanging="720"/>
        <w:jc w:val="both"/>
      </w:pPr>
      <w:r>
        <w:rPr>
          <w:color w:val="000000"/>
        </w:rPr>
        <w:t>[</w:t>
      </w:r>
      <w:r w:rsidR="00324E0E">
        <w:rPr>
          <w:color w:val="000000"/>
        </w:rPr>
        <w:t>15</w:t>
      </w:r>
      <w:r>
        <w:rPr>
          <w:color w:val="000000"/>
        </w:rPr>
        <w:t>]</w:t>
      </w:r>
      <w:r>
        <w:rPr>
          <w:color w:val="000000"/>
        </w:rPr>
        <w:tab/>
        <w:t xml:space="preserve">The material facts not being in dispute, the parties have opted to go by way of a stated case. They filed the attendant documents that go with a stated case such as a statement of agreed facts and heads of arguments. </w:t>
      </w:r>
      <w:r w:rsidR="00CC1FE0">
        <w:rPr>
          <w:color w:val="000000"/>
        </w:rPr>
        <w:t>O</w:t>
      </w:r>
      <w:r>
        <w:rPr>
          <w:color w:val="000000"/>
        </w:rPr>
        <w:t>ral argument</w:t>
      </w:r>
      <w:r w:rsidR="00CC1FE0">
        <w:rPr>
          <w:color w:val="000000"/>
        </w:rPr>
        <w:t xml:space="preserve"> was subsequently </w:t>
      </w:r>
      <w:r w:rsidR="005454E1">
        <w:rPr>
          <w:color w:val="000000"/>
        </w:rPr>
        <w:t>submitted</w:t>
      </w:r>
      <w:r>
        <w:rPr>
          <w:color w:val="000000"/>
        </w:rPr>
        <w:t xml:space="preserve">. </w:t>
      </w:r>
    </w:p>
    <w:p w14:paraId="10B7C1CF" w14:textId="170A2828" w:rsidR="00B63B25" w:rsidRPr="00E67996" w:rsidRDefault="009C3F3D" w:rsidP="004725C2">
      <w:pPr>
        <w:pStyle w:val="NormalWeb"/>
        <w:spacing w:before="240" w:beforeAutospacing="0" w:after="160" w:afterAutospacing="0" w:line="360" w:lineRule="auto"/>
        <w:jc w:val="both"/>
        <w:rPr>
          <w:b/>
          <w:bCs/>
          <w:color w:val="000000"/>
        </w:rPr>
      </w:pPr>
      <w:proofErr w:type="gramStart"/>
      <w:r>
        <w:rPr>
          <w:b/>
          <w:bCs/>
          <w:color w:val="000000"/>
        </w:rPr>
        <w:t>c</w:t>
      </w:r>
      <w:proofErr w:type="gramEnd"/>
      <w:r>
        <w:rPr>
          <w:b/>
          <w:bCs/>
          <w:color w:val="000000"/>
        </w:rPr>
        <w:tab/>
        <w:t>Appellants’ case</w:t>
      </w:r>
    </w:p>
    <w:p w14:paraId="35C9D9EE" w14:textId="1A1B098A" w:rsidR="00572931" w:rsidRDefault="009C3F3D" w:rsidP="00572931">
      <w:pPr>
        <w:pStyle w:val="NormalWeb"/>
        <w:spacing w:before="240" w:beforeAutospacing="0" w:after="160" w:afterAutospacing="0" w:line="360" w:lineRule="auto"/>
        <w:ind w:left="720" w:hanging="720"/>
        <w:jc w:val="both"/>
        <w:rPr>
          <w:color w:val="000000"/>
        </w:rPr>
      </w:pPr>
      <w:r>
        <w:rPr>
          <w:color w:val="000000"/>
        </w:rPr>
        <w:t>[</w:t>
      </w:r>
      <w:r w:rsidR="00324E0E">
        <w:rPr>
          <w:color w:val="000000"/>
        </w:rPr>
        <w:t>16</w:t>
      </w:r>
      <w:r>
        <w:rPr>
          <w:color w:val="000000"/>
        </w:rPr>
        <w:t>]</w:t>
      </w:r>
      <w:r>
        <w:rPr>
          <w:color w:val="000000"/>
        </w:rPr>
        <w:tab/>
      </w:r>
      <w:r w:rsidR="00572931">
        <w:rPr>
          <w:color w:val="000000"/>
        </w:rPr>
        <w:t xml:space="preserve">Distilled, and in my own diction, the appellants are arguing that the respondent got it wrong by failing to realize that the transactions in </w:t>
      </w:r>
      <w:r w:rsidR="00A00BC7">
        <w:rPr>
          <w:color w:val="000000"/>
        </w:rPr>
        <w:t>question</w:t>
      </w:r>
      <w:r w:rsidR="00572931">
        <w:rPr>
          <w:color w:val="000000"/>
        </w:rPr>
        <w:t xml:space="preserve"> constituted </w:t>
      </w:r>
      <w:r w:rsidR="00A00BC7">
        <w:rPr>
          <w:color w:val="000000"/>
        </w:rPr>
        <w:t xml:space="preserve">such a scheme of reconstruction of a group of companies </w:t>
      </w:r>
      <w:r w:rsidR="00572931">
        <w:rPr>
          <w:color w:val="000000"/>
        </w:rPr>
        <w:t>or</w:t>
      </w:r>
      <w:r w:rsidR="00A00BC7">
        <w:rPr>
          <w:color w:val="000000"/>
        </w:rPr>
        <w:t>,</w:t>
      </w:r>
      <w:r w:rsidR="00572931">
        <w:rPr>
          <w:color w:val="000000"/>
        </w:rPr>
        <w:t xml:space="preserve"> within the language and contemplation of s 15 of the Act aforesaid, </w:t>
      </w:r>
      <w:r w:rsidR="00A00BC7">
        <w:rPr>
          <w:color w:val="000000"/>
        </w:rPr>
        <w:t>such</w:t>
      </w:r>
      <w:r w:rsidR="00572931">
        <w:rPr>
          <w:color w:val="000000"/>
        </w:rPr>
        <w:t xml:space="preserve"> a merger or other business operation of a similar nature</w:t>
      </w:r>
      <w:r w:rsidR="00A00BC7">
        <w:rPr>
          <w:color w:val="000000"/>
        </w:rPr>
        <w:t xml:space="preserve"> as would have entitled them to a capital gains tax relief</w:t>
      </w:r>
      <w:r w:rsidR="00572931">
        <w:rPr>
          <w:color w:val="000000"/>
        </w:rPr>
        <w:t>.</w:t>
      </w:r>
    </w:p>
    <w:p w14:paraId="2DC955D9" w14:textId="0D670C92" w:rsidR="00572931" w:rsidRDefault="00572931" w:rsidP="00572931">
      <w:pPr>
        <w:pStyle w:val="NormalWeb"/>
        <w:spacing w:before="240" w:beforeAutospacing="0" w:after="160" w:afterAutospacing="0" w:line="360" w:lineRule="auto"/>
        <w:ind w:left="720" w:hanging="720"/>
        <w:jc w:val="both"/>
        <w:rPr>
          <w:color w:val="000000"/>
        </w:rPr>
      </w:pPr>
      <w:r>
        <w:rPr>
          <w:color w:val="000000"/>
        </w:rPr>
        <w:t>[</w:t>
      </w:r>
      <w:r w:rsidR="00324E0E">
        <w:rPr>
          <w:color w:val="000000"/>
        </w:rPr>
        <w:t>17</w:t>
      </w:r>
      <w:r>
        <w:rPr>
          <w:color w:val="000000"/>
        </w:rPr>
        <w:t>]</w:t>
      </w:r>
      <w:r>
        <w:rPr>
          <w:color w:val="000000"/>
        </w:rPr>
        <w:tab/>
      </w:r>
      <w:r w:rsidR="00A00BC7">
        <w:rPr>
          <w:color w:val="000000"/>
        </w:rPr>
        <w:t>From the premise that its jurisdiction does not extend to directing how business entities may run or reorganize their affairs, t</w:t>
      </w:r>
      <w:r>
        <w:rPr>
          <w:color w:val="000000"/>
        </w:rPr>
        <w:t xml:space="preserve">he appellants argue that the respondent was blind to the reality </w:t>
      </w:r>
      <w:r w:rsidR="00A00BC7">
        <w:rPr>
          <w:color w:val="000000"/>
        </w:rPr>
        <w:t xml:space="preserve">that </w:t>
      </w:r>
      <w:r>
        <w:rPr>
          <w:color w:val="000000"/>
        </w:rPr>
        <w:t xml:space="preserve">the share swap deal in question was </w:t>
      </w:r>
      <w:r w:rsidR="00A00BC7">
        <w:rPr>
          <w:color w:val="000000"/>
        </w:rPr>
        <w:t xml:space="preserve">a </w:t>
      </w:r>
      <w:r>
        <w:rPr>
          <w:color w:val="000000"/>
        </w:rPr>
        <w:t xml:space="preserve">reconstruction. If not, it was a </w:t>
      </w:r>
      <w:r>
        <w:rPr>
          <w:color w:val="000000"/>
        </w:rPr>
        <w:lastRenderedPageBreak/>
        <w:t>merger</w:t>
      </w:r>
      <w:r w:rsidR="00324E0E">
        <w:rPr>
          <w:color w:val="000000"/>
        </w:rPr>
        <w:t>.</w:t>
      </w:r>
      <w:r>
        <w:rPr>
          <w:color w:val="000000"/>
        </w:rPr>
        <w:t xml:space="preserve"> </w:t>
      </w:r>
      <w:r w:rsidR="00324E0E">
        <w:rPr>
          <w:color w:val="000000"/>
        </w:rPr>
        <w:t>I</w:t>
      </w:r>
      <w:r>
        <w:rPr>
          <w:color w:val="000000"/>
        </w:rPr>
        <w:t>f not, it was some other business operation which the respondent ought to have recognized as being of a similar nature.</w:t>
      </w:r>
    </w:p>
    <w:p w14:paraId="6E966AC3" w14:textId="4995F80E" w:rsidR="00B63B25" w:rsidRPr="00E67996" w:rsidRDefault="00572931" w:rsidP="00A00BC7">
      <w:pPr>
        <w:pStyle w:val="NormalWeb"/>
        <w:spacing w:before="240" w:beforeAutospacing="0" w:after="160" w:afterAutospacing="0" w:line="360" w:lineRule="auto"/>
        <w:ind w:left="720" w:hanging="720"/>
        <w:jc w:val="both"/>
        <w:rPr>
          <w:color w:val="000000"/>
        </w:rPr>
      </w:pPr>
      <w:r>
        <w:rPr>
          <w:color w:val="000000"/>
        </w:rPr>
        <w:t>[</w:t>
      </w:r>
      <w:r w:rsidR="00324E0E">
        <w:rPr>
          <w:color w:val="000000"/>
        </w:rPr>
        <w:t>18</w:t>
      </w:r>
      <w:r>
        <w:rPr>
          <w:color w:val="000000"/>
        </w:rPr>
        <w:t>]</w:t>
      </w:r>
      <w:r>
        <w:rPr>
          <w:color w:val="000000"/>
        </w:rPr>
        <w:tab/>
      </w:r>
      <w:r w:rsidR="00A00BC7">
        <w:rPr>
          <w:color w:val="000000"/>
        </w:rPr>
        <w:t xml:space="preserve">The appellants further argue that the respondent got it wrong in thinking that </w:t>
      </w:r>
      <w:r w:rsidR="00B63B25" w:rsidRPr="00E67996">
        <w:rPr>
          <w:color w:val="000000"/>
        </w:rPr>
        <w:t xml:space="preserve">the trigger </w:t>
      </w:r>
      <w:r w:rsidR="00A00BC7">
        <w:rPr>
          <w:color w:val="000000"/>
        </w:rPr>
        <w:t xml:space="preserve">for the deferment is solely and exclusively for </w:t>
      </w:r>
      <w:r w:rsidR="00B63B25" w:rsidRPr="00E67996">
        <w:rPr>
          <w:color w:val="000000"/>
        </w:rPr>
        <w:t>companies under the same control</w:t>
      </w:r>
      <w:r w:rsidR="00CC1FE0">
        <w:rPr>
          <w:color w:val="000000"/>
        </w:rPr>
        <w:t xml:space="preserve"> when</w:t>
      </w:r>
      <w:r w:rsidR="00B63B25" w:rsidRPr="00E67996">
        <w:rPr>
          <w:color w:val="000000"/>
        </w:rPr>
        <w:t xml:space="preserve"> </w:t>
      </w:r>
      <w:r w:rsidR="00324E0E">
        <w:rPr>
          <w:color w:val="000000"/>
        </w:rPr>
        <w:t>t</w:t>
      </w:r>
      <w:r w:rsidR="00A00BC7">
        <w:rPr>
          <w:color w:val="000000"/>
        </w:rPr>
        <w:t xml:space="preserve">he </w:t>
      </w:r>
      <w:r w:rsidR="00B63B25" w:rsidRPr="00E67996">
        <w:rPr>
          <w:color w:val="000000"/>
        </w:rPr>
        <w:t xml:space="preserve">Act makes it clear that </w:t>
      </w:r>
      <w:r w:rsidR="00A00BC7">
        <w:rPr>
          <w:color w:val="000000"/>
        </w:rPr>
        <w:t>it</w:t>
      </w:r>
      <w:r w:rsidR="00B63B25" w:rsidRPr="00E67996">
        <w:rPr>
          <w:color w:val="000000"/>
        </w:rPr>
        <w:t xml:space="preserve"> applies to reconstructions, mergers and other </w:t>
      </w:r>
      <w:r w:rsidR="00A00BC7">
        <w:rPr>
          <w:color w:val="000000"/>
        </w:rPr>
        <w:t xml:space="preserve">business transactions of a </w:t>
      </w:r>
      <w:r w:rsidR="00B63B25" w:rsidRPr="00E67996">
        <w:rPr>
          <w:color w:val="000000"/>
        </w:rPr>
        <w:t xml:space="preserve">similar </w:t>
      </w:r>
      <w:r w:rsidR="00A00BC7">
        <w:rPr>
          <w:color w:val="000000"/>
        </w:rPr>
        <w:t>nature.</w:t>
      </w:r>
    </w:p>
    <w:p w14:paraId="05466645" w14:textId="15482F8D" w:rsidR="00051680" w:rsidRPr="00E67996" w:rsidRDefault="00A00BC7" w:rsidP="00A00BC7">
      <w:pPr>
        <w:pStyle w:val="NormalWeb"/>
        <w:spacing w:before="240" w:beforeAutospacing="0" w:after="160" w:afterAutospacing="0" w:line="360" w:lineRule="auto"/>
        <w:ind w:left="720" w:hanging="720"/>
        <w:jc w:val="both"/>
        <w:rPr>
          <w:color w:val="000000"/>
        </w:rPr>
      </w:pPr>
      <w:r>
        <w:rPr>
          <w:color w:val="000000"/>
        </w:rPr>
        <w:t>[</w:t>
      </w:r>
      <w:r w:rsidR="00324E0E">
        <w:rPr>
          <w:color w:val="000000"/>
        </w:rPr>
        <w:t>19</w:t>
      </w:r>
      <w:r>
        <w:rPr>
          <w:color w:val="000000"/>
        </w:rPr>
        <w:t>]</w:t>
      </w:r>
      <w:r>
        <w:rPr>
          <w:color w:val="000000"/>
        </w:rPr>
        <w:tab/>
        <w:t xml:space="preserve">Other supporting arguments by the appellants are that the </w:t>
      </w:r>
      <w:r w:rsidR="00051680" w:rsidRPr="00E67996">
        <w:rPr>
          <w:color w:val="000000"/>
        </w:rPr>
        <w:t>share sw</w:t>
      </w:r>
      <w:r>
        <w:rPr>
          <w:color w:val="000000"/>
        </w:rPr>
        <w:t xml:space="preserve">ap </w:t>
      </w:r>
      <w:r w:rsidR="00051680" w:rsidRPr="00E67996">
        <w:rPr>
          <w:color w:val="000000"/>
        </w:rPr>
        <w:t xml:space="preserve">was a tax neutral </w:t>
      </w:r>
      <w:r>
        <w:rPr>
          <w:color w:val="000000"/>
        </w:rPr>
        <w:t>event</w:t>
      </w:r>
      <w:r w:rsidR="00EE0D27">
        <w:rPr>
          <w:color w:val="000000"/>
        </w:rPr>
        <w:t xml:space="preserve">. As such, </w:t>
      </w:r>
      <w:r w:rsidR="00051680" w:rsidRPr="00E67996">
        <w:rPr>
          <w:color w:val="000000"/>
        </w:rPr>
        <w:t xml:space="preserve">not only was there no prejudice to the fiscus, but </w:t>
      </w:r>
      <w:r w:rsidR="00EE0D27">
        <w:rPr>
          <w:color w:val="000000"/>
        </w:rPr>
        <w:t>also it</w:t>
      </w:r>
      <w:r w:rsidR="00051680" w:rsidRPr="00E67996">
        <w:rPr>
          <w:color w:val="000000"/>
        </w:rPr>
        <w:t xml:space="preserve"> was precisely the </w:t>
      </w:r>
      <w:r w:rsidR="00324E0E">
        <w:rPr>
          <w:color w:val="000000"/>
        </w:rPr>
        <w:t>kind</w:t>
      </w:r>
      <w:r w:rsidR="00051680" w:rsidRPr="00E67996">
        <w:rPr>
          <w:color w:val="000000"/>
        </w:rPr>
        <w:t xml:space="preserve"> of economic transaction envisaged by s</w:t>
      </w:r>
      <w:r w:rsidR="00EE0D27">
        <w:rPr>
          <w:color w:val="000000"/>
        </w:rPr>
        <w:t xml:space="preserve"> </w:t>
      </w:r>
      <w:r w:rsidR="00051680" w:rsidRPr="00E67996">
        <w:rPr>
          <w:color w:val="000000"/>
        </w:rPr>
        <w:t>15 of the Act.</w:t>
      </w:r>
    </w:p>
    <w:p w14:paraId="14561056" w14:textId="284C7E21" w:rsidR="00051680" w:rsidRPr="00E67996" w:rsidRDefault="00EE0D27" w:rsidP="00EE0D27">
      <w:pPr>
        <w:pStyle w:val="NormalWeb"/>
        <w:spacing w:before="240" w:beforeAutospacing="0" w:after="160" w:afterAutospacing="0" w:line="360" w:lineRule="auto"/>
        <w:ind w:left="720" w:hanging="720"/>
        <w:jc w:val="both"/>
        <w:rPr>
          <w:color w:val="000000"/>
        </w:rPr>
      </w:pPr>
      <w:r>
        <w:rPr>
          <w:color w:val="000000"/>
        </w:rPr>
        <w:t>[</w:t>
      </w:r>
      <w:r w:rsidR="00324E0E">
        <w:rPr>
          <w:color w:val="000000"/>
        </w:rPr>
        <w:t>20</w:t>
      </w:r>
      <w:r>
        <w:rPr>
          <w:color w:val="000000"/>
        </w:rPr>
        <w:t>]</w:t>
      </w:r>
      <w:r>
        <w:rPr>
          <w:color w:val="000000"/>
        </w:rPr>
        <w:tab/>
        <w:t>Furthermore, the</w:t>
      </w:r>
      <w:r w:rsidR="00051680" w:rsidRPr="00E67996">
        <w:rPr>
          <w:color w:val="000000"/>
        </w:rPr>
        <w:t xml:space="preserve"> transaction involved the consolidation of a subsidiary with its holding company as envisaged </w:t>
      </w:r>
      <w:r>
        <w:rPr>
          <w:color w:val="000000"/>
        </w:rPr>
        <w:t xml:space="preserve">by s </w:t>
      </w:r>
      <w:r w:rsidR="00051680" w:rsidRPr="00E67996">
        <w:rPr>
          <w:color w:val="000000"/>
        </w:rPr>
        <w:t>185 of the Companies and Other Business Entities Act [</w:t>
      </w:r>
      <w:r w:rsidR="00051680" w:rsidRPr="00EE0D27">
        <w:rPr>
          <w:i/>
          <w:color w:val="000000"/>
        </w:rPr>
        <w:t>Chapter 24:31</w:t>
      </w:r>
      <w:r w:rsidR="00051680" w:rsidRPr="00E67996">
        <w:rPr>
          <w:color w:val="000000"/>
        </w:rPr>
        <w:t>], with the effect that there was no change in control and</w:t>
      </w:r>
      <w:r>
        <w:rPr>
          <w:color w:val="000000"/>
        </w:rPr>
        <w:t>,</w:t>
      </w:r>
      <w:r w:rsidR="00051680" w:rsidRPr="00E67996">
        <w:rPr>
          <w:color w:val="000000"/>
        </w:rPr>
        <w:t xml:space="preserve"> additionally</w:t>
      </w:r>
      <w:r>
        <w:rPr>
          <w:color w:val="000000"/>
        </w:rPr>
        <w:t>,</w:t>
      </w:r>
      <w:r w:rsidR="00051680" w:rsidRPr="00E67996">
        <w:rPr>
          <w:color w:val="000000"/>
        </w:rPr>
        <w:t xml:space="preserve"> no capital gain.</w:t>
      </w:r>
      <w:r w:rsidR="006735F8">
        <w:rPr>
          <w:color w:val="000000"/>
        </w:rPr>
        <w:t xml:space="preserve"> There </w:t>
      </w:r>
      <w:r w:rsidR="00492E0E">
        <w:rPr>
          <w:color w:val="000000"/>
        </w:rPr>
        <w:t>wa</w:t>
      </w:r>
      <w:r w:rsidR="006735F8">
        <w:rPr>
          <w:color w:val="000000"/>
        </w:rPr>
        <w:t xml:space="preserve">s no change in the interest of appellants 2 and 3 in Dallaglio since their control </w:t>
      </w:r>
      <w:r w:rsidR="00492E0E">
        <w:rPr>
          <w:color w:val="000000"/>
        </w:rPr>
        <w:t>wa</w:t>
      </w:r>
      <w:r w:rsidR="006735F8">
        <w:rPr>
          <w:color w:val="000000"/>
        </w:rPr>
        <w:t xml:space="preserve">s now indirectly through the first appellant. </w:t>
      </w:r>
    </w:p>
    <w:p w14:paraId="338022B3" w14:textId="151A7252" w:rsidR="00051680" w:rsidRDefault="00EE0D27" w:rsidP="006735F8">
      <w:pPr>
        <w:pStyle w:val="NormalWeb"/>
        <w:spacing w:before="240" w:beforeAutospacing="0" w:after="160" w:afterAutospacing="0" w:line="360" w:lineRule="auto"/>
        <w:ind w:left="720" w:hanging="720"/>
        <w:jc w:val="both"/>
        <w:rPr>
          <w:color w:val="000000"/>
        </w:rPr>
      </w:pPr>
      <w:r>
        <w:rPr>
          <w:color w:val="000000"/>
        </w:rPr>
        <w:t>[</w:t>
      </w:r>
      <w:r w:rsidR="00324E0E">
        <w:rPr>
          <w:color w:val="000000"/>
        </w:rPr>
        <w:t>21</w:t>
      </w:r>
      <w:r>
        <w:rPr>
          <w:color w:val="000000"/>
        </w:rPr>
        <w:t>]</w:t>
      </w:r>
      <w:r>
        <w:rPr>
          <w:color w:val="000000"/>
        </w:rPr>
        <w:tab/>
      </w:r>
      <w:r w:rsidR="00492E0E">
        <w:rPr>
          <w:color w:val="000000"/>
        </w:rPr>
        <w:t>The appellants ma</w:t>
      </w:r>
      <w:r w:rsidR="005454E1">
        <w:rPr>
          <w:color w:val="000000"/>
        </w:rPr>
        <w:t>k</w:t>
      </w:r>
      <w:r w:rsidR="00492E0E">
        <w:rPr>
          <w:color w:val="000000"/>
        </w:rPr>
        <w:t xml:space="preserve">e a comparison of their transaction with </w:t>
      </w:r>
      <w:r w:rsidR="00BA5AA2">
        <w:rPr>
          <w:color w:val="000000"/>
        </w:rPr>
        <w:t xml:space="preserve">another </w:t>
      </w:r>
      <w:r w:rsidR="00492E0E">
        <w:rPr>
          <w:color w:val="000000"/>
        </w:rPr>
        <w:t xml:space="preserve">in a </w:t>
      </w:r>
      <w:r w:rsidR="00BA5AA2">
        <w:rPr>
          <w:color w:val="000000"/>
        </w:rPr>
        <w:t xml:space="preserve">case </w:t>
      </w:r>
      <w:r w:rsidR="00492E0E">
        <w:rPr>
          <w:color w:val="000000"/>
        </w:rPr>
        <w:t xml:space="preserve">involving </w:t>
      </w:r>
      <w:r w:rsidR="00BA5AA2">
        <w:rPr>
          <w:color w:val="000000"/>
        </w:rPr>
        <w:t xml:space="preserve">FBC Holdings </w:t>
      </w:r>
      <w:r w:rsidR="009D74CF">
        <w:rPr>
          <w:color w:val="000000"/>
        </w:rPr>
        <w:t xml:space="preserve">and its subsidiaries </w:t>
      </w:r>
      <w:r w:rsidR="00636620">
        <w:rPr>
          <w:color w:val="000000"/>
        </w:rPr>
        <w:t xml:space="preserve">and </w:t>
      </w:r>
      <w:r w:rsidR="009D74CF">
        <w:rPr>
          <w:color w:val="000000"/>
        </w:rPr>
        <w:t>the</w:t>
      </w:r>
      <w:r w:rsidR="00BA5AA2">
        <w:rPr>
          <w:color w:val="000000"/>
        </w:rPr>
        <w:t xml:space="preserve"> </w:t>
      </w:r>
      <w:r>
        <w:rPr>
          <w:color w:val="000000"/>
        </w:rPr>
        <w:t>National Social Security Authority</w:t>
      </w:r>
      <w:r w:rsidR="00BA5AA2">
        <w:rPr>
          <w:color w:val="000000"/>
        </w:rPr>
        <w:t xml:space="preserve"> [“</w:t>
      </w:r>
      <w:r w:rsidR="00BA5AA2" w:rsidRPr="00BA5AA2">
        <w:rPr>
          <w:b/>
          <w:i/>
          <w:color w:val="000000"/>
        </w:rPr>
        <w:t>NSSA</w:t>
      </w:r>
      <w:r w:rsidR="00BA5AA2">
        <w:rPr>
          <w:color w:val="000000"/>
        </w:rPr>
        <w:t>”]</w:t>
      </w:r>
      <w:r w:rsidR="00636620">
        <w:rPr>
          <w:color w:val="000000"/>
        </w:rPr>
        <w:t xml:space="preserve"> [hereafter referred to as “</w:t>
      </w:r>
      <w:r w:rsidR="00636620" w:rsidRPr="00636620">
        <w:rPr>
          <w:b/>
          <w:i/>
          <w:color w:val="000000"/>
        </w:rPr>
        <w:t>the FBCH / NSSA transaction</w:t>
      </w:r>
      <w:r w:rsidR="00636620">
        <w:rPr>
          <w:color w:val="000000"/>
        </w:rPr>
        <w:t>”]</w:t>
      </w:r>
      <w:r w:rsidR="00492E0E">
        <w:rPr>
          <w:color w:val="000000"/>
        </w:rPr>
        <w:t xml:space="preserve">. It is argued that in that transaction the </w:t>
      </w:r>
      <w:r w:rsidR="00636620">
        <w:rPr>
          <w:color w:val="000000"/>
        </w:rPr>
        <w:t xml:space="preserve">respondent </w:t>
      </w:r>
      <w:r w:rsidR="00051680" w:rsidRPr="00E67996">
        <w:rPr>
          <w:color w:val="000000"/>
        </w:rPr>
        <w:t>adopted an interpretation consistent with the</w:t>
      </w:r>
      <w:r>
        <w:rPr>
          <w:color w:val="000000"/>
        </w:rPr>
        <w:t xml:space="preserve"> a</w:t>
      </w:r>
      <w:r w:rsidR="00051680" w:rsidRPr="00E67996">
        <w:rPr>
          <w:color w:val="000000"/>
        </w:rPr>
        <w:t xml:space="preserve">ppellants’ </w:t>
      </w:r>
      <w:r>
        <w:rPr>
          <w:color w:val="000000"/>
        </w:rPr>
        <w:t>contention herein</w:t>
      </w:r>
      <w:r w:rsidR="00636620">
        <w:rPr>
          <w:color w:val="000000"/>
        </w:rPr>
        <w:t xml:space="preserve">. </w:t>
      </w:r>
      <w:r w:rsidR="00492E0E">
        <w:rPr>
          <w:color w:val="000000"/>
        </w:rPr>
        <w:t>T</w:t>
      </w:r>
      <w:r w:rsidR="00636620">
        <w:rPr>
          <w:color w:val="000000"/>
        </w:rPr>
        <w:t xml:space="preserve">herefore, </w:t>
      </w:r>
      <w:r w:rsidR="00492E0E">
        <w:rPr>
          <w:color w:val="000000"/>
        </w:rPr>
        <w:t xml:space="preserve">the respondent is </w:t>
      </w:r>
      <w:r w:rsidR="00051680" w:rsidRPr="00E67996">
        <w:rPr>
          <w:color w:val="000000"/>
        </w:rPr>
        <w:t xml:space="preserve">estopped from denying the </w:t>
      </w:r>
      <w:r w:rsidR="006735F8">
        <w:rPr>
          <w:color w:val="000000"/>
        </w:rPr>
        <w:t>a</w:t>
      </w:r>
      <w:r w:rsidR="00051680" w:rsidRPr="00E67996">
        <w:rPr>
          <w:color w:val="000000"/>
        </w:rPr>
        <w:t xml:space="preserve">ppellants </w:t>
      </w:r>
      <w:r w:rsidR="006735F8">
        <w:rPr>
          <w:color w:val="000000"/>
        </w:rPr>
        <w:t>the same treatment.</w:t>
      </w:r>
    </w:p>
    <w:p w14:paraId="414B03BC" w14:textId="112F20AC" w:rsidR="00B63B25" w:rsidRPr="00E67996" w:rsidRDefault="006735F8" w:rsidP="004725C2">
      <w:pPr>
        <w:pStyle w:val="NormalWeb"/>
        <w:spacing w:before="240" w:beforeAutospacing="0" w:after="160" w:afterAutospacing="0" w:line="360" w:lineRule="auto"/>
        <w:jc w:val="both"/>
        <w:rPr>
          <w:b/>
          <w:bCs/>
        </w:rPr>
      </w:pPr>
      <w:proofErr w:type="gramStart"/>
      <w:r>
        <w:rPr>
          <w:b/>
          <w:bCs/>
          <w:color w:val="000000"/>
        </w:rPr>
        <w:t>d</w:t>
      </w:r>
      <w:proofErr w:type="gramEnd"/>
      <w:r>
        <w:rPr>
          <w:b/>
          <w:bCs/>
          <w:color w:val="000000"/>
        </w:rPr>
        <w:tab/>
        <w:t>R</w:t>
      </w:r>
      <w:r w:rsidR="00051680" w:rsidRPr="00E67996">
        <w:rPr>
          <w:b/>
          <w:bCs/>
          <w:color w:val="000000"/>
        </w:rPr>
        <w:t>espondent’s</w:t>
      </w:r>
      <w:r w:rsidR="00B63B25" w:rsidRPr="00E67996">
        <w:rPr>
          <w:b/>
          <w:bCs/>
          <w:color w:val="000000"/>
        </w:rPr>
        <w:t xml:space="preserve"> case</w:t>
      </w:r>
    </w:p>
    <w:p w14:paraId="75DB26A6" w14:textId="582AD814" w:rsidR="00B63B25" w:rsidRPr="00E67996" w:rsidRDefault="006735F8" w:rsidP="006735F8">
      <w:pPr>
        <w:pStyle w:val="NormalWeb"/>
        <w:spacing w:before="240" w:beforeAutospacing="0" w:after="160" w:afterAutospacing="0" w:line="360" w:lineRule="auto"/>
        <w:ind w:left="720" w:hanging="720"/>
        <w:jc w:val="both"/>
        <w:rPr>
          <w:color w:val="000000"/>
        </w:rPr>
      </w:pPr>
      <w:r>
        <w:rPr>
          <w:color w:val="000000"/>
        </w:rPr>
        <w:t>[</w:t>
      </w:r>
      <w:r w:rsidR="00324E0E">
        <w:rPr>
          <w:color w:val="000000"/>
        </w:rPr>
        <w:t>22</w:t>
      </w:r>
      <w:r>
        <w:rPr>
          <w:color w:val="000000"/>
        </w:rPr>
        <w:t>]</w:t>
      </w:r>
      <w:r>
        <w:rPr>
          <w:color w:val="000000"/>
        </w:rPr>
        <w:tab/>
        <w:t>T</w:t>
      </w:r>
      <w:r w:rsidR="00802AC9" w:rsidRPr="00E67996">
        <w:rPr>
          <w:color w:val="000000"/>
        </w:rPr>
        <w:t xml:space="preserve">he </w:t>
      </w:r>
      <w:r>
        <w:rPr>
          <w:color w:val="000000"/>
        </w:rPr>
        <w:t>r</w:t>
      </w:r>
      <w:r w:rsidR="00802AC9" w:rsidRPr="00E67996">
        <w:rPr>
          <w:color w:val="000000"/>
        </w:rPr>
        <w:t>espondent</w:t>
      </w:r>
      <w:r>
        <w:rPr>
          <w:color w:val="000000"/>
        </w:rPr>
        <w:t xml:space="preserve">’s preliminary point is that the first appellant has no </w:t>
      </w:r>
      <w:r w:rsidRPr="006735F8">
        <w:rPr>
          <w:i/>
          <w:color w:val="000000"/>
        </w:rPr>
        <w:t>locus standi</w:t>
      </w:r>
      <w:r>
        <w:rPr>
          <w:color w:val="000000"/>
        </w:rPr>
        <w:t xml:space="preserve"> in this appeal. </w:t>
      </w:r>
      <w:r w:rsidR="008B1D6F" w:rsidRPr="00E67996">
        <w:rPr>
          <w:color w:val="000000"/>
        </w:rPr>
        <w:t xml:space="preserve"> </w:t>
      </w:r>
      <w:r w:rsidR="009C6201">
        <w:rPr>
          <w:color w:val="000000"/>
        </w:rPr>
        <w:t>It argues that n</w:t>
      </w:r>
      <w:r w:rsidR="00303929" w:rsidRPr="00E67996">
        <w:rPr>
          <w:color w:val="000000"/>
        </w:rPr>
        <w:t xml:space="preserve">o capital gains tax </w:t>
      </w:r>
      <w:r w:rsidR="009C6201">
        <w:rPr>
          <w:color w:val="000000"/>
        </w:rPr>
        <w:t xml:space="preserve">has been </w:t>
      </w:r>
      <w:r>
        <w:rPr>
          <w:color w:val="000000"/>
        </w:rPr>
        <w:t>levi</w:t>
      </w:r>
      <w:r w:rsidR="009C6201">
        <w:rPr>
          <w:color w:val="000000"/>
        </w:rPr>
        <w:t xml:space="preserve">ed </w:t>
      </w:r>
      <w:r w:rsidR="005454E1">
        <w:rPr>
          <w:color w:val="000000"/>
        </w:rPr>
        <w:t>against</w:t>
      </w:r>
      <w:r w:rsidR="00303929" w:rsidRPr="00E67996">
        <w:rPr>
          <w:color w:val="000000"/>
        </w:rPr>
        <w:t xml:space="preserve"> </w:t>
      </w:r>
      <w:r w:rsidR="009C6201">
        <w:rPr>
          <w:color w:val="000000"/>
        </w:rPr>
        <w:t>the first appellant</w:t>
      </w:r>
      <w:r>
        <w:rPr>
          <w:color w:val="000000"/>
        </w:rPr>
        <w:t xml:space="preserve">. Rather, it is appellants 2 and 3 </w:t>
      </w:r>
      <w:r w:rsidR="00AC5B72" w:rsidRPr="00E67996">
        <w:rPr>
          <w:color w:val="000000"/>
        </w:rPr>
        <w:t xml:space="preserve">that </w:t>
      </w:r>
      <w:r>
        <w:rPr>
          <w:color w:val="000000"/>
        </w:rPr>
        <w:t xml:space="preserve">are affected, having been the entities that transferred their shares in circumstances that attract capital gains tax. </w:t>
      </w:r>
    </w:p>
    <w:p w14:paraId="499E4814" w14:textId="7A92B842" w:rsidR="00EA623F" w:rsidRDefault="006735F8" w:rsidP="006735F8">
      <w:pPr>
        <w:pStyle w:val="NormalWeb"/>
        <w:spacing w:before="240" w:beforeAutospacing="0" w:after="160" w:afterAutospacing="0" w:line="360" w:lineRule="auto"/>
        <w:ind w:left="720" w:hanging="660"/>
        <w:jc w:val="both"/>
        <w:rPr>
          <w:color w:val="000000"/>
        </w:rPr>
      </w:pPr>
      <w:r>
        <w:rPr>
          <w:color w:val="000000"/>
        </w:rPr>
        <w:lastRenderedPageBreak/>
        <w:t>[</w:t>
      </w:r>
      <w:r w:rsidR="00324E0E">
        <w:rPr>
          <w:color w:val="000000"/>
        </w:rPr>
        <w:t>23</w:t>
      </w:r>
      <w:r>
        <w:rPr>
          <w:color w:val="000000"/>
        </w:rPr>
        <w:t>]</w:t>
      </w:r>
      <w:r>
        <w:rPr>
          <w:color w:val="000000"/>
        </w:rPr>
        <w:tab/>
        <w:t xml:space="preserve">On the merits, the respondent argues that s </w:t>
      </w:r>
      <w:r w:rsidR="00846E96" w:rsidRPr="00E67996">
        <w:rPr>
          <w:color w:val="000000"/>
        </w:rPr>
        <w:t>15</w:t>
      </w:r>
      <w:r>
        <w:rPr>
          <w:color w:val="000000"/>
        </w:rPr>
        <w:t>[1</w:t>
      </w:r>
      <w:proofErr w:type="gramStart"/>
      <w:r>
        <w:rPr>
          <w:color w:val="000000"/>
        </w:rPr>
        <w:t>][</w:t>
      </w:r>
      <w:proofErr w:type="gramEnd"/>
      <w:r>
        <w:rPr>
          <w:color w:val="000000"/>
        </w:rPr>
        <w:t>b]</w:t>
      </w:r>
      <w:r w:rsidR="00846E96" w:rsidRPr="00E67996">
        <w:rPr>
          <w:color w:val="000000"/>
        </w:rPr>
        <w:t xml:space="preserve"> </w:t>
      </w:r>
      <w:r>
        <w:rPr>
          <w:color w:val="000000"/>
        </w:rPr>
        <w:t xml:space="preserve">of the Act applies to those </w:t>
      </w:r>
      <w:r w:rsidR="00846E96" w:rsidRPr="00E67996">
        <w:rPr>
          <w:color w:val="000000"/>
        </w:rPr>
        <w:t xml:space="preserve">transfers that take </w:t>
      </w:r>
      <w:r w:rsidR="00183778" w:rsidRPr="00E67996">
        <w:rPr>
          <w:color w:val="000000"/>
        </w:rPr>
        <w:t xml:space="preserve">place between </w:t>
      </w:r>
      <w:r>
        <w:rPr>
          <w:color w:val="000000"/>
        </w:rPr>
        <w:t xml:space="preserve">companies </w:t>
      </w:r>
      <w:r w:rsidR="00183778" w:rsidRPr="00C72728">
        <w:rPr>
          <w:color w:val="000000"/>
          <w:u w:val="single"/>
        </w:rPr>
        <w:t>under the same control</w:t>
      </w:r>
      <w:r w:rsidR="00C44AE8" w:rsidRPr="00E67996">
        <w:rPr>
          <w:color w:val="000000"/>
        </w:rPr>
        <w:t>.</w:t>
      </w:r>
      <w:r w:rsidR="00EA623F" w:rsidRPr="00E67996">
        <w:rPr>
          <w:color w:val="000000"/>
        </w:rPr>
        <w:t xml:space="preserve"> </w:t>
      </w:r>
      <w:r w:rsidR="00C72728">
        <w:rPr>
          <w:color w:val="000000"/>
        </w:rPr>
        <w:t>The provision</w:t>
      </w:r>
      <w:r w:rsidR="00C44AE8" w:rsidRPr="00E67996">
        <w:rPr>
          <w:color w:val="000000"/>
        </w:rPr>
        <w:t xml:space="preserve"> allows parties to deem that the </w:t>
      </w:r>
      <w:r w:rsidR="003364EC" w:rsidRPr="00E67996">
        <w:rPr>
          <w:color w:val="000000"/>
        </w:rPr>
        <w:t>selling price of the asset equals the allowable deductions</w:t>
      </w:r>
      <w:r w:rsidR="00C72728">
        <w:rPr>
          <w:color w:val="000000"/>
        </w:rPr>
        <w:t>,</w:t>
      </w:r>
      <w:r w:rsidR="003364EC" w:rsidRPr="00E67996">
        <w:rPr>
          <w:color w:val="000000"/>
        </w:rPr>
        <w:t xml:space="preserve"> resulting in no gain</w:t>
      </w:r>
      <w:r w:rsidR="00EA623F" w:rsidRPr="00E67996">
        <w:rPr>
          <w:color w:val="000000"/>
        </w:rPr>
        <w:t xml:space="preserve"> to be taxed. </w:t>
      </w:r>
      <w:r w:rsidR="00C72728">
        <w:rPr>
          <w:color w:val="000000"/>
        </w:rPr>
        <w:t xml:space="preserve">As such, </w:t>
      </w:r>
      <w:r w:rsidR="00EA623F" w:rsidRPr="00E67996">
        <w:rPr>
          <w:color w:val="000000"/>
        </w:rPr>
        <w:t xml:space="preserve">the </w:t>
      </w:r>
      <w:r w:rsidR="00C72728">
        <w:rPr>
          <w:color w:val="000000"/>
        </w:rPr>
        <w:t xml:space="preserve">impeached transaction does </w:t>
      </w:r>
      <w:r w:rsidR="00EA623F" w:rsidRPr="00E67996">
        <w:rPr>
          <w:color w:val="000000"/>
        </w:rPr>
        <w:t xml:space="preserve">not fall </w:t>
      </w:r>
      <w:r w:rsidR="00C72728">
        <w:rPr>
          <w:color w:val="000000"/>
        </w:rPr>
        <w:t>within the qualification. T</w:t>
      </w:r>
      <w:r w:rsidR="009C6201">
        <w:rPr>
          <w:color w:val="000000"/>
        </w:rPr>
        <w:t xml:space="preserve">he transfers were to </w:t>
      </w:r>
      <w:r w:rsidR="00FF7731" w:rsidRPr="00E67996">
        <w:rPr>
          <w:color w:val="000000"/>
        </w:rPr>
        <w:t>non</w:t>
      </w:r>
      <w:r w:rsidR="00C72728">
        <w:rPr>
          <w:color w:val="000000"/>
        </w:rPr>
        <w:t>-</w:t>
      </w:r>
      <w:r w:rsidR="00FF7731" w:rsidRPr="00E67996">
        <w:rPr>
          <w:color w:val="000000"/>
        </w:rPr>
        <w:t>related part</w:t>
      </w:r>
      <w:r w:rsidR="009C6201">
        <w:rPr>
          <w:color w:val="000000"/>
        </w:rPr>
        <w:t>ies</w:t>
      </w:r>
      <w:r w:rsidR="001854F6" w:rsidRPr="00E67996">
        <w:rPr>
          <w:color w:val="000000"/>
        </w:rPr>
        <w:t>.</w:t>
      </w:r>
    </w:p>
    <w:p w14:paraId="7366A8F6" w14:textId="77958DE0" w:rsidR="00B63B25" w:rsidRPr="00E67996" w:rsidRDefault="00C72728" w:rsidP="004725C2">
      <w:pPr>
        <w:pStyle w:val="NormalWeb"/>
        <w:spacing w:before="240" w:beforeAutospacing="0" w:after="160" w:afterAutospacing="0" w:line="360" w:lineRule="auto"/>
        <w:jc w:val="both"/>
      </w:pPr>
      <w:proofErr w:type="gramStart"/>
      <w:r>
        <w:rPr>
          <w:b/>
          <w:color w:val="000000"/>
        </w:rPr>
        <w:t>e</w:t>
      </w:r>
      <w:proofErr w:type="gramEnd"/>
      <w:r>
        <w:rPr>
          <w:b/>
          <w:color w:val="000000"/>
        </w:rPr>
        <w:tab/>
        <w:t>I</w:t>
      </w:r>
      <w:r w:rsidR="00B63B25" w:rsidRPr="00E67996">
        <w:rPr>
          <w:b/>
          <w:bCs/>
          <w:color w:val="000000"/>
        </w:rPr>
        <w:t>ssues for determination</w:t>
      </w:r>
    </w:p>
    <w:p w14:paraId="446CCC8B" w14:textId="1C56A620" w:rsidR="00B63B25" w:rsidRPr="00E67996" w:rsidRDefault="00C72728" w:rsidP="00C72728">
      <w:pPr>
        <w:pStyle w:val="NormalWeb"/>
        <w:spacing w:before="240" w:beforeAutospacing="0" w:after="160" w:afterAutospacing="0" w:line="360" w:lineRule="auto"/>
        <w:ind w:left="720" w:hanging="720"/>
        <w:jc w:val="both"/>
      </w:pPr>
      <w:r>
        <w:rPr>
          <w:color w:val="000000"/>
        </w:rPr>
        <w:t>[</w:t>
      </w:r>
      <w:r w:rsidR="00324E0E">
        <w:rPr>
          <w:color w:val="000000"/>
        </w:rPr>
        <w:t>24</w:t>
      </w:r>
      <w:r>
        <w:rPr>
          <w:color w:val="000000"/>
        </w:rPr>
        <w:t>]</w:t>
      </w:r>
      <w:r>
        <w:rPr>
          <w:color w:val="000000"/>
        </w:rPr>
        <w:tab/>
        <w:t xml:space="preserve">The preliminary point is straightforward. Does the first appellant have standing in these proceedings? Should it </w:t>
      </w:r>
      <w:r w:rsidR="005454E1">
        <w:rPr>
          <w:color w:val="000000"/>
        </w:rPr>
        <w:t xml:space="preserve">ever </w:t>
      </w:r>
      <w:r>
        <w:rPr>
          <w:color w:val="000000"/>
        </w:rPr>
        <w:t xml:space="preserve">have been </w:t>
      </w:r>
      <w:r w:rsidR="009C6201">
        <w:rPr>
          <w:color w:val="000000"/>
        </w:rPr>
        <w:t xml:space="preserve">cited </w:t>
      </w:r>
      <w:r w:rsidR="00324E0E">
        <w:rPr>
          <w:color w:val="000000"/>
        </w:rPr>
        <w:t xml:space="preserve">as </w:t>
      </w:r>
      <w:r w:rsidR="009C6201">
        <w:rPr>
          <w:color w:val="000000"/>
        </w:rPr>
        <w:t>a co-</w:t>
      </w:r>
      <w:r>
        <w:rPr>
          <w:color w:val="000000"/>
        </w:rPr>
        <w:t>appellant?</w:t>
      </w:r>
    </w:p>
    <w:p w14:paraId="30704698" w14:textId="5870543E" w:rsidR="00892231" w:rsidRDefault="00C72728" w:rsidP="00C72728">
      <w:pPr>
        <w:pStyle w:val="NormalWeb"/>
        <w:spacing w:before="240" w:beforeAutospacing="0" w:after="160" w:afterAutospacing="0" w:line="360" w:lineRule="auto"/>
        <w:ind w:left="720" w:hanging="720"/>
        <w:jc w:val="both"/>
        <w:rPr>
          <w:color w:val="000000"/>
        </w:rPr>
      </w:pPr>
      <w:r>
        <w:rPr>
          <w:color w:val="000000"/>
        </w:rPr>
        <w:t>[</w:t>
      </w:r>
      <w:r w:rsidR="00324E0E">
        <w:rPr>
          <w:color w:val="000000"/>
        </w:rPr>
        <w:t>25</w:t>
      </w:r>
      <w:r>
        <w:rPr>
          <w:color w:val="000000"/>
        </w:rPr>
        <w:t>]</w:t>
      </w:r>
      <w:r>
        <w:rPr>
          <w:color w:val="000000"/>
        </w:rPr>
        <w:tab/>
        <w:t xml:space="preserve">On the merits, in order for the court to arrive at the conclusion whether or </w:t>
      </w:r>
      <w:r w:rsidR="00892231">
        <w:rPr>
          <w:color w:val="000000"/>
        </w:rPr>
        <w:t xml:space="preserve">not </w:t>
      </w:r>
      <w:r>
        <w:rPr>
          <w:color w:val="000000"/>
        </w:rPr>
        <w:t>the respondent was correct to disallow the appellants’ demand for deferment of the capital gains tax in question, it must answer the question whether or not the impeached transaction is one of those falling within the range contemplated by s 15[1</w:t>
      </w:r>
      <w:proofErr w:type="gramStart"/>
      <w:r>
        <w:rPr>
          <w:color w:val="000000"/>
        </w:rPr>
        <w:t>][</w:t>
      </w:r>
      <w:proofErr w:type="gramEnd"/>
      <w:r>
        <w:rPr>
          <w:color w:val="000000"/>
        </w:rPr>
        <w:t xml:space="preserve">b] of the Act. </w:t>
      </w:r>
    </w:p>
    <w:p w14:paraId="14DB77C6" w14:textId="12861406" w:rsidR="00892231" w:rsidRDefault="00892231" w:rsidP="00C72728">
      <w:pPr>
        <w:pStyle w:val="NormalWeb"/>
        <w:spacing w:before="240" w:beforeAutospacing="0" w:after="160" w:afterAutospacing="0" w:line="360" w:lineRule="auto"/>
        <w:ind w:left="720" w:hanging="720"/>
        <w:jc w:val="both"/>
        <w:rPr>
          <w:color w:val="000000"/>
        </w:rPr>
      </w:pPr>
      <w:r>
        <w:rPr>
          <w:color w:val="000000"/>
        </w:rPr>
        <w:t>[</w:t>
      </w:r>
      <w:r w:rsidR="00324E0E">
        <w:rPr>
          <w:color w:val="000000"/>
        </w:rPr>
        <w:t>26</w:t>
      </w:r>
      <w:r>
        <w:rPr>
          <w:color w:val="000000"/>
        </w:rPr>
        <w:t>]</w:t>
      </w:r>
      <w:r>
        <w:rPr>
          <w:color w:val="000000"/>
        </w:rPr>
        <w:tab/>
        <w:t>Thus, broken down further, the enquiry before the court is: w</w:t>
      </w:r>
      <w:r w:rsidR="00C72728">
        <w:rPr>
          <w:color w:val="000000"/>
        </w:rPr>
        <w:t xml:space="preserve">as </w:t>
      </w:r>
      <w:r>
        <w:rPr>
          <w:color w:val="000000"/>
        </w:rPr>
        <w:t xml:space="preserve">the swap arrangement a </w:t>
      </w:r>
      <w:r w:rsidR="00C72728">
        <w:rPr>
          <w:color w:val="000000"/>
        </w:rPr>
        <w:t xml:space="preserve">transfer </w:t>
      </w:r>
      <w:r>
        <w:rPr>
          <w:color w:val="000000"/>
        </w:rPr>
        <w:t>effected from one company to another company under the same control? Was it in the course of, or in furtherance of a scheme of reconstruction of a group of companies? Was it a merger? Was it some other business operation which the respondent ought to have realized was of a similar nature?</w:t>
      </w:r>
    </w:p>
    <w:p w14:paraId="36E44EE6" w14:textId="2D174240" w:rsidR="00B63B25" w:rsidRPr="00E67996" w:rsidRDefault="00892231" w:rsidP="00C72728">
      <w:pPr>
        <w:pStyle w:val="NormalWeb"/>
        <w:spacing w:before="240" w:beforeAutospacing="0" w:after="160" w:afterAutospacing="0" w:line="360" w:lineRule="auto"/>
        <w:ind w:left="720" w:hanging="720"/>
        <w:jc w:val="both"/>
      </w:pPr>
      <w:r>
        <w:rPr>
          <w:color w:val="000000"/>
        </w:rPr>
        <w:t>[</w:t>
      </w:r>
      <w:r w:rsidR="00324E0E">
        <w:rPr>
          <w:color w:val="000000"/>
        </w:rPr>
        <w:t>27</w:t>
      </w:r>
      <w:r>
        <w:rPr>
          <w:color w:val="000000"/>
        </w:rPr>
        <w:t>]</w:t>
      </w:r>
      <w:r>
        <w:rPr>
          <w:color w:val="000000"/>
        </w:rPr>
        <w:tab/>
        <w:t>As the appellants argue, was the transaction a c</w:t>
      </w:r>
      <w:r w:rsidR="00051680" w:rsidRPr="00E67996">
        <w:rPr>
          <w:color w:val="000000"/>
        </w:rPr>
        <w:t xml:space="preserve">onsolidation of a subsidiary with its holding company with no </w:t>
      </w:r>
      <w:r>
        <w:rPr>
          <w:color w:val="000000"/>
        </w:rPr>
        <w:t xml:space="preserve">such </w:t>
      </w:r>
      <w:r w:rsidR="00051680" w:rsidRPr="00E67996">
        <w:rPr>
          <w:color w:val="000000"/>
        </w:rPr>
        <w:t xml:space="preserve">change in control </w:t>
      </w:r>
      <w:r>
        <w:rPr>
          <w:color w:val="000000"/>
        </w:rPr>
        <w:t xml:space="preserve">as would </w:t>
      </w:r>
      <w:r w:rsidR="00051680" w:rsidRPr="00E67996">
        <w:rPr>
          <w:color w:val="000000"/>
        </w:rPr>
        <w:t>entitle</w:t>
      </w:r>
      <w:r>
        <w:rPr>
          <w:color w:val="000000"/>
        </w:rPr>
        <w:t xml:space="preserve"> appellants 2 and 3 to a deferment of the capital gains tax?</w:t>
      </w:r>
    </w:p>
    <w:p w14:paraId="7E2829BD" w14:textId="565D2323" w:rsidR="00F227F4" w:rsidRPr="00E67996" w:rsidRDefault="00892231" w:rsidP="00C62776">
      <w:pPr>
        <w:pStyle w:val="NormalWeb"/>
        <w:spacing w:before="240" w:beforeAutospacing="0" w:after="160" w:afterAutospacing="0" w:line="360" w:lineRule="auto"/>
        <w:ind w:left="720" w:hanging="720"/>
        <w:jc w:val="both"/>
      </w:pPr>
      <w:r>
        <w:rPr>
          <w:color w:val="000000"/>
        </w:rPr>
        <w:t>[</w:t>
      </w:r>
      <w:r w:rsidR="00324E0E">
        <w:rPr>
          <w:color w:val="000000"/>
        </w:rPr>
        <w:t>28</w:t>
      </w:r>
      <w:r>
        <w:rPr>
          <w:color w:val="000000"/>
        </w:rPr>
        <w:t>]</w:t>
      </w:r>
      <w:r>
        <w:rPr>
          <w:color w:val="000000"/>
        </w:rPr>
        <w:tab/>
        <w:t xml:space="preserve">Finally, is the respondent treating the appellants in a manner different from the precedent that it set in the FBCH </w:t>
      </w:r>
      <w:r w:rsidR="009C6201">
        <w:rPr>
          <w:color w:val="000000"/>
        </w:rPr>
        <w:t>/</w:t>
      </w:r>
      <w:r>
        <w:rPr>
          <w:color w:val="000000"/>
        </w:rPr>
        <w:t xml:space="preserve"> NSSA transaction </w:t>
      </w:r>
      <w:r w:rsidR="00C62776">
        <w:rPr>
          <w:color w:val="000000"/>
        </w:rPr>
        <w:t>where</w:t>
      </w:r>
      <w:r w:rsidR="006E1835">
        <w:rPr>
          <w:color w:val="000000"/>
        </w:rPr>
        <w:t>,</w:t>
      </w:r>
      <w:r w:rsidR="00C62776">
        <w:rPr>
          <w:color w:val="000000"/>
        </w:rPr>
        <w:t xml:space="preserve"> </w:t>
      </w:r>
      <w:r w:rsidR="006E1835">
        <w:rPr>
          <w:color w:val="000000"/>
        </w:rPr>
        <w:t>allegedly,</w:t>
      </w:r>
      <w:r w:rsidR="00C62776">
        <w:rPr>
          <w:color w:val="000000"/>
        </w:rPr>
        <w:t xml:space="preserve"> it allowed a deferment in similar circumstances? If so, is the respondent</w:t>
      </w:r>
      <w:r w:rsidR="00F227F4" w:rsidRPr="00E67996">
        <w:rPr>
          <w:color w:val="000000"/>
        </w:rPr>
        <w:t xml:space="preserve"> estopped from denying the </w:t>
      </w:r>
      <w:r w:rsidR="00C62776">
        <w:rPr>
          <w:color w:val="000000"/>
        </w:rPr>
        <w:t>a</w:t>
      </w:r>
      <w:r w:rsidR="00F227F4" w:rsidRPr="00E67996">
        <w:rPr>
          <w:color w:val="000000"/>
        </w:rPr>
        <w:t xml:space="preserve">ppellants </w:t>
      </w:r>
      <w:r w:rsidR="009C6201">
        <w:rPr>
          <w:color w:val="000000"/>
        </w:rPr>
        <w:t>the same treatment</w:t>
      </w:r>
      <w:r w:rsidR="00C62776">
        <w:rPr>
          <w:color w:val="000000"/>
        </w:rPr>
        <w:t>?</w:t>
      </w:r>
    </w:p>
    <w:p w14:paraId="44516071" w14:textId="77777777" w:rsidR="005454E1" w:rsidRDefault="005454E1" w:rsidP="004725C2">
      <w:pPr>
        <w:pStyle w:val="NormalWeb"/>
        <w:spacing w:before="240" w:beforeAutospacing="0" w:after="160" w:afterAutospacing="0" w:line="360" w:lineRule="auto"/>
        <w:jc w:val="both"/>
        <w:rPr>
          <w:b/>
          <w:bCs/>
          <w:color w:val="000000"/>
        </w:rPr>
      </w:pPr>
    </w:p>
    <w:p w14:paraId="564CCBDA" w14:textId="785DDF6D" w:rsidR="00B63B25" w:rsidRPr="00E67996" w:rsidRDefault="00C62776" w:rsidP="004725C2">
      <w:pPr>
        <w:pStyle w:val="NormalWeb"/>
        <w:spacing w:before="240" w:beforeAutospacing="0" w:after="160" w:afterAutospacing="0" w:line="360" w:lineRule="auto"/>
        <w:jc w:val="both"/>
        <w:rPr>
          <w:b/>
          <w:bCs/>
          <w:color w:val="000000"/>
        </w:rPr>
      </w:pPr>
      <w:proofErr w:type="spellStart"/>
      <w:proofErr w:type="gramStart"/>
      <w:r>
        <w:rPr>
          <w:b/>
          <w:bCs/>
          <w:color w:val="000000"/>
        </w:rPr>
        <w:lastRenderedPageBreak/>
        <w:t>f</w:t>
      </w:r>
      <w:proofErr w:type="spellEnd"/>
      <w:proofErr w:type="gramEnd"/>
      <w:r>
        <w:rPr>
          <w:b/>
          <w:bCs/>
          <w:color w:val="000000"/>
        </w:rPr>
        <w:tab/>
      </w:r>
      <w:r w:rsidR="00300BEE">
        <w:rPr>
          <w:b/>
          <w:bCs/>
          <w:color w:val="000000"/>
        </w:rPr>
        <w:t>The p</w:t>
      </w:r>
      <w:r>
        <w:rPr>
          <w:b/>
          <w:bCs/>
          <w:color w:val="000000"/>
        </w:rPr>
        <w:t xml:space="preserve">reliminary point: </w:t>
      </w:r>
      <w:r w:rsidRPr="00C62776">
        <w:rPr>
          <w:b/>
          <w:bCs/>
          <w:i/>
          <w:color w:val="000000"/>
        </w:rPr>
        <w:t>locus standi</w:t>
      </w:r>
      <w:r>
        <w:rPr>
          <w:b/>
          <w:bCs/>
          <w:color w:val="000000"/>
        </w:rPr>
        <w:t xml:space="preserve"> of the first appellant</w:t>
      </w:r>
    </w:p>
    <w:p w14:paraId="5C1EF0BC" w14:textId="1CC5AA94" w:rsidR="00C62776" w:rsidRDefault="00C62776" w:rsidP="00C62776">
      <w:pPr>
        <w:pStyle w:val="NormalWeb"/>
        <w:spacing w:before="240" w:beforeAutospacing="0" w:after="160" w:afterAutospacing="0" w:line="360" w:lineRule="auto"/>
        <w:ind w:left="720" w:hanging="720"/>
        <w:jc w:val="both"/>
        <w:rPr>
          <w:bCs/>
          <w:color w:val="000000"/>
        </w:rPr>
      </w:pPr>
      <w:r>
        <w:rPr>
          <w:bCs/>
          <w:color w:val="000000"/>
        </w:rPr>
        <w:t>[</w:t>
      </w:r>
      <w:r w:rsidR="00324E0E">
        <w:rPr>
          <w:bCs/>
          <w:color w:val="000000"/>
        </w:rPr>
        <w:t>29</w:t>
      </w:r>
      <w:r>
        <w:rPr>
          <w:bCs/>
          <w:color w:val="000000"/>
        </w:rPr>
        <w:t>]</w:t>
      </w:r>
      <w:r>
        <w:rPr>
          <w:bCs/>
          <w:color w:val="000000"/>
        </w:rPr>
        <w:tab/>
        <w:t>The tax burden in this case falls on appellants 2 and 3, not the first appellant. So</w:t>
      </w:r>
      <w:r w:rsidR="00300BEE">
        <w:rPr>
          <w:bCs/>
          <w:color w:val="000000"/>
        </w:rPr>
        <w:t>,</w:t>
      </w:r>
      <w:r>
        <w:rPr>
          <w:bCs/>
          <w:color w:val="000000"/>
        </w:rPr>
        <w:t xml:space="preserve"> the respondent does not recognize the first appellant’s standing and </w:t>
      </w:r>
      <w:r w:rsidR="00300BEE">
        <w:rPr>
          <w:bCs/>
          <w:color w:val="000000"/>
        </w:rPr>
        <w:t xml:space="preserve">its attempt to </w:t>
      </w:r>
      <w:r>
        <w:rPr>
          <w:bCs/>
          <w:color w:val="000000"/>
        </w:rPr>
        <w:t>mak</w:t>
      </w:r>
      <w:r w:rsidR="00300BEE">
        <w:rPr>
          <w:bCs/>
          <w:color w:val="000000"/>
        </w:rPr>
        <w:t>e</w:t>
      </w:r>
      <w:r>
        <w:rPr>
          <w:bCs/>
          <w:color w:val="000000"/>
        </w:rPr>
        <w:t xml:space="preserve"> common cause with appellants 2 and 3. </w:t>
      </w:r>
    </w:p>
    <w:p w14:paraId="0B63E143" w14:textId="5EE2369F" w:rsidR="00A95120" w:rsidRPr="00E67996" w:rsidRDefault="00C62776" w:rsidP="00C62776">
      <w:pPr>
        <w:pStyle w:val="NormalWeb"/>
        <w:spacing w:before="240" w:beforeAutospacing="0" w:after="160" w:afterAutospacing="0" w:line="360" w:lineRule="auto"/>
        <w:ind w:left="720" w:hanging="720"/>
        <w:jc w:val="both"/>
        <w:rPr>
          <w:color w:val="000000"/>
        </w:rPr>
      </w:pPr>
      <w:r>
        <w:rPr>
          <w:bCs/>
          <w:color w:val="000000"/>
        </w:rPr>
        <w:t>[</w:t>
      </w:r>
      <w:r w:rsidR="00324E0E">
        <w:rPr>
          <w:bCs/>
          <w:color w:val="000000"/>
        </w:rPr>
        <w:t>30</w:t>
      </w:r>
      <w:r>
        <w:rPr>
          <w:bCs/>
          <w:color w:val="000000"/>
        </w:rPr>
        <w:t>]</w:t>
      </w:r>
      <w:r>
        <w:rPr>
          <w:bCs/>
          <w:color w:val="000000"/>
        </w:rPr>
        <w:tab/>
        <w:t xml:space="preserve">The law on </w:t>
      </w:r>
      <w:r w:rsidRPr="005B0A9E">
        <w:rPr>
          <w:bCs/>
          <w:i/>
          <w:color w:val="000000"/>
        </w:rPr>
        <w:t>locus standi</w:t>
      </w:r>
      <w:r>
        <w:rPr>
          <w:bCs/>
          <w:color w:val="000000"/>
        </w:rPr>
        <w:t xml:space="preserve"> is </w:t>
      </w:r>
      <w:r w:rsidR="00A8644B">
        <w:rPr>
          <w:bCs/>
          <w:color w:val="000000"/>
        </w:rPr>
        <w:t xml:space="preserve">so </w:t>
      </w:r>
      <w:r>
        <w:rPr>
          <w:bCs/>
          <w:color w:val="000000"/>
        </w:rPr>
        <w:t xml:space="preserve">well settled as to require no citation of cases. </w:t>
      </w:r>
      <w:r w:rsidR="00A8644B">
        <w:rPr>
          <w:bCs/>
          <w:color w:val="000000"/>
        </w:rPr>
        <w:t>To have standing in a suit before the court, a party must have a direct and substantial interest in the matter</w:t>
      </w:r>
      <w:r w:rsidR="005B0A9E">
        <w:rPr>
          <w:bCs/>
          <w:color w:val="000000"/>
        </w:rPr>
        <w:t xml:space="preserve">: </w:t>
      </w:r>
      <w:r w:rsidR="005B0A9E">
        <w:rPr>
          <w:bCs/>
          <w:i/>
          <w:color w:val="000000"/>
        </w:rPr>
        <w:t xml:space="preserve">Zimbabwe Stock Exchange v ZIMRA </w:t>
      </w:r>
      <w:r w:rsidR="005B0A9E" w:rsidRPr="00CB5E81">
        <w:rPr>
          <w:bCs/>
          <w:color w:val="000000"/>
        </w:rPr>
        <w:t>SC56-07</w:t>
      </w:r>
      <w:r w:rsidR="00A8644B">
        <w:rPr>
          <w:bCs/>
          <w:color w:val="000000"/>
        </w:rPr>
        <w:t xml:space="preserve">. </w:t>
      </w:r>
      <w:r w:rsidR="00C94935">
        <w:rPr>
          <w:bCs/>
          <w:color w:val="000000"/>
        </w:rPr>
        <w:t>Such interest must be legal, not merely financial or commercial. I</w:t>
      </w:r>
      <w:r w:rsidR="00A8644B">
        <w:rPr>
          <w:bCs/>
          <w:color w:val="000000"/>
        </w:rPr>
        <w:t>t must not be too remote. It must be actual. It must not be abstract. It must not be academic. It must be current. It must not be hypothetical: s</w:t>
      </w:r>
      <w:r w:rsidR="00F13B4E">
        <w:rPr>
          <w:bCs/>
          <w:color w:val="000000"/>
        </w:rPr>
        <w:t xml:space="preserve">ee </w:t>
      </w:r>
      <w:r w:rsidR="00F13B4E" w:rsidRPr="00F13B4E">
        <w:rPr>
          <w:bCs/>
          <w:i/>
          <w:color w:val="000000"/>
        </w:rPr>
        <w:t>Four Wheel D</w:t>
      </w:r>
      <w:r w:rsidR="00324E0E">
        <w:rPr>
          <w:bCs/>
          <w:i/>
          <w:color w:val="000000"/>
        </w:rPr>
        <w:t>r</w:t>
      </w:r>
      <w:r w:rsidR="00F13B4E" w:rsidRPr="00F13B4E">
        <w:rPr>
          <w:bCs/>
          <w:i/>
          <w:color w:val="000000"/>
        </w:rPr>
        <w:t xml:space="preserve">ive </w:t>
      </w:r>
      <w:r w:rsidR="005B0A9E">
        <w:rPr>
          <w:bCs/>
          <w:i/>
          <w:color w:val="000000"/>
        </w:rPr>
        <w:t xml:space="preserve">Accessory Distributors </w:t>
      </w:r>
      <w:r w:rsidR="00F13B4E" w:rsidRPr="00F13B4E">
        <w:rPr>
          <w:bCs/>
          <w:i/>
          <w:color w:val="000000"/>
        </w:rPr>
        <w:t>CC v Rattan NO</w:t>
      </w:r>
      <w:r w:rsidR="00F13B4E">
        <w:rPr>
          <w:bCs/>
          <w:color w:val="000000"/>
        </w:rPr>
        <w:t xml:space="preserve"> [2018] ZASCA 124, para 7</w:t>
      </w:r>
      <w:r w:rsidR="00261692">
        <w:rPr>
          <w:bCs/>
          <w:color w:val="000000"/>
        </w:rPr>
        <w:t xml:space="preserve"> and </w:t>
      </w:r>
      <w:r w:rsidR="00437535" w:rsidRPr="00437535">
        <w:rPr>
          <w:bCs/>
          <w:i/>
          <w:color w:val="000000"/>
        </w:rPr>
        <w:t>United Watch &amp; Diamond Co [Pty] Ltd &amp; Ors v Disa Hotels Ltd &amp; Anor</w:t>
      </w:r>
      <w:r w:rsidR="00437535">
        <w:rPr>
          <w:bCs/>
          <w:color w:val="000000"/>
        </w:rPr>
        <w:t xml:space="preserve"> 1972 [4] SA 409 [C]</w:t>
      </w:r>
      <w:r w:rsidR="009C6201">
        <w:rPr>
          <w:bCs/>
          <w:color w:val="000000"/>
        </w:rPr>
        <w:t>.</w:t>
      </w:r>
      <w:r w:rsidR="00A8644B">
        <w:rPr>
          <w:bCs/>
          <w:color w:val="000000"/>
        </w:rPr>
        <w:t xml:space="preserve"> </w:t>
      </w:r>
    </w:p>
    <w:p w14:paraId="4D8F75C5" w14:textId="6FE9DE14" w:rsidR="001C3BD5" w:rsidRDefault="00F13B4E" w:rsidP="001C3BD5">
      <w:pPr>
        <w:pStyle w:val="NormalWeb"/>
        <w:spacing w:before="240" w:beforeAutospacing="0" w:after="160" w:afterAutospacing="0" w:line="360" w:lineRule="auto"/>
        <w:ind w:left="720" w:hanging="720"/>
        <w:jc w:val="both"/>
        <w:rPr>
          <w:color w:val="000000"/>
        </w:rPr>
      </w:pPr>
      <w:r>
        <w:rPr>
          <w:color w:val="000000"/>
        </w:rPr>
        <w:t>[</w:t>
      </w:r>
      <w:r w:rsidR="00324E0E">
        <w:rPr>
          <w:color w:val="000000"/>
        </w:rPr>
        <w:t>31</w:t>
      </w:r>
      <w:r>
        <w:rPr>
          <w:color w:val="000000"/>
        </w:rPr>
        <w:t>]</w:t>
      </w:r>
      <w:r w:rsidR="006D6E45">
        <w:rPr>
          <w:color w:val="000000"/>
        </w:rPr>
        <w:tab/>
        <w:t xml:space="preserve">In terms of </w:t>
      </w:r>
      <w:r w:rsidR="001C3BD5">
        <w:rPr>
          <w:color w:val="000000"/>
        </w:rPr>
        <w:t>s 25 of the Act</w:t>
      </w:r>
      <w:r w:rsidR="006E1835">
        <w:rPr>
          <w:color w:val="000000"/>
        </w:rPr>
        <w:t>,</w:t>
      </w:r>
      <w:r w:rsidR="001C3BD5">
        <w:rPr>
          <w:color w:val="000000"/>
        </w:rPr>
        <w:t xml:space="preserve"> as read with s 65 of the Income Tax Act [</w:t>
      </w:r>
      <w:r w:rsidR="001C3BD5" w:rsidRPr="00C94935">
        <w:rPr>
          <w:i/>
          <w:color w:val="000000"/>
        </w:rPr>
        <w:t xml:space="preserve">Chapter </w:t>
      </w:r>
      <w:r w:rsidR="00E069FD">
        <w:rPr>
          <w:i/>
          <w:color w:val="000000"/>
        </w:rPr>
        <w:t>23:06</w:t>
      </w:r>
      <w:r w:rsidR="001C3BD5">
        <w:rPr>
          <w:color w:val="000000"/>
        </w:rPr>
        <w:t>]</w:t>
      </w:r>
      <w:r w:rsidR="00300BEE">
        <w:rPr>
          <w:color w:val="000000"/>
        </w:rPr>
        <w:t xml:space="preserve"> [“</w:t>
      </w:r>
      <w:r w:rsidR="00300BEE" w:rsidRPr="00300BEE">
        <w:rPr>
          <w:b/>
          <w:i/>
          <w:color w:val="000000"/>
        </w:rPr>
        <w:t>the Tax Act</w:t>
      </w:r>
      <w:r w:rsidR="00300BEE">
        <w:rPr>
          <w:color w:val="000000"/>
        </w:rPr>
        <w:t>”]</w:t>
      </w:r>
      <w:r w:rsidR="001C3BD5">
        <w:rPr>
          <w:color w:val="000000"/>
        </w:rPr>
        <w:t>, one who has standing to lodge an appeal to this court for the determination of any grievance arising from, among other things, any determination by the respondent’s Commissioner</w:t>
      </w:r>
      <w:r w:rsidR="00324E0E">
        <w:rPr>
          <w:color w:val="000000"/>
        </w:rPr>
        <w:t>,</w:t>
      </w:r>
      <w:r w:rsidR="001C3BD5">
        <w:rPr>
          <w:color w:val="000000"/>
        </w:rPr>
        <w:t xml:space="preserve"> is</w:t>
      </w:r>
      <w:r w:rsidR="00C94935">
        <w:rPr>
          <w:color w:val="000000"/>
        </w:rPr>
        <w:t xml:space="preserve"> a</w:t>
      </w:r>
      <w:r w:rsidR="001C3BD5">
        <w:rPr>
          <w:color w:val="000000"/>
        </w:rPr>
        <w:t xml:space="preserve"> taxpayer. </w:t>
      </w:r>
    </w:p>
    <w:p w14:paraId="795BFF2A" w14:textId="7E53C1DE" w:rsidR="00C90FF0" w:rsidRDefault="00300BEE" w:rsidP="00EA6BA8">
      <w:pPr>
        <w:pStyle w:val="NormalWeb"/>
        <w:spacing w:before="240" w:beforeAutospacing="0" w:after="160" w:afterAutospacing="0" w:line="360" w:lineRule="auto"/>
        <w:ind w:left="720" w:hanging="660"/>
        <w:jc w:val="both"/>
        <w:rPr>
          <w:color w:val="000000"/>
        </w:rPr>
      </w:pPr>
      <w:r>
        <w:rPr>
          <w:color w:val="000000"/>
        </w:rPr>
        <w:t>[</w:t>
      </w:r>
      <w:r w:rsidR="00324E0E">
        <w:rPr>
          <w:color w:val="000000"/>
        </w:rPr>
        <w:t>32</w:t>
      </w:r>
      <w:r>
        <w:rPr>
          <w:color w:val="000000"/>
        </w:rPr>
        <w:t>]</w:t>
      </w:r>
      <w:r>
        <w:rPr>
          <w:color w:val="000000"/>
        </w:rPr>
        <w:tab/>
        <w:t>In terms of the</w:t>
      </w:r>
      <w:r w:rsidR="001C3BD5">
        <w:rPr>
          <w:color w:val="000000"/>
        </w:rPr>
        <w:t xml:space="preserve"> Tax Act, a taxpayer is one in respect of whom </w:t>
      </w:r>
      <w:r w:rsidR="00EA6BA8">
        <w:rPr>
          <w:color w:val="000000"/>
        </w:rPr>
        <w:t xml:space="preserve">an </w:t>
      </w:r>
      <w:r w:rsidR="001C3BD5">
        <w:rPr>
          <w:color w:val="000000"/>
        </w:rPr>
        <w:t xml:space="preserve">assessment </w:t>
      </w:r>
      <w:r w:rsidR="00EA6BA8">
        <w:rPr>
          <w:color w:val="000000"/>
        </w:rPr>
        <w:t xml:space="preserve">is made by </w:t>
      </w:r>
      <w:r w:rsidR="00C90FF0">
        <w:rPr>
          <w:color w:val="000000"/>
        </w:rPr>
        <w:t xml:space="preserve">the respondent’s Commissioner, </w:t>
      </w:r>
      <w:r>
        <w:rPr>
          <w:color w:val="000000"/>
        </w:rPr>
        <w:t xml:space="preserve">an assessment </w:t>
      </w:r>
      <w:r w:rsidR="00C90FF0">
        <w:rPr>
          <w:color w:val="000000"/>
        </w:rPr>
        <w:t xml:space="preserve">being, among other things, a self-assessment or a determination by the Commissioner of any amount of </w:t>
      </w:r>
      <w:r w:rsidR="00C94935">
        <w:rPr>
          <w:color w:val="000000"/>
        </w:rPr>
        <w:t xml:space="preserve">the </w:t>
      </w:r>
      <w:r w:rsidR="00C90FF0">
        <w:rPr>
          <w:color w:val="000000"/>
        </w:rPr>
        <w:t>tax payable.</w:t>
      </w:r>
    </w:p>
    <w:p w14:paraId="6D265C48" w14:textId="0B254C9F" w:rsidR="00395C3A" w:rsidRDefault="00C90FF0" w:rsidP="00EA6BA8">
      <w:pPr>
        <w:pStyle w:val="NormalWeb"/>
        <w:spacing w:before="240" w:beforeAutospacing="0" w:after="160" w:afterAutospacing="0" w:line="360" w:lineRule="auto"/>
        <w:ind w:left="720" w:hanging="660"/>
        <w:jc w:val="both"/>
        <w:rPr>
          <w:bCs/>
          <w:color w:val="000000"/>
        </w:rPr>
      </w:pPr>
      <w:r>
        <w:rPr>
          <w:color w:val="000000"/>
        </w:rPr>
        <w:t>[</w:t>
      </w:r>
      <w:r w:rsidR="00324E0E">
        <w:rPr>
          <w:color w:val="000000"/>
        </w:rPr>
        <w:t>33</w:t>
      </w:r>
      <w:r>
        <w:rPr>
          <w:color w:val="000000"/>
        </w:rPr>
        <w:t>]</w:t>
      </w:r>
      <w:r>
        <w:rPr>
          <w:color w:val="000000"/>
        </w:rPr>
        <w:tab/>
      </w:r>
      <w:r w:rsidR="00C94935">
        <w:rPr>
          <w:color w:val="000000"/>
        </w:rPr>
        <w:t>On the face of it,</w:t>
      </w:r>
      <w:r>
        <w:rPr>
          <w:color w:val="000000"/>
        </w:rPr>
        <w:t xml:space="preserve"> the first appellant </w:t>
      </w:r>
      <w:r w:rsidR="00C94935">
        <w:rPr>
          <w:color w:val="000000"/>
        </w:rPr>
        <w:t xml:space="preserve">has some substantial </w:t>
      </w:r>
      <w:r>
        <w:rPr>
          <w:color w:val="000000"/>
        </w:rPr>
        <w:t>interest in the suit before the court.</w:t>
      </w:r>
      <w:r w:rsidRPr="00C90FF0">
        <w:rPr>
          <w:bCs/>
          <w:color w:val="000000"/>
        </w:rPr>
        <w:t xml:space="preserve"> </w:t>
      </w:r>
      <w:r w:rsidR="00395C3A">
        <w:rPr>
          <w:bCs/>
          <w:color w:val="000000"/>
        </w:rPr>
        <w:t>On the face of it, s</w:t>
      </w:r>
      <w:r w:rsidR="00C94935">
        <w:rPr>
          <w:bCs/>
          <w:color w:val="000000"/>
        </w:rPr>
        <w:t>uch interest</w:t>
      </w:r>
      <w:r>
        <w:rPr>
          <w:bCs/>
          <w:color w:val="000000"/>
        </w:rPr>
        <w:t xml:space="preserve"> </w:t>
      </w:r>
      <w:r w:rsidR="00C94935">
        <w:rPr>
          <w:bCs/>
          <w:color w:val="000000"/>
        </w:rPr>
        <w:t>is hardly</w:t>
      </w:r>
      <w:r>
        <w:rPr>
          <w:bCs/>
          <w:color w:val="000000"/>
        </w:rPr>
        <w:t xml:space="preserve"> abstract or hypothetical</w:t>
      </w:r>
      <w:r w:rsidR="00395C3A">
        <w:rPr>
          <w:bCs/>
          <w:color w:val="000000"/>
        </w:rPr>
        <w:t xml:space="preserve"> or academic</w:t>
      </w:r>
      <w:r>
        <w:rPr>
          <w:bCs/>
          <w:color w:val="000000"/>
        </w:rPr>
        <w:t xml:space="preserve">. </w:t>
      </w:r>
      <w:r w:rsidR="00395C3A">
        <w:rPr>
          <w:bCs/>
          <w:color w:val="000000"/>
        </w:rPr>
        <w:t>However, th</w:t>
      </w:r>
      <w:r w:rsidR="00324E0E">
        <w:rPr>
          <w:bCs/>
          <w:color w:val="000000"/>
        </w:rPr>
        <w:t xml:space="preserve">ese are </w:t>
      </w:r>
      <w:r w:rsidR="00395C3A">
        <w:rPr>
          <w:bCs/>
          <w:color w:val="000000"/>
        </w:rPr>
        <w:t xml:space="preserve">not the full </w:t>
      </w:r>
      <w:r w:rsidR="00324E0E">
        <w:rPr>
          <w:bCs/>
          <w:color w:val="000000"/>
        </w:rPr>
        <w:t>criteria</w:t>
      </w:r>
      <w:r w:rsidR="00395C3A">
        <w:rPr>
          <w:bCs/>
          <w:color w:val="000000"/>
        </w:rPr>
        <w:t>.</w:t>
      </w:r>
      <w:r w:rsidR="00395C3A" w:rsidRPr="00395C3A">
        <w:rPr>
          <w:bCs/>
          <w:color w:val="000000"/>
        </w:rPr>
        <w:t xml:space="preserve"> </w:t>
      </w:r>
      <w:r w:rsidR="00395C3A">
        <w:rPr>
          <w:bCs/>
          <w:color w:val="000000"/>
        </w:rPr>
        <w:t xml:space="preserve">The appellant’s case on </w:t>
      </w:r>
      <w:r w:rsidR="00395C3A" w:rsidRPr="00A67D62">
        <w:rPr>
          <w:bCs/>
          <w:i/>
          <w:color w:val="000000"/>
        </w:rPr>
        <w:t>locus standi</w:t>
      </w:r>
      <w:r w:rsidR="00395C3A">
        <w:rPr>
          <w:bCs/>
          <w:color w:val="000000"/>
        </w:rPr>
        <w:t xml:space="preserve"> stutters on a careful consideration of the law.</w:t>
      </w:r>
    </w:p>
    <w:p w14:paraId="19C3F9D9" w14:textId="1FC16AE3" w:rsidR="00395C3A" w:rsidRDefault="00395C3A" w:rsidP="00395C3A">
      <w:pPr>
        <w:pStyle w:val="NormalWeb"/>
        <w:spacing w:before="240" w:beforeAutospacing="0" w:after="160" w:afterAutospacing="0" w:line="360" w:lineRule="auto"/>
        <w:ind w:left="720" w:hanging="660"/>
        <w:jc w:val="both"/>
        <w:rPr>
          <w:bCs/>
          <w:color w:val="000000"/>
        </w:rPr>
      </w:pPr>
      <w:r>
        <w:rPr>
          <w:bCs/>
          <w:color w:val="000000"/>
        </w:rPr>
        <w:t>[</w:t>
      </w:r>
      <w:r w:rsidR="00324E0E">
        <w:rPr>
          <w:bCs/>
          <w:color w:val="000000"/>
        </w:rPr>
        <w:t>34</w:t>
      </w:r>
      <w:r>
        <w:rPr>
          <w:bCs/>
          <w:color w:val="000000"/>
        </w:rPr>
        <w:t>]</w:t>
      </w:r>
      <w:r>
        <w:rPr>
          <w:bCs/>
          <w:color w:val="000000"/>
        </w:rPr>
        <w:tab/>
      </w:r>
      <w:r w:rsidR="00C90FF0">
        <w:rPr>
          <w:bCs/>
          <w:color w:val="000000"/>
        </w:rPr>
        <w:t>After the transaction in question</w:t>
      </w:r>
      <w:r w:rsidR="00C94935">
        <w:rPr>
          <w:bCs/>
          <w:color w:val="000000"/>
        </w:rPr>
        <w:t>,</w:t>
      </w:r>
      <w:r w:rsidR="00C90FF0">
        <w:rPr>
          <w:bCs/>
          <w:color w:val="000000"/>
        </w:rPr>
        <w:t xml:space="preserve"> </w:t>
      </w:r>
      <w:r w:rsidR="00C94935">
        <w:rPr>
          <w:bCs/>
          <w:color w:val="000000"/>
        </w:rPr>
        <w:t>the appellant did</w:t>
      </w:r>
      <w:r w:rsidR="00C90FF0">
        <w:rPr>
          <w:bCs/>
          <w:color w:val="000000"/>
        </w:rPr>
        <w:t xml:space="preserve"> bec</w:t>
      </w:r>
      <w:r w:rsidR="00C94935">
        <w:rPr>
          <w:bCs/>
          <w:color w:val="000000"/>
        </w:rPr>
        <w:t>o</w:t>
      </w:r>
      <w:r w:rsidR="00C90FF0">
        <w:rPr>
          <w:bCs/>
          <w:color w:val="000000"/>
        </w:rPr>
        <w:t xml:space="preserve">me </w:t>
      </w:r>
      <w:r w:rsidR="00300BEE">
        <w:rPr>
          <w:bCs/>
          <w:color w:val="000000"/>
        </w:rPr>
        <w:t>Dallaglio’s</w:t>
      </w:r>
      <w:r w:rsidR="00C90FF0">
        <w:rPr>
          <w:bCs/>
          <w:color w:val="000000"/>
        </w:rPr>
        <w:t xml:space="preserve"> holding company</w:t>
      </w:r>
      <w:r w:rsidR="00300BEE">
        <w:rPr>
          <w:bCs/>
          <w:color w:val="000000"/>
        </w:rPr>
        <w:t xml:space="preserve">. Appellants </w:t>
      </w:r>
      <w:r w:rsidR="00C90FF0">
        <w:rPr>
          <w:bCs/>
          <w:color w:val="000000"/>
        </w:rPr>
        <w:t xml:space="preserve">2 and 3 </w:t>
      </w:r>
      <w:r w:rsidR="00300BEE">
        <w:rPr>
          <w:bCs/>
          <w:color w:val="000000"/>
        </w:rPr>
        <w:t xml:space="preserve">became minority shareholders in the first appellant. The tax burden </w:t>
      </w:r>
      <w:r w:rsidR="00300BEE">
        <w:rPr>
          <w:bCs/>
          <w:color w:val="000000"/>
        </w:rPr>
        <w:lastRenderedPageBreak/>
        <w:t xml:space="preserve">with which this litigation is concerned </w:t>
      </w:r>
      <w:r>
        <w:rPr>
          <w:bCs/>
          <w:color w:val="000000"/>
        </w:rPr>
        <w:t>fell on appellants 2 and 3, not the first appellant. The refusal to defer by the respondent directly affected appellants</w:t>
      </w:r>
      <w:r w:rsidR="006E1835">
        <w:rPr>
          <w:bCs/>
          <w:color w:val="000000"/>
        </w:rPr>
        <w:t xml:space="preserve"> 2 and 3</w:t>
      </w:r>
      <w:r>
        <w:rPr>
          <w:bCs/>
          <w:color w:val="000000"/>
        </w:rPr>
        <w:t>, not the first appellant</w:t>
      </w:r>
      <w:r w:rsidR="00C90FF0">
        <w:rPr>
          <w:bCs/>
          <w:color w:val="000000"/>
        </w:rPr>
        <w:t xml:space="preserve">. </w:t>
      </w:r>
      <w:r>
        <w:rPr>
          <w:bCs/>
          <w:color w:val="000000"/>
        </w:rPr>
        <w:t xml:space="preserve">The first appellant’s interest in the suit before the court is merely financial or commercial, not legal or direct.  </w:t>
      </w:r>
    </w:p>
    <w:p w14:paraId="2C5C093F" w14:textId="4FC14324" w:rsidR="006D4597" w:rsidRDefault="006D4597" w:rsidP="009C6201">
      <w:pPr>
        <w:pStyle w:val="NormalWeb"/>
        <w:spacing w:before="240" w:beforeAutospacing="0" w:after="160" w:afterAutospacing="0" w:line="360" w:lineRule="auto"/>
        <w:ind w:left="720" w:hanging="660"/>
        <w:jc w:val="both"/>
        <w:rPr>
          <w:bCs/>
          <w:color w:val="000000"/>
        </w:rPr>
      </w:pPr>
      <w:r>
        <w:rPr>
          <w:bCs/>
          <w:color w:val="000000"/>
        </w:rPr>
        <w:t>[</w:t>
      </w:r>
      <w:r w:rsidR="00324E0E">
        <w:rPr>
          <w:bCs/>
          <w:color w:val="000000"/>
        </w:rPr>
        <w:t>35</w:t>
      </w:r>
      <w:r>
        <w:rPr>
          <w:bCs/>
          <w:color w:val="000000"/>
        </w:rPr>
        <w:t>]</w:t>
      </w:r>
      <w:r>
        <w:rPr>
          <w:bCs/>
          <w:color w:val="000000"/>
        </w:rPr>
        <w:tab/>
        <w:t xml:space="preserve">There were two transactions that took place simultaneously: the one in which appellants </w:t>
      </w:r>
      <w:r w:rsidR="00D14ECD">
        <w:rPr>
          <w:bCs/>
          <w:color w:val="000000"/>
        </w:rPr>
        <w:t>2</w:t>
      </w:r>
      <w:r>
        <w:rPr>
          <w:bCs/>
          <w:color w:val="000000"/>
        </w:rPr>
        <w:t xml:space="preserve"> and </w:t>
      </w:r>
      <w:r w:rsidR="00D14ECD">
        <w:rPr>
          <w:bCs/>
          <w:color w:val="000000"/>
        </w:rPr>
        <w:t>3</w:t>
      </w:r>
      <w:r>
        <w:rPr>
          <w:bCs/>
          <w:color w:val="000000"/>
        </w:rPr>
        <w:t xml:space="preserve"> transferred their entire shareholding in Dallaglio to the first appellant, and the other in which the first appellant allotted shares in itself to appellants 2 and 3. </w:t>
      </w:r>
    </w:p>
    <w:p w14:paraId="41037250" w14:textId="75BEC617" w:rsidR="003419FB" w:rsidRDefault="00D14ECD" w:rsidP="00A67D62">
      <w:pPr>
        <w:pStyle w:val="NormalWeb"/>
        <w:spacing w:before="240" w:beforeAutospacing="0" w:after="160" w:afterAutospacing="0" w:line="360" w:lineRule="auto"/>
        <w:ind w:left="720" w:hanging="660"/>
        <w:jc w:val="both"/>
        <w:rPr>
          <w:bCs/>
          <w:color w:val="000000"/>
        </w:rPr>
      </w:pPr>
      <w:r>
        <w:rPr>
          <w:bCs/>
          <w:color w:val="000000"/>
        </w:rPr>
        <w:t xml:space="preserve"> </w:t>
      </w:r>
      <w:r w:rsidR="00A67D62">
        <w:rPr>
          <w:bCs/>
          <w:color w:val="000000"/>
        </w:rPr>
        <w:t>[</w:t>
      </w:r>
      <w:r w:rsidR="00324E0E">
        <w:rPr>
          <w:bCs/>
          <w:color w:val="000000"/>
        </w:rPr>
        <w:t>36</w:t>
      </w:r>
      <w:r w:rsidR="00A67D62">
        <w:rPr>
          <w:bCs/>
          <w:color w:val="000000"/>
        </w:rPr>
        <w:t>]</w:t>
      </w:r>
      <w:r w:rsidR="00A67D62">
        <w:rPr>
          <w:bCs/>
          <w:color w:val="000000"/>
        </w:rPr>
        <w:tab/>
        <w:t xml:space="preserve">The </w:t>
      </w:r>
      <w:r w:rsidR="00375FB0">
        <w:rPr>
          <w:bCs/>
          <w:color w:val="000000"/>
        </w:rPr>
        <w:t>‘</w:t>
      </w:r>
      <w:r w:rsidR="00A67D62">
        <w:rPr>
          <w:bCs/>
          <w:color w:val="000000"/>
        </w:rPr>
        <w:t>taxpayer</w:t>
      </w:r>
      <w:r w:rsidR="00375FB0">
        <w:rPr>
          <w:bCs/>
          <w:color w:val="000000"/>
        </w:rPr>
        <w:t>’</w:t>
      </w:r>
      <w:r w:rsidR="00A67D62">
        <w:rPr>
          <w:bCs/>
          <w:color w:val="000000"/>
        </w:rPr>
        <w:t xml:space="preserve"> </w:t>
      </w:r>
      <w:r w:rsidR="00375FB0">
        <w:rPr>
          <w:bCs/>
          <w:color w:val="000000"/>
        </w:rPr>
        <w:t>defined by</w:t>
      </w:r>
      <w:r w:rsidR="00A67D62">
        <w:rPr>
          <w:bCs/>
          <w:color w:val="000000"/>
        </w:rPr>
        <w:t xml:space="preserve"> the Tax Act is not </w:t>
      </w:r>
      <w:r w:rsidR="00375FB0">
        <w:rPr>
          <w:bCs/>
          <w:color w:val="000000"/>
        </w:rPr>
        <w:t xml:space="preserve">an </w:t>
      </w:r>
      <w:r w:rsidR="00A67D62">
        <w:rPr>
          <w:bCs/>
          <w:color w:val="000000"/>
        </w:rPr>
        <w:t>in</w:t>
      </w:r>
      <w:r w:rsidR="00375FB0">
        <w:rPr>
          <w:bCs/>
          <w:color w:val="000000"/>
        </w:rPr>
        <w:t xml:space="preserve">determinate person. He is a taxpayer </w:t>
      </w:r>
      <w:r w:rsidR="00A67D62">
        <w:rPr>
          <w:bCs/>
          <w:color w:val="000000"/>
        </w:rPr>
        <w:t xml:space="preserve">in relation to a taxable event. The </w:t>
      </w:r>
      <w:r w:rsidR="003419FB">
        <w:rPr>
          <w:bCs/>
          <w:color w:val="000000"/>
        </w:rPr>
        <w:t>transfer of shares by appellants 2 and 3 to the first appellant was the taxable event on which the dispute centres, not the allotment of shares by the first appellant to appellants 2 and 3. In this taxable event, the first appellant is not a taxpayer. Therefore, it has no standing in the appeal. It is not the taxpayer contemplated by s 25 of the Act</w:t>
      </w:r>
      <w:r w:rsidR="00324E0E">
        <w:rPr>
          <w:bCs/>
          <w:color w:val="000000"/>
        </w:rPr>
        <w:t>,</w:t>
      </w:r>
      <w:r w:rsidR="003419FB">
        <w:rPr>
          <w:bCs/>
          <w:color w:val="000000"/>
        </w:rPr>
        <w:t xml:space="preserve"> as read with s 65 of the Tax Act. </w:t>
      </w:r>
    </w:p>
    <w:p w14:paraId="49DB6BE1" w14:textId="1F4F2227" w:rsidR="00D14ECD" w:rsidRDefault="00D14ECD" w:rsidP="00A67D62">
      <w:pPr>
        <w:pStyle w:val="NormalWeb"/>
        <w:spacing w:before="240" w:beforeAutospacing="0" w:after="160" w:afterAutospacing="0" w:line="360" w:lineRule="auto"/>
        <w:ind w:left="720" w:hanging="660"/>
        <w:jc w:val="both"/>
        <w:rPr>
          <w:bCs/>
          <w:color w:val="000000"/>
        </w:rPr>
      </w:pPr>
      <w:r>
        <w:rPr>
          <w:bCs/>
          <w:color w:val="000000"/>
        </w:rPr>
        <w:t>[</w:t>
      </w:r>
      <w:r w:rsidR="00324E0E">
        <w:rPr>
          <w:bCs/>
          <w:color w:val="000000"/>
        </w:rPr>
        <w:t>37</w:t>
      </w:r>
      <w:r>
        <w:rPr>
          <w:bCs/>
          <w:color w:val="000000"/>
        </w:rPr>
        <w:t>]</w:t>
      </w:r>
      <w:r>
        <w:rPr>
          <w:bCs/>
          <w:color w:val="000000"/>
        </w:rPr>
        <w:tab/>
      </w:r>
      <w:r w:rsidR="00B85294">
        <w:rPr>
          <w:bCs/>
          <w:color w:val="000000"/>
        </w:rPr>
        <w:t>Comparisons may be made with</w:t>
      </w:r>
      <w:r>
        <w:rPr>
          <w:bCs/>
          <w:color w:val="000000"/>
        </w:rPr>
        <w:t xml:space="preserve"> </w:t>
      </w:r>
      <w:r w:rsidR="00437535">
        <w:rPr>
          <w:bCs/>
          <w:color w:val="000000"/>
        </w:rPr>
        <w:t xml:space="preserve">the </w:t>
      </w:r>
      <w:r w:rsidRPr="00B85294">
        <w:rPr>
          <w:bCs/>
          <w:i/>
          <w:color w:val="000000"/>
        </w:rPr>
        <w:t xml:space="preserve">Zimbabwe </w:t>
      </w:r>
      <w:r w:rsidR="00261692" w:rsidRPr="00B85294">
        <w:rPr>
          <w:bCs/>
          <w:i/>
          <w:color w:val="000000"/>
        </w:rPr>
        <w:t>Stock Exchange</w:t>
      </w:r>
      <w:r w:rsidR="00261692">
        <w:rPr>
          <w:bCs/>
          <w:color w:val="000000"/>
        </w:rPr>
        <w:t xml:space="preserve"> and </w:t>
      </w:r>
      <w:r w:rsidR="00437535">
        <w:rPr>
          <w:bCs/>
          <w:color w:val="000000"/>
        </w:rPr>
        <w:t xml:space="preserve">the </w:t>
      </w:r>
      <w:r w:rsidR="00437535" w:rsidRPr="00B85294">
        <w:rPr>
          <w:bCs/>
          <w:i/>
          <w:color w:val="000000"/>
        </w:rPr>
        <w:t>United Watch &amp; Diamond</w:t>
      </w:r>
      <w:r w:rsidR="00437535">
        <w:rPr>
          <w:bCs/>
          <w:color w:val="000000"/>
        </w:rPr>
        <w:t xml:space="preserve"> cases above</w:t>
      </w:r>
      <w:r w:rsidR="00B85294">
        <w:rPr>
          <w:bCs/>
          <w:color w:val="000000"/>
        </w:rPr>
        <w:t>.</w:t>
      </w:r>
      <w:r w:rsidR="00437535">
        <w:rPr>
          <w:bCs/>
          <w:color w:val="000000"/>
        </w:rPr>
        <w:t xml:space="preserve"> </w:t>
      </w:r>
      <w:r w:rsidR="00B85294">
        <w:rPr>
          <w:bCs/>
          <w:color w:val="000000"/>
        </w:rPr>
        <w:t>I</w:t>
      </w:r>
      <w:r w:rsidR="00437535">
        <w:rPr>
          <w:bCs/>
          <w:color w:val="000000"/>
        </w:rPr>
        <w:t>n the former case</w:t>
      </w:r>
      <w:r w:rsidR="00B85294">
        <w:rPr>
          <w:bCs/>
          <w:color w:val="000000"/>
        </w:rPr>
        <w:t>,</w:t>
      </w:r>
      <w:r w:rsidR="00437535">
        <w:rPr>
          <w:bCs/>
          <w:color w:val="000000"/>
        </w:rPr>
        <w:t xml:space="preserve"> the Zimbabwe Stock Exchange</w:t>
      </w:r>
      <w:r w:rsidR="00B85294">
        <w:rPr>
          <w:bCs/>
          <w:color w:val="000000"/>
        </w:rPr>
        <w:t xml:space="preserve">, a body corporate established with the mandate to manage trade at the stock exchange by stockbrokers, was held to lack </w:t>
      </w:r>
      <w:r w:rsidR="00B85294" w:rsidRPr="00B85294">
        <w:rPr>
          <w:bCs/>
          <w:i/>
          <w:color w:val="000000"/>
        </w:rPr>
        <w:t>locus standi</w:t>
      </w:r>
      <w:r w:rsidR="00B85294">
        <w:rPr>
          <w:bCs/>
          <w:color w:val="000000"/>
        </w:rPr>
        <w:t xml:space="preserve"> to represent the stockbrokers in their tax dispute with the current respondent. In the latter case, sub-tenants were held to lack </w:t>
      </w:r>
      <w:r w:rsidR="00B85294" w:rsidRPr="00B85294">
        <w:rPr>
          <w:bCs/>
          <w:i/>
          <w:color w:val="000000"/>
        </w:rPr>
        <w:t>locus standi</w:t>
      </w:r>
      <w:r w:rsidR="00B85294">
        <w:rPr>
          <w:bCs/>
          <w:color w:val="000000"/>
        </w:rPr>
        <w:t xml:space="preserve"> to intervene in a case involving the main tenant </w:t>
      </w:r>
      <w:r w:rsidR="009C6201">
        <w:rPr>
          <w:bCs/>
          <w:color w:val="000000"/>
        </w:rPr>
        <w:t xml:space="preserve">with someone else but </w:t>
      </w:r>
      <w:r w:rsidR="00B85294">
        <w:rPr>
          <w:bCs/>
          <w:color w:val="000000"/>
        </w:rPr>
        <w:t xml:space="preserve">which threatened their continued right of occupation in the premises.  </w:t>
      </w:r>
    </w:p>
    <w:p w14:paraId="56EE3184" w14:textId="67855997" w:rsidR="00F972E3" w:rsidRDefault="003419FB" w:rsidP="00380C14">
      <w:pPr>
        <w:pStyle w:val="NormalWeb"/>
        <w:spacing w:before="240" w:beforeAutospacing="0" w:after="160" w:afterAutospacing="0" w:line="360" w:lineRule="auto"/>
        <w:ind w:left="720" w:hanging="660"/>
        <w:jc w:val="both"/>
        <w:rPr>
          <w:bCs/>
          <w:color w:val="000000"/>
        </w:rPr>
      </w:pPr>
      <w:r>
        <w:rPr>
          <w:bCs/>
          <w:color w:val="000000"/>
        </w:rPr>
        <w:t>[</w:t>
      </w:r>
      <w:r w:rsidR="00324E0E">
        <w:rPr>
          <w:bCs/>
          <w:color w:val="000000"/>
        </w:rPr>
        <w:t>38</w:t>
      </w:r>
      <w:r>
        <w:rPr>
          <w:bCs/>
          <w:color w:val="000000"/>
        </w:rPr>
        <w:t>]</w:t>
      </w:r>
      <w:r>
        <w:rPr>
          <w:bCs/>
          <w:color w:val="000000"/>
        </w:rPr>
        <w:tab/>
      </w:r>
      <w:r w:rsidR="00B85294">
        <w:rPr>
          <w:bCs/>
          <w:color w:val="000000"/>
        </w:rPr>
        <w:t>In the present suit, the first appellant’s connection to the dispute is through Dallaglio, its wholly owned subsidiary and perhaps</w:t>
      </w:r>
      <w:r w:rsidR="009C6201">
        <w:rPr>
          <w:bCs/>
          <w:color w:val="000000"/>
        </w:rPr>
        <w:t>,</w:t>
      </w:r>
      <w:r w:rsidR="00B85294">
        <w:rPr>
          <w:bCs/>
          <w:color w:val="000000"/>
        </w:rPr>
        <w:t xml:space="preserve"> also through </w:t>
      </w:r>
      <w:r w:rsidR="00F972E3">
        <w:rPr>
          <w:bCs/>
          <w:color w:val="000000"/>
        </w:rPr>
        <w:t xml:space="preserve">appellants 2 and 3 which are its minority shareholders. But the connection has no relevance to the question of its </w:t>
      </w:r>
      <w:r w:rsidR="00F972E3" w:rsidRPr="00F972E3">
        <w:rPr>
          <w:bCs/>
          <w:i/>
          <w:color w:val="000000"/>
        </w:rPr>
        <w:t>locus standi</w:t>
      </w:r>
      <w:r w:rsidR="00F972E3">
        <w:rPr>
          <w:bCs/>
          <w:color w:val="000000"/>
        </w:rPr>
        <w:t>.</w:t>
      </w:r>
    </w:p>
    <w:p w14:paraId="25DAB5A2" w14:textId="097D7CD3" w:rsidR="00380C14" w:rsidRDefault="00F972E3" w:rsidP="00380C14">
      <w:pPr>
        <w:pStyle w:val="NormalWeb"/>
        <w:spacing w:before="240" w:beforeAutospacing="0" w:after="160" w:afterAutospacing="0" w:line="360" w:lineRule="auto"/>
        <w:ind w:left="720" w:hanging="660"/>
        <w:jc w:val="both"/>
        <w:rPr>
          <w:bCs/>
          <w:color w:val="FFFFFF" w:themeColor="background1"/>
          <w:sz w:val="52"/>
          <w:szCs w:val="52"/>
        </w:rPr>
      </w:pPr>
      <w:r>
        <w:rPr>
          <w:bCs/>
          <w:color w:val="000000"/>
        </w:rPr>
        <w:t>[</w:t>
      </w:r>
      <w:r w:rsidR="00324E0E">
        <w:rPr>
          <w:bCs/>
          <w:color w:val="000000"/>
        </w:rPr>
        <w:t>39</w:t>
      </w:r>
      <w:r>
        <w:rPr>
          <w:bCs/>
          <w:color w:val="000000"/>
        </w:rPr>
        <w:t>]</w:t>
      </w:r>
      <w:r>
        <w:rPr>
          <w:bCs/>
          <w:color w:val="000000"/>
        </w:rPr>
        <w:tab/>
        <w:t>T</w:t>
      </w:r>
      <w:r w:rsidR="003419FB">
        <w:rPr>
          <w:bCs/>
          <w:color w:val="000000"/>
        </w:rPr>
        <w:t xml:space="preserve">hus, the respondent’s </w:t>
      </w:r>
      <w:r>
        <w:rPr>
          <w:bCs/>
          <w:color w:val="000000"/>
        </w:rPr>
        <w:t xml:space="preserve">preliminary </w:t>
      </w:r>
      <w:r w:rsidR="003419FB">
        <w:rPr>
          <w:bCs/>
          <w:color w:val="000000"/>
        </w:rPr>
        <w:t xml:space="preserve">objection to the first appellant’s standing in this appeal has merit. It is upheld. </w:t>
      </w:r>
      <w:r>
        <w:rPr>
          <w:bCs/>
          <w:color w:val="000000"/>
        </w:rPr>
        <w:t>However,</w:t>
      </w:r>
      <w:r w:rsidR="003419FB">
        <w:rPr>
          <w:bCs/>
          <w:color w:val="000000"/>
        </w:rPr>
        <w:t xml:space="preserve"> the </w:t>
      </w:r>
      <w:r>
        <w:rPr>
          <w:bCs/>
          <w:color w:val="000000"/>
        </w:rPr>
        <w:t>point</w:t>
      </w:r>
      <w:r w:rsidR="003419FB">
        <w:rPr>
          <w:bCs/>
          <w:color w:val="000000"/>
        </w:rPr>
        <w:t xml:space="preserve"> </w:t>
      </w:r>
      <w:r>
        <w:rPr>
          <w:bCs/>
          <w:color w:val="000000"/>
        </w:rPr>
        <w:t>seems</w:t>
      </w:r>
      <w:r w:rsidR="003419FB">
        <w:rPr>
          <w:bCs/>
          <w:color w:val="000000"/>
        </w:rPr>
        <w:t xml:space="preserve"> academic. </w:t>
      </w:r>
      <w:r>
        <w:rPr>
          <w:bCs/>
          <w:color w:val="000000"/>
        </w:rPr>
        <w:t>It</w:t>
      </w:r>
      <w:r w:rsidR="003419FB">
        <w:rPr>
          <w:bCs/>
          <w:color w:val="000000"/>
        </w:rPr>
        <w:t xml:space="preserve"> does not decide the </w:t>
      </w:r>
      <w:r w:rsidR="003419FB">
        <w:rPr>
          <w:bCs/>
          <w:color w:val="000000"/>
        </w:rPr>
        <w:lastRenderedPageBreak/>
        <w:t xml:space="preserve">case. It does not go to the root of the dispute. The dispute still remains to be determined in respect of appellants 2 and 3 against whom no objection has been taken. </w:t>
      </w:r>
      <w:r w:rsidR="00380C14">
        <w:rPr>
          <w:bCs/>
          <w:color w:val="000000"/>
        </w:rPr>
        <w:t xml:space="preserve">The issue may be relevant only to the question of costs. </w:t>
      </w:r>
    </w:p>
    <w:p w14:paraId="4DCF3095" w14:textId="77777777" w:rsidR="00380C14" w:rsidRDefault="00380C14" w:rsidP="00A67D62">
      <w:pPr>
        <w:pStyle w:val="NormalWeb"/>
        <w:spacing w:before="240" w:beforeAutospacing="0" w:after="160" w:afterAutospacing="0" w:line="360" w:lineRule="auto"/>
        <w:ind w:left="720" w:hanging="660"/>
        <w:jc w:val="both"/>
        <w:rPr>
          <w:b/>
          <w:bCs/>
          <w:color w:val="000000"/>
        </w:rPr>
      </w:pPr>
      <w:proofErr w:type="gramStart"/>
      <w:r>
        <w:rPr>
          <w:b/>
          <w:bCs/>
          <w:color w:val="000000"/>
        </w:rPr>
        <w:t>g</w:t>
      </w:r>
      <w:proofErr w:type="gramEnd"/>
      <w:r>
        <w:rPr>
          <w:b/>
          <w:bCs/>
          <w:color w:val="000000"/>
        </w:rPr>
        <w:tab/>
        <w:t>On the merits</w:t>
      </w:r>
    </w:p>
    <w:p w14:paraId="52E37B75" w14:textId="58723FF0" w:rsidR="00D14ECD" w:rsidRDefault="007F107B" w:rsidP="00D14ECD">
      <w:pPr>
        <w:pStyle w:val="NormalWeb"/>
        <w:spacing w:before="240" w:beforeAutospacing="0" w:after="160" w:afterAutospacing="0" w:line="360" w:lineRule="auto"/>
        <w:ind w:left="720" w:hanging="660"/>
        <w:jc w:val="both"/>
        <w:rPr>
          <w:bCs/>
          <w:color w:val="000000"/>
        </w:rPr>
      </w:pPr>
      <w:r>
        <w:rPr>
          <w:bCs/>
          <w:color w:val="000000"/>
        </w:rPr>
        <w:t>[</w:t>
      </w:r>
      <w:r w:rsidR="00324E0E">
        <w:rPr>
          <w:bCs/>
          <w:color w:val="000000"/>
        </w:rPr>
        <w:t>40</w:t>
      </w:r>
      <w:r>
        <w:rPr>
          <w:bCs/>
          <w:color w:val="000000"/>
        </w:rPr>
        <w:t>]</w:t>
      </w:r>
      <w:r>
        <w:rPr>
          <w:bCs/>
          <w:color w:val="000000"/>
        </w:rPr>
        <w:tab/>
      </w:r>
      <w:r w:rsidR="00D14ECD">
        <w:rPr>
          <w:bCs/>
          <w:color w:val="000000"/>
        </w:rPr>
        <w:t xml:space="preserve">The suit </w:t>
      </w:r>
      <w:r w:rsidR="00324E0E">
        <w:rPr>
          <w:bCs/>
          <w:color w:val="000000"/>
        </w:rPr>
        <w:t>before the court is in relation</w:t>
      </w:r>
      <w:r w:rsidR="00D14ECD">
        <w:rPr>
          <w:bCs/>
          <w:color w:val="000000"/>
        </w:rPr>
        <w:t xml:space="preserve"> to the transaction whereby appellants 2 and 3 disinvested </w:t>
      </w:r>
      <w:r w:rsidR="00DD2012">
        <w:rPr>
          <w:bCs/>
          <w:color w:val="000000"/>
        </w:rPr>
        <w:t>from</w:t>
      </w:r>
      <w:r w:rsidR="00D14ECD">
        <w:rPr>
          <w:bCs/>
          <w:color w:val="000000"/>
        </w:rPr>
        <w:t xml:space="preserve"> Dallaglio and invested in the first appellant. Before the transaction, the appellants were completely unrelated to each other</w:t>
      </w:r>
      <w:r w:rsidR="00DD2012">
        <w:rPr>
          <w:bCs/>
          <w:color w:val="000000"/>
        </w:rPr>
        <w:t>,</w:t>
      </w:r>
      <w:r w:rsidR="00D14ECD">
        <w:rPr>
          <w:bCs/>
          <w:color w:val="000000"/>
        </w:rPr>
        <w:t xml:space="preserve"> except that they all held shares in Dallaglio. </w:t>
      </w:r>
    </w:p>
    <w:p w14:paraId="7F667F01" w14:textId="7492FF13" w:rsidR="00DD2012" w:rsidRDefault="007F107B" w:rsidP="000D447B">
      <w:pPr>
        <w:pStyle w:val="NormalWeb"/>
        <w:spacing w:before="240" w:beforeAutospacing="0" w:after="160" w:afterAutospacing="0" w:line="360" w:lineRule="auto"/>
        <w:ind w:left="720" w:hanging="660"/>
        <w:jc w:val="both"/>
        <w:rPr>
          <w:bCs/>
          <w:color w:val="000000"/>
        </w:rPr>
      </w:pPr>
      <w:r>
        <w:rPr>
          <w:bCs/>
          <w:color w:val="000000"/>
        </w:rPr>
        <w:t>[</w:t>
      </w:r>
      <w:r w:rsidR="00324E0E">
        <w:rPr>
          <w:bCs/>
          <w:color w:val="000000"/>
        </w:rPr>
        <w:t>41</w:t>
      </w:r>
      <w:r>
        <w:rPr>
          <w:bCs/>
          <w:color w:val="000000"/>
        </w:rPr>
        <w:t>]</w:t>
      </w:r>
      <w:r w:rsidR="00DD2012">
        <w:rPr>
          <w:bCs/>
          <w:color w:val="000000"/>
        </w:rPr>
        <w:tab/>
      </w:r>
      <w:r w:rsidR="00DD2012" w:rsidRPr="000D447B">
        <w:t xml:space="preserve">The nature of the transfer </w:t>
      </w:r>
      <w:r w:rsidR="00DD2012">
        <w:t xml:space="preserve">in question </w:t>
      </w:r>
      <w:r w:rsidR="00DD2012" w:rsidRPr="000D447B">
        <w:t>m</w:t>
      </w:r>
      <w:r w:rsidR="00DD2012">
        <w:t>ight</w:t>
      </w:r>
      <w:r w:rsidR="00DD2012" w:rsidRPr="000D447B">
        <w:t xml:space="preserve"> have been in the course of</w:t>
      </w:r>
      <w:r w:rsidR="00DD2012">
        <w:t xml:space="preserve"> or in furtherance of a scheme of reconstruction of a group of companies. It might have been a merger within the meaning of s </w:t>
      </w:r>
      <w:r w:rsidR="00A96027">
        <w:t>2</w:t>
      </w:r>
      <w:r w:rsidR="00DD2012">
        <w:t xml:space="preserve"> of the Competition Act [</w:t>
      </w:r>
      <w:r w:rsidR="00A96027" w:rsidRPr="00A96027">
        <w:rPr>
          <w:i/>
        </w:rPr>
        <w:t>Chapter 14:28</w:t>
      </w:r>
      <w:r w:rsidR="00A96027">
        <w:t>]</w:t>
      </w:r>
      <w:r w:rsidR="00DD2012">
        <w:t>. It might well have been none of the above, but nonetheless a business operation of a similar nature.</w:t>
      </w:r>
      <w:r w:rsidR="001B35C8">
        <w:rPr>
          <w:bCs/>
          <w:color w:val="000000"/>
        </w:rPr>
        <w:t xml:space="preserve"> </w:t>
      </w:r>
      <w:r w:rsidR="00DD2012">
        <w:rPr>
          <w:bCs/>
          <w:color w:val="000000"/>
        </w:rPr>
        <w:t>This is the language of s 15[1</w:t>
      </w:r>
      <w:proofErr w:type="gramStart"/>
      <w:r w:rsidR="00DD2012">
        <w:rPr>
          <w:bCs/>
          <w:color w:val="000000"/>
        </w:rPr>
        <w:t>][</w:t>
      </w:r>
      <w:proofErr w:type="gramEnd"/>
      <w:r w:rsidR="00DD2012">
        <w:rPr>
          <w:bCs/>
          <w:color w:val="000000"/>
        </w:rPr>
        <w:t xml:space="preserve">b] of the Act. </w:t>
      </w:r>
    </w:p>
    <w:p w14:paraId="12A6A3E1" w14:textId="4E82878D" w:rsidR="00DD2012" w:rsidRDefault="00DD2012" w:rsidP="000D447B">
      <w:pPr>
        <w:pStyle w:val="NormalWeb"/>
        <w:spacing w:before="240" w:beforeAutospacing="0" w:after="160" w:afterAutospacing="0" w:line="360" w:lineRule="auto"/>
        <w:ind w:left="720" w:hanging="660"/>
        <w:jc w:val="both"/>
      </w:pPr>
      <w:r>
        <w:t>[</w:t>
      </w:r>
      <w:r w:rsidR="00324E0E">
        <w:t>42</w:t>
      </w:r>
      <w:r>
        <w:t>]</w:t>
      </w:r>
      <w:r>
        <w:tab/>
        <w:t>However, t</w:t>
      </w:r>
      <w:r w:rsidR="007F107B">
        <w:t xml:space="preserve">he appellants </w:t>
      </w:r>
      <w:r w:rsidR="00720D4E" w:rsidRPr="00E67996">
        <w:t xml:space="preserve">were </w:t>
      </w:r>
      <w:r>
        <w:t xml:space="preserve">demonstrably </w:t>
      </w:r>
      <w:r w:rsidR="00720D4E" w:rsidRPr="00E67996">
        <w:t>not under the same con</w:t>
      </w:r>
      <w:r w:rsidR="00A95120" w:rsidRPr="00E67996">
        <w:t>trol</w:t>
      </w:r>
      <w:r w:rsidR="007F107B">
        <w:t xml:space="preserve">. </w:t>
      </w:r>
      <w:r w:rsidR="004E7A30">
        <w:t xml:space="preserve">The phrase </w:t>
      </w:r>
      <w:r>
        <w:t>“</w:t>
      </w:r>
      <w:r w:rsidR="004E7A30">
        <w:t>u</w:t>
      </w:r>
      <w:r>
        <w:t xml:space="preserve">nder the same control” is also the plain language of s 15 of the Act. It is a requirement before the appellant can claim the relief they seek. </w:t>
      </w:r>
    </w:p>
    <w:p w14:paraId="178BA84E" w14:textId="6F6058AD" w:rsidR="00DD2012" w:rsidRDefault="00DD2012" w:rsidP="005C7644">
      <w:pPr>
        <w:pStyle w:val="NormalWeb"/>
        <w:spacing w:before="240" w:beforeAutospacing="0" w:after="160" w:afterAutospacing="0" w:line="360" w:lineRule="auto"/>
        <w:ind w:left="720" w:hanging="720"/>
        <w:jc w:val="both"/>
      </w:pPr>
      <w:r>
        <w:t>[</w:t>
      </w:r>
      <w:r w:rsidR="004E7A30">
        <w:t>43</w:t>
      </w:r>
      <w:r>
        <w:t>]</w:t>
      </w:r>
      <w:r>
        <w:tab/>
        <w:t xml:space="preserve">The appellants </w:t>
      </w:r>
      <w:r w:rsidR="007F107B">
        <w:t xml:space="preserve">had </w:t>
      </w:r>
      <w:r w:rsidR="00A95120" w:rsidRPr="00E67996">
        <w:t>a relationship as co-owners of Dallaglio</w:t>
      </w:r>
      <w:r w:rsidR="00720D4E" w:rsidRPr="00E67996">
        <w:t>.</w:t>
      </w:r>
      <w:r w:rsidR="005C7644" w:rsidRPr="005C7644">
        <w:t xml:space="preserve"> </w:t>
      </w:r>
      <w:r w:rsidR="005C7644" w:rsidRPr="00E67996">
        <w:t>Th</w:t>
      </w:r>
      <w:r w:rsidR="005C7644">
        <w:t xml:space="preserve">ey might all have been </w:t>
      </w:r>
      <w:r w:rsidR="005C7644" w:rsidRPr="00E67996">
        <w:t>in control of Dallaglio</w:t>
      </w:r>
      <w:r w:rsidR="005C7644">
        <w:t>. Bu</w:t>
      </w:r>
      <w:r w:rsidR="005C7644" w:rsidRPr="00E67996">
        <w:t xml:space="preserve">t </w:t>
      </w:r>
      <w:r w:rsidR="005C7644">
        <w:t xml:space="preserve">they </w:t>
      </w:r>
      <w:r w:rsidR="005C7644" w:rsidRPr="00E67996">
        <w:t>were each not under the same control.</w:t>
      </w:r>
      <w:r w:rsidR="005C7644">
        <w:t xml:space="preserve"> I</w:t>
      </w:r>
      <w:r w:rsidR="007F107B">
        <w:t xml:space="preserve">n terms of s 15 of the Act, there must be (i) transfer of ownership, (ii) of a specified asset, (iii) from one company </w:t>
      </w:r>
      <w:r w:rsidR="000D447B">
        <w:t>to another</w:t>
      </w:r>
      <w:r w:rsidR="005454E1">
        <w:t>,</w:t>
      </w:r>
      <w:r w:rsidR="000D447B">
        <w:t xml:space="preserve"> </w:t>
      </w:r>
      <w:proofErr w:type="gramStart"/>
      <w:r w:rsidR="000D447B">
        <w:t>(iv)</w:t>
      </w:r>
      <w:r w:rsidR="005454E1">
        <w:t xml:space="preserve"> </w:t>
      </w:r>
      <w:r w:rsidR="000D447B" w:rsidRPr="000D447B">
        <w:rPr>
          <w:u w:val="single"/>
        </w:rPr>
        <w:t>under</w:t>
      </w:r>
      <w:proofErr w:type="gramEnd"/>
      <w:r w:rsidR="000D447B" w:rsidRPr="000D447B">
        <w:rPr>
          <w:u w:val="single"/>
        </w:rPr>
        <w:t xml:space="preserve"> the same control</w:t>
      </w:r>
      <w:r>
        <w:rPr>
          <w:u w:val="single"/>
        </w:rPr>
        <w:t>.</w:t>
      </w:r>
      <w:r>
        <w:t xml:space="preserve"> </w:t>
      </w:r>
      <w:r>
        <w:rPr>
          <w:rFonts w:eastAsiaTheme="minorHAnsi"/>
          <w:color w:val="000000"/>
          <w14:ligatures w14:val="standardContextual"/>
        </w:rPr>
        <w:t>The appellants</w:t>
      </w:r>
      <w:r w:rsidR="000D447B">
        <w:t xml:space="preserve"> fall at the fourth hurdle. </w:t>
      </w:r>
      <w:r>
        <w:t xml:space="preserve">Their transaction is not consonant with the requirements of s 15 of the Act. </w:t>
      </w:r>
    </w:p>
    <w:p w14:paraId="618041C0" w14:textId="2B2F14CB" w:rsidR="000D447B" w:rsidRPr="000D447B" w:rsidRDefault="00DD2012" w:rsidP="00116930">
      <w:pPr>
        <w:pStyle w:val="NormalWeb"/>
        <w:spacing w:before="240" w:beforeAutospacing="0" w:after="160" w:afterAutospacing="0"/>
        <w:ind w:left="720" w:hanging="660"/>
        <w:jc w:val="both"/>
      </w:pPr>
      <w:r>
        <w:t>[</w:t>
      </w:r>
      <w:r w:rsidR="004E7A30">
        <w:t>44</w:t>
      </w:r>
      <w:r>
        <w:t>]</w:t>
      </w:r>
      <w:r>
        <w:tab/>
        <w:t xml:space="preserve">That companies “under the same control” is </w:t>
      </w:r>
      <w:r w:rsidR="005C7644">
        <w:t xml:space="preserve">the pith or fulcrum of the restriction or circumscription </w:t>
      </w:r>
      <w:r w:rsidR="004E7A30">
        <w:t>in</w:t>
      </w:r>
      <w:r w:rsidR="005C7644">
        <w:t xml:space="preserve"> s 15 of the Act</w:t>
      </w:r>
      <w:r>
        <w:t xml:space="preserve"> is fronted in the very heading of </w:t>
      </w:r>
      <w:r w:rsidR="005C7644">
        <w:t xml:space="preserve">that </w:t>
      </w:r>
      <w:r w:rsidR="00116930">
        <w:t>provision</w:t>
      </w:r>
      <w:r>
        <w:t xml:space="preserve">. </w:t>
      </w:r>
      <w:r w:rsidR="005C7644">
        <w:t xml:space="preserve">It </w:t>
      </w:r>
      <w:r w:rsidR="00B11C01">
        <w:t>reads</w:t>
      </w:r>
      <w:r w:rsidR="005C7644">
        <w:t>:</w:t>
      </w:r>
      <w:r w:rsidR="000D447B" w:rsidRPr="000D447B">
        <w:t xml:space="preserve"> </w:t>
      </w:r>
    </w:p>
    <w:p w14:paraId="0E52A009" w14:textId="04C1AFF2" w:rsidR="0011584F" w:rsidRPr="00E67996" w:rsidRDefault="00AC5FD4" w:rsidP="00116930">
      <w:pPr>
        <w:pStyle w:val="NormalWeb"/>
        <w:spacing w:before="240" w:beforeAutospacing="0" w:after="160" w:afterAutospacing="0"/>
        <w:jc w:val="both"/>
      </w:pPr>
      <w:r w:rsidRPr="00E67996">
        <w:t xml:space="preserve"> </w:t>
      </w:r>
      <w:r w:rsidR="005C7644">
        <w:tab/>
      </w:r>
      <w:r w:rsidR="005C7644">
        <w:tab/>
      </w:r>
      <w:r w:rsidRPr="005C7644">
        <w:t>“</w:t>
      </w:r>
      <w:r w:rsidR="0011584F" w:rsidRPr="001B35C8">
        <w:rPr>
          <w:b/>
          <w:bCs/>
          <w:sz w:val="22"/>
          <w:szCs w:val="22"/>
          <w:u w:val="single"/>
        </w:rPr>
        <w:t>Transfers of specified assets between companies under the same control</w:t>
      </w:r>
      <w:r w:rsidR="005C7644" w:rsidRPr="005C7644">
        <w:rPr>
          <w:bCs/>
        </w:rPr>
        <w:t>”</w:t>
      </w:r>
      <w:r w:rsidR="005C7644">
        <w:rPr>
          <w:b/>
          <w:bCs/>
        </w:rPr>
        <w:t xml:space="preserve"> </w:t>
      </w:r>
    </w:p>
    <w:p w14:paraId="4CEC22A8" w14:textId="15823731" w:rsidR="00116930" w:rsidRDefault="005C7644" w:rsidP="00116930">
      <w:pPr>
        <w:pStyle w:val="NormalWeb"/>
        <w:spacing w:before="240" w:beforeAutospacing="0" w:after="160" w:afterAutospacing="0" w:line="360" w:lineRule="auto"/>
        <w:ind w:left="720" w:hanging="720"/>
        <w:jc w:val="both"/>
      </w:pPr>
      <w:r>
        <w:lastRenderedPageBreak/>
        <w:t>[</w:t>
      </w:r>
      <w:r w:rsidR="004E7A30">
        <w:t>45</w:t>
      </w:r>
      <w:r>
        <w:t>]</w:t>
      </w:r>
      <w:r>
        <w:tab/>
        <w:t xml:space="preserve">The appellants dismiss the heading as merely one </w:t>
      </w:r>
      <w:r w:rsidR="00B11C01">
        <w:t>of</w:t>
      </w:r>
      <w:r>
        <w:t xml:space="preserve"> </w:t>
      </w:r>
      <w:r w:rsidR="00BA5AA2">
        <w:t xml:space="preserve">convenience </w:t>
      </w:r>
      <w:r w:rsidR="001B35C8">
        <w:t>for</w:t>
      </w:r>
      <w:r w:rsidR="00BA5AA2">
        <w:t xml:space="preserve"> </w:t>
      </w:r>
      <w:r>
        <w:t>reference purposes only. That cannot be. Th</w:t>
      </w:r>
      <w:r w:rsidR="00116930">
        <w:t xml:space="preserve">is </w:t>
      </w:r>
      <w:r w:rsidR="00A16B2C">
        <w:t xml:space="preserve">is </w:t>
      </w:r>
      <w:r w:rsidR="00116930">
        <w:t>a basic requirement. At any rate, in terms of s</w:t>
      </w:r>
      <w:r w:rsidR="00BA5AA2">
        <w:t xml:space="preserve"> 15B</w:t>
      </w:r>
      <w:r w:rsidR="00A16B2C">
        <w:t>, as read with s 7</w:t>
      </w:r>
      <w:r w:rsidR="00BA5AA2">
        <w:t xml:space="preserve"> </w:t>
      </w:r>
      <w:r w:rsidR="00116930">
        <w:t>of the Interpretation Act [</w:t>
      </w:r>
      <w:r w:rsidR="00116930" w:rsidRPr="00A96027">
        <w:rPr>
          <w:i/>
        </w:rPr>
        <w:t xml:space="preserve">Chapter </w:t>
      </w:r>
      <w:r w:rsidR="00A96027" w:rsidRPr="00A96027">
        <w:rPr>
          <w:i/>
        </w:rPr>
        <w:t>1:01</w:t>
      </w:r>
      <w:r w:rsidR="00116930">
        <w:t>], headings can be considered</w:t>
      </w:r>
      <w:r w:rsidR="00BA5AA2">
        <w:t xml:space="preserve"> for confirmation that the meaning of the contested provision is the ordinary meaning covere</w:t>
      </w:r>
      <w:r w:rsidR="00A16B2C">
        <w:t>d by the text of that provision</w:t>
      </w:r>
      <w:r w:rsidR="00116930">
        <w:t xml:space="preserve">. </w:t>
      </w:r>
    </w:p>
    <w:p w14:paraId="0E8DDB13" w14:textId="191E51D1" w:rsidR="003E2B94" w:rsidRPr="00E67996" w:rsidRDefault="00116930" w:rsidP="00116930">
      <w:pPr>
        <w:pStyle w:val="NormalWeb"/>
        <w:spacing w:before="240" w:beforeAutospacing="0" w:after="160" w:afterAutospacing="0" w:line="360" w:lineRule="auto"/>
        <w:ind w:left="720" w:hanging="720"/>
        <w:jc w:val="both"/>
        <w:rPr>
          <w:color w:val="000000"/>
        </w:rPr>
      </w:pPr>
      <w:r>
        <w:rPr>
          <w:color w:val="000000"/>
        </w:rPr>
        <w:t>[</w:t>
      </w:r>
      <w:r w:rsidR="004E7A30">
        <w:rPr>
          <w:color w:val="000000"/>
        </w:rPr>
        <w:t>46</w:t>
      </w:r>
      <w:r>
        <w:rPr>
          <w:color w:val="000000"/>
        </w:rPr>
        <w:t>]</w:t>
      </w:r>
      <w:r>
        <w:rPr>
          <w:color w:val="000000"/>
        </w:rPr>
        <w:tab/>
        <w:t>T</w:t>
      </w:r>
      <w:r w:rsidR="00B4066B" w:rsidRPr="00E67996">
        <w:rPr>
          <w:color w:val="000000"/>
        </w:rPr>
        <w:t xml:space="preserve">he consolidation of </w:t>
      </w:r>
      <w:r>
        <w:rPr>
          <w:color w:val="000000"/>
        </w:rPr>
        <w:t>Dallaglio, the subsidiary,</w:t>
      </w:r>
      <w:r w:rsidR="00B4066B" w:rsidRPr="00E67996">
        <w:rPr>
          <w:color w:val="000000"/>
        </w:rPr>
        <w:t xml:space="preserve"> to the current company</w:t>
      </w:r>
      <w:r>
        <w:rPr>
          <w:color w:val="000000"/>
        </w:rPr>
        <w:t>, the first appellant</w:t>
      </w:r>
      <w:r w:rsidR="00B4066B" w:rsidRPr="00E67996">
        <w:rPr>
          <w:color w:val="000000"/>
        </w:rPr>
        <w:t xml:space="preserve"> is not an issue</w:t>
      </w:r>
      <w:r>
        <w:rPr>
          <w:color w:val="000000"/>
        </w:rPr>
        <w:t>.</w:t>
      </w:r>
      <w:r w:rsidR="00B4066B" w:rsidRPr="00E67996">
        <w:rPr>
          <w:color w:val="000000"/>
        </w:rPr>
        <w:t xml:space="preserve"> </w:t>
      </w:r>
      <w:r>
        <w:rPr>
          <w:color w:val="000000"/>
        </w:rPr>
        <w:t>I</w:t>
      </w:r>
      <w:r w:rsidR="00B4066B" w:rsidRPr="00E67996">
        <w:rPr>
          <w:color w:val="000000"/>
        </w:rPr>
        <w:t xml:space="preserve">t is the position of the </w:t>
      </w:r>
      <w:r>
        <w:rPr>
          <w:color w:val="000000"/>
        </w:rPr>
        <w:t xml:space="preserve">appellants 2 and 3 </w:t>
      </w:r>
      <w:r w:rsidR="00B4066B" w:rsidRPr="00E67996">
        <w:rPr>
          <w:color w:val="000000"/>
        </w:rPr>
        <w:t xml:space="preserve">in relation to that consolidation </w:t>
      </w:r>
      <w:r>
        <w:rPr>
          <w:color w:val="000000"/>
        </w:rPr>
        <w:t>which</w:t>
      </w:r>
      <w:r w:rsidR="00B4066B" w:rsidRPr="00E67996">
        <w:rPr>
          <w:color w:val="000000"/>
        </w:rPr>
        <w:t xml:space="preserve"> is in issue.</w:t>
      </w:r>
      <w:r>
        <w:rPr>
          <w:color w:val="000000"/>
        </w:rPr>
        <w:t xml:space="preserve"> Simplified</w:t>
      </w:r>
      <w:r w:rsidR="005454E1">
        <w:rPr>
          <w:color w:val="000000"/>
        </w:rPr>
        <w:t>,</w:t>
      </w:r>
      <w:r w:rsidR="003E2B94" w:rsidRPr="00E67996">
        <w:rPr>
          <w:color w:val="000000"/>
        </w:rPr>
        <w:t xml:space="preserve"> </w:t>
      </w:r>
      <w:r>
        <w:rPr>
          <w:color w:val="000000"/>
        </w:rPr>
        <w:t xml:space="preserve">appellants 2 and 3 </w:t>
      </w:r>
      <w:r w:rsidR="003E2B94" w:rsidRPr="00E67996">
        <w:rPr>
          <w:color w:val="000000"/>
        </w:rPr>
        <w:t xml:space="preserve">were in shared control of Dallaglio but not in control of the </w:t>
      </w:r>
      <w:r>
        <w:rPr>
          <w:color w:val="000000"/>
        </w:rPr>
        <w:t>first a</w:t>
      </w:r>
      <w:r w:rsidR="003E2B94" w:rsidRPr="00E67996">
        <w:rPr>
          <w:color w:val="000000"/>
        </w:rPr>
        <w:t xml:space="preserve">ppellant. After the share swap, the </w:t>
      </w:r>
      <w:r>
        <w:rPr>
          <w:color w:val="000000"/>
        </w:rPr>
        <w:t xml:space="preserve">appellants 2 and 3 </w:t>
      </w:r>
      <w:r w:rsidR="003E2B94" w:rsidRPr="00E67996">
        <w:rPr>
          <w:color w:val="000000"/>
        </w:rPr>
        <w:t xml:space="preserve">are in shared control of the </w:t>
      </w:r>
      <w:r>
        <w:rPr>
          <w:color w:val="000000"/>
        </w:rPr>
        <w:t>first a</w:t>
      </w:r>
      <w:r w:rsidR="003E2B94" w:rsidRPr="00E67996">
        <w:rPr>
          <w:color w:val="000000"/>
        </w:rPr>
        <w:t>ppellant but not in control of Dallaglio anymore.</w:t>
      </w:r>
      <w:r>
        <w:rPr>
          <w:color w:val="000000"/>
        </w:rPr>
        <w:t xml:space="preserve"> The appellants seem to have got mixed up.</w:t>
      </w:r>
    </w:p>
    <w:p w14:paraId="7B12F09E" w14:textId="5AED8F8E" w:rsidR="00623089" w:rsidRDefault="00116930" w:rsidP="00116930">
      <w:pPr>
        <w:pStyle w:val="NormalWeb"/>
        <w:spacing w:before="240" w:beforeAutospacing="0" w:after="160" w:afterAutospacing="0" w:line="360" w:lineRule="auto"/>
        <w:ind w:left="720" w:hanging="720"/>
        <w:jc w:val="both"/>
        <w:rPr>
          <w:color w:val="000000"/>
        </w:rPr>
      </w:pPr>
      <w:r>
        <w:rPr>
          <w:color w:val="000000"/>
        </w:rPr>
        <w:t>[</w:t>
      </w:r>
      <w:r w:rsidR="004E7A30">
        <w:rPr>
          <w:color w:val="000000"/>
        </w:rPr>
        <w:t>47</w:t>
      </w:r>
      <w:r>
        <w:rPr>
          <w:color w:val="000000"/>
        </w:rPr>
        <w:t>]</w:t>
      </w:r>
      <w:r>
        <w:rPr>
          <w:color w:val="000000"/>
        </w:rPr>
        <w:tab/>
        <w:t>In closing, i</w:t>
      </w:r>
      <w:r w:rsidR="00041625" w:rsidRPr="00E67996">
        <w:rPr>
          <w:color w:val="000000"/>
        </w:rPr>
        <w:t xml:space="preserve">t is the </w:t>
      </w:r>
      <w:r>
        <w:rPr>
          <w:color w:val="000000"/>
        </w:rPr>
        <w:t>a</w:t>
      </w:r>
      <w:r w:rsidR="00041625" w:rsidRPr="00E67996">
        <w:rPr>
          <w:color w:val="000000"/>
        </w:rPr>
        <w:t>ppellants</w:t>
      </w:r>
      <w:r>
        <w:rPr>
          <w:color w:val="000000"/>
        </w:rPr>
        <w:t>’</w:t>
      </w:r>
      <w:r w:rsidR="00041625" w:rsidRPr="00E67996">
        <w:rPr>
          <w:color w:val="000000"/>
        </w:rPr>
        <w:t xml:space="preserve"> </w:t>
      </w:r>
      <w:r w:rsidR="009D74CF">
        <w:rPr>
          <w:color w:val="000000"/>
        </w:rPr>
        <w:t>contention</w:t>
      </w:r>
      <w:r w:rsidR="00041625" w:rsidRPr="00E67996">
        <w:rPr>
          <w:color w:val="000000"/>
        </w:rPr>
        <w:t xml:space="preserve"> that the </w:t>
      </w:r>
      <w:r>
        <w:rPr>
          <w:color w:val="000000"/>
        </w:rPr>
        <w:t>respondent</w:t>
      </w:r>
      <w:r w:rsidR="00041625" w:rsidRPr="00E67996">
        <w:rPr>
          <w:color w:val="000000"/>
        </w:rPr>
        <w:t xml:space="preserve">, </w:t>
      </w:r>
      <w:r>
        <w:rPr>
          <w:color w:val="000000"/>
        </w:rPr>
        <w:t>i</w:t>
      </w:r>
      <w:r w:rsidR="00041625" w:rsidRPr="00E67996">
        <w:rPr>
          <w:color w:val="000000"/>
        </w:rPr>
        <w:t xml:space="preserve">n </w:t>
      </w:r>
      <w:r>
        <w:rPr>
          <w:color w:val="000000"/>
        </w:rPr>
        <w:t xml:space="preserve">previous </w:t>
      </w:r>
      <w:r w:rsidR="00041625" w:rsidRPr="00E67996">
        <w:rPr>
          <w:color w:val="000000"/>
        </w:rPr>
        <w:t>similar circumstances relating to the FBC</w:t>
      </w:r>
      <w:r w:rsidR="009D74CF">
        <w:rPr>
          <w:color w:val="000000"/>
        </w:rPr>
        <w:t xml:space="preserve"> Holdings</w:t>
      </w:r>
      <w:r w:rsidR="00041625" w:rsidRPr="00E67996">
        <w:rPr>
          <w:color w:val="000000"/>
        </w:rPr>
        <w:t xml:space="preserve"> </w:t>
      </w:r>
      <w:r w:rsidR="001B35C8">
        <w:rPr>
          <w:color w:val="000000"/>
        </w:rPr>
        <w:t>/</w:t>
      </w:r>
      <w:r w:rsidR="00041625" w:rsidRPr="00E67996">
        <w:rPr>
          <w:color w:val="000000"/>
        </w:rPr>
        <w:t xml:space="preserve"> NSSA transaction</w:t>
      </w:r>
      <w:r w:rsidR="004E7A30">
        <w:rPr>
          <w:color w:val="000000"/>
        </w:rPr>
        <w:t>,</w:t>
      </w:r>
      <w:r w:rsidR="00041625" w:rsidRPr="00E67996">
        <w:rPr>
          <w:color w:val="000000"/>
        </w:rPr>
        <w:t xml:space="preserve"> reached a different conclusion</w:t>
      </w:r>
      <w:r w:rsidR="00623089">
        <w:rPr>
          <w:color w:val="000000"/>
        </w:rPr>
        <w:t>.</w:t>
      </w:r>
      <w:r w:rsidR="00041625" w:rsidRPr="00E67996">
        <w:rPr>
          <w:color w:val="000000"/>
        </w:rPr>
        <w:t xml:space="preserve"> The </w:t>
      </w:r>
      <w:r w:rsidR="00623089">
        <w:rPr>
          <w:color w:val="000000"/>
        </w:rPr>
        <w:t>a</w:t>
      </w:r>
      <w:r w:rsidR="00041625" w:rsidRPr="00E67996">
        <w:rPr>
          <w:color w:val="000000"/>
        </w:rPr>
        <w:t xml:space="preserve">ppellants </w:t>
      </w:r>
      <w:r w:rsidR="00623089">
        <w:rPr>
          <w:color w:val="000000"/>
        </w:rPr>
        <w:t xml:space="preserve">clamour </w:t>
      </w:r>
      <w:r w:rsidR="00041625" w:rsidRPr="00E67996">
        <w:rPr>
          <w:color w:val="000000"/>
        </w:rPr>
        <w:t>for equal treatment before the law.</w:t>
      </w:r>
      <w:r w:rsidR="008E40B2" w:rsidRPr="00E67996">
        <w:rPr>
          <w:color w:val="000000"/>
        </w:rPr>
        <w:t xml:space="preserve"> </w:t>
      </w:r>
    </w:p>
    <w:p w14:paraId="69D6AEDF" w14:textId="59A35FD2" w:rsidR="009D74CF" w:rsidRDefault="00623089" w:rsidP="00116930">
      <w:pPr>
        <w:pStyle w:val="NormalWeb"/>
        <w:spacing w:before="240" w:beforeAutospacing="0" w:after="160" w:afterAutospacing="0" w:line="360" w:lineRule="auto"/>
        <w:ind w:left="720" w:hanging="720"/>
        <w:jc w:val="both"/>
        <w:rPr>
          <w:color w:val="000000"/>
        </w:rPr>
      </w:pPr>
      <w:r>
        <w:rPr>
          <w:color w:val="000000"/>
        </w:rPr>
        <w:t>[</w:t>
      </w:r>
      <w:r w:rsidR="004E7A30">
        <w:rPr>
          <w:color w:val="000000"/>
        </w:rPr>
        <w:t>48</w:t>
      </w:r>
      <w:r>
        <w:rPr>
          <w:color w:val="000000"/>
        </w:rPr>
        <w:t>]</w:t>
      </w:r>
      <w:r>
        <w:rPr>
          <w:color w:val="000000"/>
        </w:rPr>
        <w:tab/>
        <w:t>Regrettably</w:t>
      </w:r>
      <w:r w:rsidR="00B61E5C">
        <w:rPr>
          <w:color w:val="000000"/>
        </w:rPr>
        <w:t>,</w:t>
      </w:r>
      <w:r w:rsidRPr="00623089">
        <w:rPr>
          <w:color w:val="000000"/>
        </w:rPr>
        <w:t xml:space="preserve"> </w:t>
      </w:r>
      <w:r>
        <w:rPr>
          <w:color w:val="000000"/>
        </w:rPr>
        <w:t>no</w:t>
      </w:r>
      <w:r w:rsidRPr="00E67996">
        <w:rPr>
          <w:color w:val="000000"/>
        </w:rPr>
        <w:t xml:space="preserve"> determination on this issue can </w:t>
      </w:r>
      <w:r w:rsidR="001B35C8">
        <w:rPr>
          <w:color w:val="000000"/>
        </w:rPr>
        <w:t xml:space="preserve">properly be </w:t>
      </w:r>
      <w:r w:rsidRPr="00E67996">
        <w:rPr>
          <w:color w:val="000000"/>
        </w:rPr>
        <w:t>made</w:t>
      </w:r>
      <w:r>
        <w:rPr>
          <w:color w:val="000000"/>
        </w:rPr>
        <w:t>. N</w:t>
      </w:r>
      <w:r w:rsidRPr="00E67996">
        <w:rPr>
          <w:color w:val="000000"/>
        </w:rPr>
        <w:t>o evidence of similar</w:t>
      </w:r>
      <w:r>
        <w:rPr>
          <w:color w:val="000000"/>
        </w:rPr>
        <w:t xml:space="preserve"> facts </w:t>
      </w:r>
      <w:r w:rsidRPr="00E67996">
        <w:rPr>
          <w:color w:val="000000"/>
        </w:rPr>
        <w:t>has been placed before the court</w:t>
      </w:r>
      <w:r w:rsidR="00B61E5C">
        <w:rPr>
          <w:color w:val="000000"/>
        </w:rPr>
        <w:t xml:space="preserve"> or has been agreed to between the parties. On the contrary, the respondent argues that the FBCH </w:t>
      </w:r>
      <w:r w:rsidR="001B35C8">
        <w:rPr>
          <w:color w:val="000000"/>
        </w:rPr>
        <w:t xml:space="preserve">/ </w:t>
      </w:r>
      <w:r w:rsidR="00B61E5C">
        <w:rPr>
          <w:color w:val="000000"/>
        </w:rPr>
        <w:t>NSSA transaction was determined on completely different grounds, not least the fact that NSSA is a statutory corporation which</w:t>
      </w:r>
      <w:r w:rsidR="00BA5AA2">
        <w:rPr>
          <w:color w:val="000000"/>
        </w:rPr>
        <w:t xml:space="preserve">, </w:t>
      </w:r>
      <w:r w:rsidR="00B61E5C">
        <w:rPr>
          <w:color w:val="000000"/>
        </w:rPr>
        <w:t xml:space="preserve">by operation </w:t>
      </w:r>
      <w:r w:rsidR="00BA5AA2">
        <w:rPr>
          <w:color w:val="000000"/>
        </w:rPr>
        <w:t xml:space="preserve">of law, is exempt from these types of taxes. </w:t>
      </w:r>
    </w:p>
    <w:p w14:paraId="716AD9C5" w14:textId="49362684" w:rsidR="009D74CF" w:rsidRDefault="009D74CF" w:rsidP="00116930">
      <w:pPr>
        <w:pStyle w:val="NormalWeb"/>
        <w:spacing w:before="240" w:beforeAutospacing="0" w:after="160" w:afterAutospacing="0" w:line="360" w:lineRule="auto"/>
        <w:ind w:left="720" w:hanging="720"/>
        <w:jc w:val="both"/>
        <w:rPr>
          <w:color w:val="000000"/>
        </w:rPr>
      </w:pPr>
      <w:r>
        <w:rPr>
          <w:color w:val="000000"/>
        </w:rPr>
        <w:t>[</w:t>
      </w:r>
      <w:r w:rsidR="004E7A30">
        <w:rPr>
          <w:color w:val="000000"/>
        </w:rPr>
        <w:t>49</w:t>
      </w:r>
      <w:r>
        <w:rPr>
          <w:color w:val="000000"/>
        </w:rPr>
        <w:t>]</w:t>
      </w:r>
      <w:r>
        <w:rPr>
          <w:color w:val="000000"/>
        </w:rPr>
        <w:tab/>
        <w:t>What the court has understood from the parties’ argument is that the FBC Holdings / NSSA transaction concerned the transfer of shares to form a merger between FBC Bank and FBC Building Society</w:t>
      </w:r>
      <w:r w:rsidR="001B35C8">
        <w:rPr>
          <w:color w:val="000000"/>
        </w:rPr>
        <w:t xml:space="preserve">, a transaction </w:t>
      </w:r>
      <w:r w:rsidR="004E7A30">
        <w:rPr>
          <w:color w:val="000000"/>
        </w:rPr>
        <w:t xml:space="preserve">by </w:t>
      </w:r>
      <w:r>
        <w:rPr>
          <w:color w:val="000000"/>
        </w:rPr>
        <w:t xml:space="preserve">two companies under the same control. If that was so, then that would have been within the circumstances contemplated by s 15 of the Act. </w:t>
      </w:r>
    </w:p>
    <w:p w14:paraId="66ACE2A9" w14:textId="6E1990DE" w:rsidR="009D74CF" w:rsidRDefault="009D74CF" w:rsidP="00116930">
      <w:pPr>
        <w:pStyle w:val="NormalWeb"/>
        <w:spacing w:before="240" w:beforeAutospacing="0" w:after="160" w:afterAutospacing="0" w:line="360" w:lineRule="auto"/>
        <w:ind w:left="720" w:hanging="720"/>
        <w:jc w:val="both"/>
        <w:rPr>
          <w:color w:val="000000"/>
        </w:rPr>
      </w:pPr>
      <w:r>
        <w:rPr>
          <w:color w:val="000000"/>
        </w:rPr>
        <w:lastRenderedPageBreak/>
        <w:t>[</w:t>
      </w:r>
      <w:r w:rsidR="004E7A30">
        <w:rPr>
          <w:color w:val="000000"/>
        </w:rPr>
        <w:t>50</w:t>
      </w:r>
      <w:r>
        <w:rPr>
          <w:color w:val="000000"/>
        </w:rPr>
        <w:t>]</w:t>
      </w:r>
      <w:r>
        <w:rPr>
          <w:color w:val="000000"/>
        </w:rPr>
        <w:tab/>
        <w:t>It is also the contention of the respondent that the transfer of shares from NSSA to FBC Holdings is exempt from capital gains tax by virtue of s 10 of the Act. NSSA is a statutory corporation.</w:t>
      </w:r>
      <w:r w:rsidR="001B35C8">
        <w:rPr>
          <w:color w:val="000000"/>
        </w:rPr>
        <w:t xml:space="preserve"> It is exempted from this type of tax.</w:t>
      </w:r>
    </w:p>
    <w:p w14:paraId="411EDDFD" w14:textId="7EE62FA6" w:rsidR="008C4FF9" w:rsidRPr="008C4FF9" w:rsidRDefault="009D74CF" w:rsidP="00116930">
      <w:pPr>
        <w:pStyle w:val="NormalWeb"/>
        <w:spacing w:before="240" w:beforeAutospacing="0" w:after="160" w:afterAutospacing="0" w:line="360" w:lineRule="auto"/>
        <w:ind w:left="720" w:hanging="720"/>
        <w:jc w:val="both"/>
        <w:rPr>
          <w:color w:val="000000"/>
        </w:rPr>
      </w:pPr>
      <w:r w:rsidRPr="008C4FF9">
        <w:rPr>
          <w:color w:val="000000"/>
        </w:rPr>
        <w:t>[</w:t>
      </w:r>
      <w:r w:rsidR="004E7A30">
        <w:rPr>
          <w:color w:val="000000"/>
        </w:rPr>
        <w:t>51</w:t>
      </w:r>
      <w:r w:rsidRPr="008C4FF9">
        <w:rPr>
          <w:color w:val="000000"/>
        </w:rPr>
        <w:t>]</w:t>
      </w:r>
      <w:r w:rsidRPr="008C4FF9">
        <w:rPr>
          <w:color w:val="000000"/>
        </w:rPr>
        <w:tab/>
        <w:t xml:space="preserve">The </w:t>
      </w:r>
      <w:r w:rsidR="008C4FF9" w:rsidRPr="008C4FF9">
        <w:rPr>
          <w:color w:val="000000"/>
        </w:rPr>
        <w:t>appellants should have compared like with like. Their reference to the F</w:t>
      </w:r>
      <w:r w:rsidR="004E7A30">
        <w:rPr>
          <w:color w:val="000000"/>
        </w:rPr>
        <w:t xml:space="preserve">BC Holdings / NSSA transaction does </w:t>
      </w:r>
      <w:r w:rsidR="008C4FF9" w:rsidRPr="008C4FF9">
        <w:rPr>
          <w:color w:val="000000"/>
        </w:rPr>
        <w:t>not help them.</w:t>
      </w:r>
    </w:p>
    <w:p w14:paraId="46BCFCA5" w14:textId="27A5DAD8" w:rsidR="008C4FF9" w:rsidRPr="008C4FF9" w:rsidRDefault="008C4FF9" w:rsidP="008C4FF9">
      <w:pPr>
        <w:spacing w:line="360" w:lineRule="auto"/>
        <w:ind w:left="720" w:hanging="720"/>
        <w:jc w:val="both"/>
        <w:rPr>
          <w:rFonts w:ascii="Times New Roman" w:hAnsi="Times New Roman" w:cs="Times New Roman"/>
        </w:rPr>
      </w:pPr>
      <w:r w:rsidRPr="008C4FF9">
        <w:rPr>
          <w:rFonts w:ascii="Times New Roman" w:hAnsi="Times New Roman" w:cs="Times New Roman"/>
        </w:rPr>
        <w:t>[</w:t>
      </w:r>
      <w:r w:rsidR="004E7A30">
        <w:rPr>
          <w:rFonts w:ascii="Times New Roman" w:hAnsi="Times New Roman" w:cs="Times New Roman"/>
        </w:rPr>
        <w:t>52</w:t>
      </w:r>
      <w:r w:rsidRPr="008C4FF9">
        <w:rPr>
          <w:rFonts w:ascii="Times New Roman" w:hAnsi="Times New Roman" w:cs="Times New Roman"/>
        </w:rPr>
        <w:t>]</w:t>
      </w:r>
      <w:r w:rsidRPr="008C4FF9">
        <w:rPr>
          <w:rFonts w:ascii="Times New Roman" w:hAnsi="Times New Roman" w:cs="Times New Roman"/>
        </w:rPr>
        <w:tab/>
        <w:t xml:space="preserve">An estoppel argument against a litigant such as the respondent is always a difficult mountain to climb. Past administrative errors by a central collector </w:t>
      </w:r>
      <w:r w:rsidR="004E7A30">
        <w:rPr>
          <w:rFonts w:ascii="Times New Roman" w:hAnsi="Times New Roman" w:cs="Times New Roman"/>
        </w:rPr>
        <w:t xml:space="preserve">of revenue </w:t>
      </w:r>
      <w:r w:rsidRPr="008C4FF9">
        <w:rPr>
          <w:rFonts w:ascii="Times New Roman" w:hAnsi="Times New Roman" w:cs="Times New Roman"/>
        </w:rPr>
        <w:t xml:space="preserve">do not create legal entitlements: see </w:t>
      </w:r>
      <w:r w:rsidRPr="008C4FF9">
        <w:rPr>
          <w:rFonts w:ascii="Times New Roman" w:hAnsi="Times New Roman" w:cs="Times New Roman"/>
          <w:bCs/>
          <w:i/>
        </w:rPr>
        <w:t>Commissioner of Taxes v Astra Holdings [Pvt] Ltd</w:t>
      </w:r>
      <w:r w:rsidRPr="008C4FF9">
        <w:rPr>
          <w:rFonts w:ascii="Times New Roman" w:hAnsi="Times New Roman" w:cs="Times New Roman"/>
          <w:bCs/>
        </w:rPr>
        <w:t xml:space="preserve"> 2003 (1) ZLR 417 (S) and </w:t>
      </w:r>
      <w:r w:rsidRPr="008C4FF9">
        <w:rPr>
          <w:rFonts w:ascii="Times New Roman" w:hAnsi="Times New Roman" w:cs="Times New Roman"/>
          <w:bCs/>
          <w:i/>
        </w:rPr>
        <w:t>R v Board of Inland Revenue, ep MFK Underwriting Agencies Ltd</w:t>
      </w:r>
      <w:r w:rsidRPr="008C4FF9">
        <w:rPr>
          <w:rFonts w:ascii="Times New Roman" w:hAnsi="Times New Roman" w:cs="Times New Roman"/>
          <w:bCs/>
        </w:rPr>
        <w:t xml:space="preserve"> [1990] 1 All ER 9. T</w:t>
      </w:r>
      <w:r w:rsidRPr="008C4FF9">
        <w:rPr>
          <w:rFonts w:ascii="Times New Roman" w:hAnsi="Times New Roman" w:cs="Times New Roman"/>
        </w:rPr>
        <w:t>axpayers must be taxed by law, not by administrative lapses.</w:t>
      </w:r>
    </w:p>
    <w:p w14:paraId="6482597F" w14:textId="162CA169" w:rsidR="008C4FF9" w:rsidRDefault="008C4FF9" w:rsidP="008C4FF9">
      <w:pPr>
        <w:spacing w:line="360" w:lineRule="auto"/>
        <w:ind w:left="720" w:hanging="720"/>
        <w:jc w:val="both"/>
        <w:rPr>
          <w:rFonts w:ascii="Times New Roman" w:hAnsi="Times New Roman" w:cs="Times New Roman"/>
        </w:rPr>
      </w:pPr>
      <w:r w:rsidRPr="008C4FF9">
        <w:rPr>
          <w:rFonts w:ascii="Times New Roman" w:hAnsi="Times New Roman" w:cs="Times New Roman"/>
        </w:rPr>
        <w:t>[</w:t>
      </w:r>
      <w:r w:rsidR="004E7A30">
        <w:rPr>
          <w:rFonts w:ascii="Times New Roman" w:hAnsi="Times New Roman" w:cs="Times New Roman"/>
        </w:rPr>
        <w:t>53</w:t>
      </w:r>
      <w:r w:rsidRPr="008C4FF9">
        <w:rPr>
          <w:rFonts w:ascii="Times New Roman" w:hAnsi="Times New Roman" w:cs="Times New Roman"/>
        </w:rPr>
        <w:t>]</w:t>
      </w:r>
      <w:r w:rsidRPr="008C4FF9">
        <w:rPr>
          <w:rFonts w:ascii="Times New Roman" w:hAnsi="Times New Roman" w:cs="Times New Roman"/>
        </w:rPr>
        <w:tab/>
        <w:t>Thus</w:t>
      </w:r>
      <w:r w:rsidR="00EE02B1">
        <w:rPr>
          <w:rFonts w:ascii="Times New Roman" w:hAnsi="Times New Roman" w:cs="Times New Roman"/>
        </w:rPr>
        <w:t>,</w:t>
      </w:r>
      <w:r w:rsidRPr="008C4FF9">
        <w:rPr>
          <w:rFonts w:ascii="Times New Roman" w:hAnsi="Times New Roman" w:cs="Times New Roman"/>
        </w:rPr>
        <w:t xml:space="preserve"> it would not help the appellants </w:t>
      </w:r>
      <w:r w:rsidR="001B35C8">
        <w:rPr>
          <w:rFonts w:ascii="Times New Roman" w:hAnsi="Times New Roman" w:cs="Times New Roman"/>
        </w:rPr>
        <w:t>to argue that just because</w:t>
      </w:r>
      <w:r w:rsidRPr="008C4FF9">
        <w:rPr>
          <w:rFonts w:ascii="Times New Roman" w:hAnsi="Times New Roman" w:cs="Times New Roman"/>
        </w:rPr>
        <w:t xml:space="preserve"> the respondent might have got it wrong the previous time</w:t>
      </w:r>
      <w:r w:rsidR="001B35C8">
        <w:rPr>
          <w:rFonts w:ascii="Times New Roman" w:hAnsi="Times New Roman" w:cs="Times New Roman"/>
        </w:rPr>
        <w:t>, which is not the case,</w:t>
      </w:r>
      <w:r w:rsidRPr="008C4FF9">
        <w:rPr>
          <w:rFonts w:ascii="Times New Roman" w:hAnsi="Times New Roman" w:cs="Times New Roman"/>
        </w:rPr>
        <w:t xml:space="preserve"> the court </w:t>
      </w:r>
      <w:r w:rsidR="001B35C8">
        <w:rPr>
          <w:rFonts w:ascii="Times New Roman" w:hAnsi="Times New Roman" w:cs="Times New Roman"/>
        </w:rPr>
        <w:t>must</w:t>
      </w:r>
      <w:r w:rsidRPr="008C4FF9">
        <w:rPr>
          <w:rFonts w:ascii="Times New Roman" w:hAnsi="Times New Roman" w:cs="Times New Roman"/>
        </w:rPr>
        <w:t xml:space="preserve"> order it to keep getting it wrong. </w:t>
      </w:r>
      <w:r w:rsidR="001B35C8">
        <w:rPr>
          <w:rFonts w:ascii="Times New Roman" w:hAnsi="Times New Roman" w:cs="Times New Roman"/>
        </w:rPr>
        <w:t xml:space="preserve">Although, expressed somewhat bluntly like that, that is what the estoppel argument boils down to. </w:t>
      </w:r>
    </w:p>
    <w:p w14:paraId="4938EB0C" w14:textId="29AE40EB" w:rsidR="005454E1" w:rsidRDefault="005454E1" w:rsidP="008C4FF9">
      <w:pPr>
        <w:spacing w:line="360" w:lineRule="auto"/>
        <w:ind w:left="720" w:hanging="720"/>
        <w:jc w:val="both"/>
        <w:rPr>
          <w:rFonts w:ascii="Times New Roman" w:hAnsi="Times New Roman" w:cs="Times New Roman"/>
        </w:rPr>
      </w:pPr>
      <w:r>
        <w:rPr>
          <w:rFonts w:ascii="Times New Roman" w:hAnsi="Times New Roman" w:cs="Times New Roman"/>
        </w:rPr>
        <w:t>[54]</w:t>
      </w:r>
      <w:r>
        <w:rPr>
          <w:rFonts w:ascii="Times New Roman" w:hAnsi="Times New Roman" w:cs="Times New Roman"/>
        </w:rPr>
        <w:tab/>
        <w:t>However, in light of the findings above, it has become no longer necessary to decide the issue of estoppel.</w:t>
      </w:r>
    </w:p>
    <w:p w14:paraId="380B1F1D" w14:textId="258902FC" w:rsidR="00911413" w:rsidRPr="008C4FF9" w:rsidRDefault="00EF0A51" w:rsidP="008C4FF9">
      <w:pPr>
        <w:spacing w:line="360" w:lineRule="auto"/>
        <w:ind w:left="720" w:hanging="720"/>
        <w:jc w:val="both"/>
        <w:rPr>
          <w:rFonts w:ascii="Times New Roman" w:hAnsi="Times New Roman" w:cs="Times New Roman"/>
        </w:rPr>
      </w:pPr>
      <w:proofErr w:type="gramStart"/>
      <w:r>
        <w:rPr>
          <w:rFonts w:ascii="Times New Roman" w:hAnsi="Times New Roman" w:cs="Times New Roman"/>
          <w:b/>
        </w:rPr>
        <w:t>h</w:t>
      </w:r>
      <w:proofErr w:type="gramEnd"/>
      <w:r w:rsidR="008C4FF9" w:rsidRPr="008C4FF9">
        <w:rPr>
          <w:rFonts w:ascii="Times New Roman" w:hAnsi="Times New Roman" w:cs="Times New Roman"/>
          <w:b/>
        </w:rPr>
        <w:tab/>
      </w:r>
      <w:r w:rsidR="008C4FF9" w:rsidRPr="008C4FF9">
        <w:rPr>
          <w:rFonts w:ascii="Times New Roman" w:eastAsia="Times New Roman" w:hAnsi="Times New Roman" w:cs="Times New Roman"/>
          <w:b/>
          <w:bCs/>
          <w:color w:val="000000"/>
          <w:kern w:val="0"/>
          <w14:ligatures w14:val="none"/>
        </w:rPr>
        <w:t>D</w:t>
      </w:r>
      <w:r w:rsidR="00B63B25" w:rsidRPr="008C4FF9">
        <w:rPr>
          <w:rFonts w:ascii="Times New Roman" w:hAnsi="Times New Roman" w:cs="Times New Roman"/>
          <w:b/>
          <w:bCs/>
          <w:color w:val="000000"/>
        </w:rPr>
        <w:t>isposition</w:t>
      </w:r>
    </w:p>
    <w:p w14:paraId="7AE324DE" w14:textId="6E1EB98C" w:rsidR="00B63B25" w:rsidRPr="00E67996" w:rsidRDefault="00EE02B1" w:rsidP="00EE02B1">
      <w:pPr>
        <w:pStyle w:val="NormalWeb"/>
        <w:spacing w:before="240" w:beforeAutospacing="0" w:after="160" w:afterAutospacing="0" w:line="360" w:lineRule="auto"/>
        <w:ind w:left="720" w:hanging="720"/>
        <w:jc w:val="both"/>
        <w:rPr>
          <w:color w:val="000000"/>
        </w:rPr>
      </w:pPr>
      <w:r>
        <w:rPr>
          <w:color w:val="000000"/>
        </w:rPr>
        <w:t>[</w:t>
      </w:r>
      <w:r w:rsidR="004E7A30">
        <w:rPr>
          <w:color w:val="000000"/>
        </w:rPr>
        <w:t>5</w:t>
      </w:r>
      <w:r w:rsidR="005454E1">
        <w:rPr>
          <w:color w:val="000000"/>
        </w:rPr>
        <w:t>5</w:t>
      </w:r>
      <w:r>
        <w:rPr>
          <w:color w:val="000000"/>
        </w:rPr>
        <w:t>]</w:t>
      </w:r>
      <w:r>
        <w:rPr>
          <w:color w:val="000000"/>
        </w:rPr>
        <w:tab/>
      </w:r>
      <w:r w:rsidR="00B03180" w:rsidRPr="00E67996">
        <w:rPr>
          <w:color w:val="000000"/>
        </w:rPr>
        <w:t>The</w:t>
      </w:r>
      <w:r w:rsidR="00911413" w:rsidRPr="00E67996">
        <w:rPr>
          <w:color w:val="000000"/>
        </w:rPr>
        <w:t xml:space="preserve"> </w:t>
      </w:r>
      <w:r>
        <w:rPr>
          <w:color w:val="000000"/>
        </w:rPr>
        <w:t>first appellant was improperly cited as an appellant in this matter. The a</w:t>
      </w:r>
      <w:r w:rsidR="00911413" w:rsidRPr="00E67996">
        <w:rPr>
          <w:color w:val="000000"/>
        </w:rPr>
        <w:t xml:space="preserve">ppellants </w:t>
      </w:r>
      <w:r>
        <w:rPr>
          <w:color w:val="000000"/>
        </w:rPr>
        <w:t xml:space="preserve">have </w:t>
      </w:r>
      <w:r w:rsidR="00911413" w:rsidRPr="00E67996">
        <w:rPr>
          <w:color w:val="000000"/>
        </w:rPr>
        <w:t>misinterpreted the provisions of s 15 of the C</w:t>
      </w:r>
      <w:r>
        <w:rPr>
          <w:color w:val="000000"/>
        </w:rPr>
        <w:t xml:space="preserve">apital </w:t>
      </w:r>
      <w:r w:rsidR="00911413" w:rsidRPr="00E67996">
        <w:rPr>
          <w:color w:val="000000"/>
        </w:rPr>
        <w:t>G</w:t>
      </w:r>
      <w:r>
        <w:rPr>
          <w:color w:val="000000"/>
        </w:rPr>
        <w:t xml:space="preserve">ains </w:t>
      </w:r>
      <w:r w:rsidR="00911413" w:rsidRPr="00E67996">
        <w:rPr>
          <w:color w:val="000000"/>
        </w:rPr>
        <w:t>T</w:t>
      </w:r>
      <w:r>
        <w:rPr>
          <w:color w:val="000000"/>
        </w:rPr>
        <w:t>ax</w:t>
      </w:r>
      <w:r w:rsidR="00911413" w:rsidRPr="00E67996">
        <w:rPr>
          <w:color w:val="000000"/>
        </w:rPr>
        <w:t xml:space="preserve"> Act.</w:t>
      </w:r>
      <w:r w:rsidR="00AC0E76" w:rsidRPr="00E67996">
        <w:rPr>
          <w:color w:val="000000"/>
        </w:rPr>
        <w:t xml:space="preserve"> </w:t>
      </w:r>
      <w:r>
        <w:rPr>
          <w:color w:val="000000"/>
        </w:rPr>
        <w:t>The transaction involving the appellants which the respondent impeached for capital gains tax payment did not qualify for deferment. I</w:t>
      </w:r>
      <w:r w:rsidR="00B63B25" w:rsidRPr="00E67996">
        <w:rPr>
          <w:color w:val="000000"/>
        </w:rPr>
        <w:t xml:space="preserve">n the result, </w:t>
      </w:r>
      <w:r>
        <w:rPr>
          <w:color w:val="000000"/>
        </w:rPr>
        <w:t>t</w:t>
      </w:r>
      <w:r w:rsidR="00B63B25" w:rsidRPr="00E67996">
        <w:rPr>
          <w:color w:val="000000"/>
        </w:rPr>
        <w:t xml:space="preserve">he </w:t>
      </w:r>
      <w:r>
        <w:rPr>
          <w:color w:val="000000"/>
        </w:rPr>
        <w:t>a</w:t>
      </w:r>
      <w:r w:rsidR="00DA294D" w:rsidRPr="00E67996">
        <w:rPr>
          <w:color w:val="000000"/>
        </w:rPr>
        <w:t xml:space="preserve">ppeal </w:t>
      </w:r>
      <w:r w:rsidR="0075213D" w:rsidRPr="00E67996">
        <w:rPr>
          <w:color w:val="000000"/>
        </w:rPr>
        <w:t xml:space="preserve">is </w:t>
      </w:r>
      <w:r w:rsidR="004E7A30">
        <w:rPr>
          <w:color w:val="000000"/>
        </w:rPr>
        <w:t xml:space="preserve">hereby </w:t>
      </w:r>
      <w:r w:rsidR="0075213D" w:rsidRPr="00E67996">
        <w:rPr>
          <w:color w:val="000000"/>
        </w:rPr>
        <w:t>dismissed with costs.</w:t>
      </w:r>
    </w:p>
    <w:p w14:paraId="3C40E81A" w14:textId="6F722937" w:rsidR="00EF0A51" w:rsidRDefault="00EF0A51" w:rsidP="00EF0A51">
      <w:pPr>
        <w:spacing w:after="0" w:line="240" w:lineRule="auto"/>
        <w:jc w:val="right"/>
        <w:rPr>
          <w:rFonts w:ascii="Times New Roman" w:hAnsi="Times New Roman"/>
        </w:rPr>
      </w:pPr>
      <w:r>
        <w:rPr>
          <w:rFonts w:ascii="Times New Roman" w:hAnsi="Times New Roman"/>
        </w:rPr>
        <w:t>2</w:t>
      </w:r>
      <w:r w:rsidR="00B11C01">
        <w:rPr>
          <w:rFonts w:ascii="Times New Roman" w:hAnsi="Times New Roman"/>
        </w:rPr>
        <w:t>1</w:t>
      </w:r>
      <w:r w:rsidR="005454E1">
        <w:rPr>
          <w:rFonts w:ascii="Times New Roman" w:hAnsi="Times New Roman"/>
        </w:rPr>
        <w:t xml:space="preserve"> </w:t>
      </w:r>
      <w:r>
        <w:rPr>
          <w:rFonts w:ascii="Times New Roman" w:hAnsi="Times New Roman"/>
        </w:rPr>
        <w:t>October 2025</w:t>
      </w:r>
    </w:p>
    <w:p w14:paraId="2114F4B1" w14:textId="77777777" w:rsidR="00EF0A51" w:rsidRPr="00726148" w:rsidRDefault="00EF0A51" w:rsidP="00EF0A51">
      <w:pPr>
        <w:spacing w:after="0" w:line="360" w:lineRule="auto"/>
        <w:jc w:val="right"/>
        <w:rPr>
          <w:rFonts w:ascii="Times New Roman" w:hAnsi="Times New Roman"/>
        </w:rPr>
      </w:pPr>
      <w:r w:rsidRPr="00726148">
        <w:rPr>
          <w:rFonts w:ascii="Times New Roman" w:hAnsi="Times New Roman"/>
          <w:noProof/>
          <w:lang w:val="en-ZW" w:eastAsia="en-ZW"/>
        </w:rPr>
        <w:drawing>
          <wp:inline distT="0" distB="0" distL="0" distR="0" wp14:anchorId="6C4FC792" wp14:editId="4BA8158A">
            <wp:extent cx="993775" cy="437515"/>
            <wp:effectExtent l="0" t="0" r="0" b="635"/>
            <wp:docPr id="1"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3775" cy="437515"/>
                    </a:xfrm>
                    <a:prstGeom prst="rect">
                      <a:avLst/>
                    </a:prstGeom>
                    <a:noFill/>
                    <a:ln>
                      <a:noFill/>
                    </a:ln>
                  </pic:spPr>
                </pic:pic>
              </a:graphicData>
            </a:graphic>
          </wp:inline>
        </w:drawing>
      </w:r>
    </w:p>
    <w:p w14:paraId="3BFBFA40" w14:textId="5ABC755C" w:rsidR="00EF0A51" w:rsidRDefault="00EF0A51" w:rsidP="00EF0A51">
      <w:pPr>
        <w:spacing w:after="0" w:line="240" w:lineRule="auto"/>
        <w:jc w:val="both"/>
        <w:rPr>
          <w:rFonts w:ascii="Times New Roman" w:hAnsi="Times New Roman"/>
          <w:i/>
        </w:rPr>
      </w:pPr>
      <w:r>
        <w:rPr>
          <w:rFonts w:ascii="Times New Roman" w:hAnsi="Times New Roman"/>
          <w:i/>
        </w:rPr>
        <w:t xml:space="preserve">Dube, Manikai &amp; Hwacha, </w:t>
      </w:r>
      <w:r w:rsidRPr="00521F8B">
        <w:rPr>
          <w:rFonts w:ascii="Times New Roman" w:hAnsi="Times New Roman"/>
        </w:rPr>
        <w:t>legal practitioners</w:t>
      </w:r>
      <w:r>
        <w:rPr>
          <w:rFonts w:ascii="Times New Roman" w:hAnsi="Times New Roman"/>
        </w:rPr>
        <w:t xml:space="preserve"> for the appellants</w:t>
      </w:r>
    </w:p>
    <w:p w14:paraId="4CBC3BD2" w14:textId="200322FD" w:rsidR="00EF0A51" w:rsidRDefault="00EF0A51" w:rsidP="00EF0A51">
      <w:pPr>
        <w:spacing w:after="0" w:line="240" w:lineRule="auto"/>
        <w:jc w:val="both"/>
        <w:rPr>
          <w:rFonts w:ascii="Times New Roman" w:hAnsi="Times New Roman"/>
        </w:rPr>
      </w:pPr>
      <w:r>
        <w:rPr>
          <w:rFonts w:ascii="Times New Roman" w:hAnsi="Times New Roman"/>
          <w:i/>
        </w:rPr>
        <w:t>Kantor &amp; Immerman</w:t>
      </w:r>
      <w:r w:rsidRPr="00521F8B">
        <w:rPr>
          <w:rFonts w:ascii="Times New Roman" w:hAnsi="Times New Roman"/>
        </w:rPr>
        <w:t>,</w:t>
      </w:r>
      <w:r>
        <w:rPr>
          <w:rFonts w:ascii="Times New Roman" w:hAnsi="Times New Roman"/>
        </w:rPr>
        <w:t xml:space="preserve"> legal practitioners for the respondent</w:t>
      </w:r>
    </w:p>
    <w:p w14:paraId="2D901EE6" w14:textId="77777777" w:rsidR="00B63B25" w:rsidRPr="00E67996" w:rsidRDefault="00B63B25" w:rsidP="004725C2">
      <w:pPr>
        <w:spacing w:line="360" w:lineRule="auto"/>
        <w:rPr>
          <w:rFonts w:ascii="Times New Roman" w:hAnsi="Times New Roman" w:cs="Times New Roman"/>
        </w:rPr>
      </w:pPr>
    </w:p>
    <w:sectPr w:rsidR="00B63B25" w:rsidRPr="00E6799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9AA6A4" w14:textId="77777777" w:rsidR="008E0F45" w:rsidRDefault="008E0F45" w:rsidP="004D7D3C">
      <w:pPr>
        <w:spacing w:after="0" w:line="240" w:lineRule="auto"/>
      </w:pPr>
      <w:r>
        <w:separator/>
      </w:r>
    </w:p>
  </w:endnote>
  <w:endnote w:type="continuationSeparator" w:id="0">
    <w:p w14:paraId="6B040169" w14:textId="77777777" w:rsidR="008E0F45" w:rsidRDefault="008E0F45" w:rsidP="004D7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262096"/>
      <w:docPartObj>
        <w:docPartGallery w:val="Page Numbers (Bottom of Page)"/>
        <w:docPartUnique/>
      </w:docPartObj>
    </w:sdtPr>
    <w:sdtEndPr/>
    <w:sdtContent>
      <w:sdt>
        <w:sdtPr>
          <w:id w:val="-1769616900"/>
          <w:docPartObj>
            <w:docPartGallery w:val="Page Numbers (Top of Page)"/>
            <w:docPartUnique/>
          </w:docPartObj>
        </w:sdtPr>
        <w:sdtEndPr/>
        <w:sdtContent>
          <w:p w14:paraId="33A8E72D" w14:textId="360ED7F3" w:rsidR="00324E0E" w:rsidRDefault="00324E0E">
            <w:pPr>
              <w:pStyle w:val="Footer"/>
              <w:jc w:val="right"/>
            </w:pPr>
            <w:r>
              <w:t xml:space="preserve">Page </w:t>
            </w:r>
            <w:r>
              <w:rPr>
                <w:b/>
                <w:bCs/>
              </w:rPr>
              <w:fldChar w:fldCharType="begin"/>
            </w:r>
            <w:r>
              <w:rPr>
                <w:b/>
                <w:bCs/>
              </w:rPr>
              <w:instrText xml:space="preserve"> PAGE </w:instrText>
            </w:r>
            <w:r>
              <w:rPr>
                <w:b/>
                <w:bCs/>
              </w:rPr>
              <w:fldChar w:fldCharType="separate"/>
            </w:r>
            <w:r w:rsidR="008F66E3">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8F66E3">
              <w:rPr>
                <w:b/>
                <w:bCs/>
                <w:noProof/>
              </w:rPr>
              <w:t>11</w:t>
            </w:r>
            <w:r>
              <w:rPr>
                <w:b/>
                <w:bCs/>
              </w:rPr>
              <w:fldChar w:fldCharType="end"/>
            </w:r>
          </w:p>
        </w:sdtContent>
      </w:sdt>
    </w:sdtContent>
  </w:sdt>
  <w:p w14:paraId="5D101817" w14:textId="77777777" w:rsidR="00324E0E" w:rsidRDefault="00324E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B159EC" w14:textId="77777777" w:rsidR="008E0F45" w:rsidRDefault="008E0F45" w:rsidP="004D7D3C">
      <w:pPr>
        <w:spacing w:after="0" w:line="240" w:lineRule="auto"/>
      </w:pPr>
      <w:r>
        <w:separator/>
      </w:r>
    </w:p>
  </w:footnote>
  <w:footnote w:type="continuationSeparator" w:id="0">
    <w:p w14:paraId="7C054E4E" w14:textId="77777777" w:rsidR="008E0F45" w:rsidRDefault="008E0F45" w:rsidP="004D7D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3E9F5" w14:textId="77E6FF90" w:rsidR="00324E0E" w:rsidRPr="00E67996" w:rsidRDefault="00324E0E" w:rsidP="00E67996">
    <w:pPr>
      <w:pStyle w:val="Header"/>
      <w:jc w:val="center"/>
      <w:rPr>
        <w:rFonts w:ascii="Times New Roman" w:hAnsi="Times New Roman" w:cs="Times New Roman"/>
      </w:rPr>
    </w:pPr>
    <w:r w:rsidRPr="00E67996">
      <w:rPr>
        <w:rFonts w:ascii="Times New Roman" w:hAnsi="Times New Roman" w:cs="Times New Roman"/>
      </w:rPr>
      <w:t>Padenga Holding Ltd &amp; Ors v ZIMRA</w:t>
    </w:r>
  </w:p>
  <w:p w14:paraId="3E3B1298" w14:textId="4E02D8C5" w:rsidR="00324E0E" w:rsidRDefault="00324E0E" w:rsidP="00E67996">
    <w:pPr>
      <w:pStyle w:val="Header"/>
      <w:jc w:val="right"/>
      <w:rPr>
        <w:rFonts w:ascii="Times New Roman" w:hAnsi="Times New Roman" w:cs="Times New Roman"/>
      </w:rPr>
    </w:pPr>
    <w:r w:rsidRPr="00E67996">
      <w:rPr>
        <w:rFonts w:ascii="Times New Roman" w:hAnsi="Times New Roman" w:cs="Times New Roman"/>
      </w:rPr>
      <w:t xml:space="preserve">                                                                                                                                                            HH</w:t>
    </w:r>
    <w:r>
      <w:rPr>
        <w:rFonts w:ascii="Times New Roman" w:hAnsi="Times New Roman" w:cs="Times New Roman"/>
      </w:rPr>
      <w:t xml:space="preserve"> 598</w:t>
    </w:r>
    <w:r w:rsidRPr="00E67996">
      <w:rPr>
        <w:rFonts w:ascii="Times New Roman" w:hAnsi="Times New Roman" w:cs="Times New Roman"/>
      </w:rPr>
      <w:t>-25</w:t>
    </w:r>
  </w:p>
  <w:p w14:paraId="0B7CB4E3" w14:textId="3DE8FD43" w:rsidR="00324E0E" w:rsidRDefault="00324E0E" w:rsidP="004725C2">
    <w:pPr>
      <w:pStyle w:val="Header"/>
      <w:jc w:val="right"/>
      <w:rPr>
        <w:rFonts w:ascii="Times New Roman" w:hAnsi="Times New Roman" w:cs="Times New Roman"/>
      </w:rPr>
    </w:pPr>
    <w:r>
      <w:rPr>
        <w:rFonts w:ascii="Times New Roman" w:hAnsi="Times New Roman" w:cs="Times New Roman"/>
      </w:rPr>
      <w:t xml:space="preserve">Case No </w:t>
    </w:r>
    <w:r w:rsidRPr="00E67996">
      <w:rPr>
        <w:rFonts w:ascii="Times New Roman" w:hAnsi="Times New Roman" w:cs="Times New Roman"/>
      </w:rPr>
      <w:t>ITC4</w:t>
    </w:r>
    <w:r>
      <w:rPr>
        <w:rFonts w:ascii="Times New Roman" w:hAnsi="Times New Roman" w:cs="Times New Roman"/>
      </w:rPr>
      <w:t>-</w:t>
    </w:r>
    <w:r w:rsidRPr="00E67996">
      <w:rPr>
        <w:rFonts w:ascii="Times New Roman" w:hAnsi="Times New Roman" w:cs="Times New Roman"/>
      </w:rPr>
      <w:t>24</w:t>
    </w:r>
  </w:p>
  <w:p w14:paraId="2E48D75F" w14:textId="314C7C60" w:rsidR="005454E1" w:rsidRDefault="005454E1" w:rsidP="004725C2">
    <w:pPr>
      <w:pStyle w:val="Header"/>
      <w:jc w:val="right"/>
      <w:rPr>
        <w:rFonts w:ascii="Times New Roman" w:hAnsi="Times New Roman" w:cs="Times New Roman"/>
      </w:rPr>
    </w:pPr>
  </w:p>
  <w:p w14:paraId="5E4C3049" w14:textId="77777777" w:rsidR="005454E1" w:rsidRDefault="005454E1" w:rsidP="004725C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006E1B"/>
    <w:multiLevelType w:val="multilevel"/>
    <w:tmpl w:val="92541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2AF000D"/>
    <w:multiLevelType w:val="hybridMultilevel"/>
    <w:tmpl w:val="AA24961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B25"/>
    <w:rsid w:val="00041625"/>
    <w:rsid w:val="00051680"/>
    <w:rsid w:val="0006048B"/>
    <w:rsid w:val="000976CA"/>
    <w:rsid w:val="000D268A"/>
    <w:rsid w:val="000D447B"/>
    <w:rsid w:val="000E0745"/>
    <w:rsid w:val="000E4E7B"/>
    <w:rsid w:val="00112F98"/>
    <w:rsid w:val="0011584F"/>
    <w:rsid w:val="00116930"/>
    <w:rsid w:val="00153D79"/>
    <w:rsid w:val="00164B03"/>
    <w:rsid w:val="00183778"/>
    <w:rsid w:val="001854F6"/>
    <w:rsid w:val="001856BE"/>
    <w:rsid w:val="001A2BC8"/>
    <w:rsid w:val="001B35C8"/>
    <w:rsid w:val="001B76C4"/>
    <w:rsid w:val="001C3BD5"/>
    <w:rsid w:val="001D0E2D"/>
    <w:rsid w:val="001E710A"/>
    <w:rsid w:val="00207316"/>
    <w:rsid w:val="00222391"/>
    <w:rsid w:val="00252EF1"/>
    <w:rsid w:val="00261692"/>
    <w:rsid w:val="00262AD0"/>
    <w:rsid w:val="00273602"/>
    <w:rsid w:val="0028552B"/>
    <w:rsid w:val="00300BEE"/>
    <w:rsid w:val="00303929"/>
    <w:rsid w:val="00324E0E"/>
    <w:rsid w:val="003364EC"/>
    <w:rsid w:val="003400FF"/>
    <w:rsid w:val="003419FB"/>
    <w:rsid w:val="00351B3D"/>
    <w:rsid w:val="003670E5"/>
    <w:rsid w:val="00375FB0"/>
    <w:rsid w:val="00380C14"/>
    <w:rsid w:val="00395C3A"/>
    <w:rsid w:val="003A4948"/>
    <w:rsid w:val="003D2086"/>
    <w:rsid w:val="003E2B94"/>
    <w:rsid w:val="003E6B1E"/>
    <w:rsid w:val="0041710C"/>
    <w:rsid w:val="004204EB"/>
    <w:rsid w:val="00425CBB"/>
    <w:rsid w:val="00437535"/>
    <w:rsid w:val="00444768"/>
    <w:rsid w:val="004647E2"/>
    <w:rsid w:val="004725C2"/>
    <w:rsid w:val="00492E0E"/>
    <w:rsid w:val="004D7D3C"/>
    <w:rsid w:val="004E7A30"/>
    <w:rsid w:val="004F09C0"/>
    <w:rsid w:val="004F3323"/>
    <w:rsid w:val="00501499"/>
    <w:rsid w:val="005454E1"/>
    <w:rsid w:val="00572931"/>
    <w:rsid w:val="005873B8"/>
    <w:rsid w:val="005B0A9E"/>
    <w:rsid w:val="005C7644"/>
    <w:rsid w:val="005E4264"/>
    <w:rsid w:val="006219D6"/>
    <w:rsid w:val="00623089"/>
    <w:rsid w:val="00636620"/>
    <w:rsid w:val="006469AF"/>
    <w:rsid w:val="006534C5"/>
    <w:rsid w:val="006735F8"/>
    <w:rsid w:val="006A30CE"/>
    <w:rsid w:val="006A4CD8"/>
    <w:rsid w:val="006D4597"/>
    <w:rsid w:val="006D6E45"/>
    <w:rsid w:val="006E1835"/>
    <w:rsid w:val="006F6EFB"/>
    <w:rsid w:val="0070141A"/>
    <w:rsid w:val="007046CA"/>
    <w:rsid w:val="00720D4E"/>
    <w:rsid w:val="0075213D"/>
    <w:rsid w:val="007522A7"/>
    <w:rsid w:val="00752F9E"/>
    <w:rsid w:val="00796EBC"/>
    <w:rsid w:val="007972D8"/>
    <w:rsid w:val="007B4A22"/>
    <w:rsid w:val="007E0FCD"/>
    <w:rsid w:val="007E3B84"/>
    <w:rsid w:val="007F107B"/>
    <w:rsid w:val="007F5D28"/>
    <w:rsid w:val="007F6F21"/>
    <w:rsid w:val="00802AC9"/>
    <w:rsid w:val="00824F9D"/>
    <w:rsid w:val="00846E96"/>
    <w:rsid w:val="00892231"/>
    <w:rsid w:val="008B1D6F"/>
    <w:rsid w:val="008C1EED"/>
    <w:rsid w:val="008C4FF9"/>
    <w:rsid w:val="008C55D9"/>
    <w:rsid w:val="008D6527"/>
    <w:rsid w:val="008E0F45"/>
    <w:rsid w:val="008E40B2"/>
    <w:rsid w:val="008F35A8"/>
    <w:rsid w:val="008F66E3"/>
    <w:rsid w:val="00911413"/>
    <w:rsid w:val="00913E81"/>
    <w:rsid w:val="00927082"/>
    <w:rsid w:val="00942010"/>
    <w:rsid w:val="009C3F3D"/>
    <w:rsid w:val="009C6201"/>
    <w:rsid w:val="009C7809"/>
    <w:rsid w:val="009D74CF"/>
    <w:rsid w:val="00A00BC7"/>
    <w:rsid w:val="00A12841"/>
    <w:rsid w:val="00A16B2C"/>
    <w:rsid w:val="00A245AC"/>
    <w:rsid w:val="00A31DB8"/>
    <w:rsid w:val="00A36D4E"/>
    <w:rsid w:val="00A67D62"/>
    <w:rsid w:val="00A77398"/>
    <w:rsid w:val="00A8644B"/>
    <w:rsid w:val="00A86653"/>
    <w:rsid w:val="00A934B4"/>
    <w:rsid w:val="00A95120"/>
    <w:rsid w:val="00A96027"/>
    <w:rsid w:val="00AC0E76"/>
    <w:rsid w:val="00AC5B72"/>
    <w:rsid w:val="00AC5FD4"/>
    <w:rsid w:val="00AD2574"/>
    <w:rsid w:val="00B03180"/>
    <w:rsid w:val="00B11C01"/>
    <w:rsid w:val="00B26B21"/>
    <w:rsid w:val="00B4007D"/>
    <w:rsid w:val="00B4066B"/>
    <w:rsid w:val="00B61E5C"/>
    <w:rsid w:val="00B63B25"/>
    <w:rsid w:val="00B85294"/>
    <w:rsid w:val="00BA5AA2"/>
    <w:rsid w:val="00BB08C9"/>
    <w:rsid w:val="00BE0FC7"/>
    <w:rsid w:val="00C36C72"/>
    <w:rsid w:val="00C44AE8"/>
    <w:rsid w:val="00C4767E"/>
    <w:rsid w:val="00C60115"/>
    <w:rsid w:val="00C62776"/>
    <w:rsid w:val="00C72728"/>
    <w:rsid w:val="00C90FF0"/>
    <w:rsid w:val="00C94935"/>
    <w:rsid w:val="00CA4D84"/>
    <w:rsid w:val="00CB5E81"/>
    <w:rsid w:val="00CC1FE0"/>
    <w:rsid w:val="00CC70DD"/>
    <w:rsid w:val="00CE15E0"/>
    <w:rsid w:val="00CF138D"/>
    <w:rsid w:val="00CF550B"/>
    <w:rsid w:val="00D04409"/>
    <w:rsid w:val="00D14ECD"/>
    <w:rsid w:val="00D277FA"/>
    <w:rsid w:val="00D84E53"/>
    <w:rsid w:val="00D87D2A"/>
    <w:rsid w:val="00D944BF"/>
    <w:rsid w:val="00DA1880"/>
    <w:rsid w:val="00DA294D"/>
    <w:rsid w:val="00DD2012"/>
    <w:rsid w:val="00DE07BE"/>
    <w:rsid w:val="00E069FD"/>
    <w:rsid w:val="00E14163"/>
    <w:rsid w:val="00E50900"/>
    <w:rsid w:val="00E53B96"/>
    <w:rsid w:val="00E54E6C"/>
    <w:rsid w:val="00E62671"/>
    <w:rsid w:val="00E62C42"/>
    <w:rsid w:val="00E67996"/>
    <w:rsid w:val="00E925F6"/>
    <w:rsid w:val="00EA623F"/>
    <w:rsid w:val="00EA6BA8"/>
    <w:rsid w:val="00ED3185"/>
    <w:rsid w:val="00EE02B1"/>
    <w:rsid w:val="00EE0D27"/>
    <w:rsid w:val="00EF0501"/>
    <w:rsid w:val="00EF0A51"/>
    <w:rsid w:val="00F13B4E"/>
    <w:rsid w:val="00F227F4"/>
    <w:rsid w:val="00F22CEA"/>
    <w:rsid w:val="00F411F8"/>
    <w:rsid w:val="00F6798A"/>
    <w:rsid w:val="00F71D0C"/>
    <w:rsid w:val="00F972E3"/>
    <w:rsid w:val="00FC7455"/>
    <w:rsid w:val="00FD5D1F"/>
    <w:rsid w:val="00FD76C9"/>
    <w:rsid w:val="00FF1FD0"/>
    <w:rsid w:val="00FF7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64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63B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B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B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B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B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B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B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B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B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B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B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B25"/>
    <w:rPr>
      <w:rFonts w:eastAsiaTheme="majorEastAsia" w:cstheme="majorBidi"/>
      <w:color w:val="272727" w:themeColor="text1" w:themeTint="D8"/>
    </w:rPr>
  </w:style>
  <w:style w:type="paragraph" w:styleId="Title">
    <w:name w:val="Title"/>
    <w:basedOn w:val="Normal"/>
    <w:next w:val="Normal"/>
    <w:link w:val="TitleChar"/>
    <w:uiPriority w:val="10"/>
    <w:qFormat/>
    <w:rsid w:val="00B63B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B25"/>
    <w:pPr>
      <w:spacing w:before="160"/>
      <w:jc w:val="center"/>
    </w:pPr>
    <w:rPr>
      <w:i/>
      <w:iCs/>
      <w:color w:val="404040" w:themeColor="text1" w:themeTint="BF"/>
    </w:rPr>
  </w:style>
  <w:style w:type="character" w:customStyle="1" w:styleId="QuoteChar">
    <w:name w:val="Quote Char"/>
    <w:basedOn w:val="DefaultParagraphFont"/>
    <w:link w:val="Quote"/>
    <w:uiPriority w:val="29"/>
    <w:rsid w:val="00B63B25"/>
    <w:rPr>
      <w:i/>
      <w:iCs/>
      <w:color w:val="404040" w:themeColor="text1" w:themeTint="BF"/>
    </w:rPr>
  </w:style>
  <w:style w:type="paragraph" w:styleId="ListParagraph">
    <w:name w:val="List Paragraph"/>
    <w:basedOn w:val="Normal"/>
    <w:uiPriority w:val="34"/>
    <w:qFormat/>
    <w:rsid w:val="00B63B25"/>
    <w:pPr>
      <w:ind w:left="720"/>
      <w:contextualSpacing/>
    </w:pPr>
  </w:style>
  <w:style w:type="character" w:styleId="IntenseEmphasis">
    <w:name w:val="Intense Emphasis"/>
    <w:basedOn w:val="DefaultParagraphFont"/>
    <w:uiPriority w:val="21"/>
    <w:qFormat/>
    <w:rsid w:val="00B63B25"/>
    <w:rPr>
      <w:i/>
      <w:iCs/>
      <w:color w:val="2F5496" w:themeColor="accent1" w:themeShade="BF"/>
    </w:rPr>
  </w:style>
  <w:style w:type="paragraph" w:styleId="IntenseQuote">
    <w:name w:val="Intense Quote"/>
    <w:basedOn w:val="Normal"/>
    <w:next w:val="Normal"/>
    <w:link w:val="IntenseQuoteChar"/>
    <w:uiPriority w:val="30"/>
    <w:qFormat/>
    <w:rsid w:val="00B63B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B25"/>
    <w:rPr>
      <w:i/>
      <w:iCs/>
      <w:color w:val="2F5496" w:themeColor="accent1" w:themeShade="BF"/>
    </w:rPr>
  </w:style>
  <w:style w:type="character" w:styleId="IntenseReference">
    <w:name w:val="Intense Reference"/>
    <w:basedOn w:val="DefaultParagraphFont"/>
    <w:uiPriority w:val="32"/>
    <w:qFormat/>
    <w:rsid w:val="00B63B25"/>
    <w:rPr>
      <w:b/>
      <w:bCs/>
      <w:smallCaps/>
      <w:color w:val="2F5496" w:themeColor="accent1" w:themeShade="BF"/>
      <w:spacing w:val="5"/>
    </w:rPr>
  </w:style>
  <w:style w:type="paragraph" w:styleId="NormalWeb">
    <w:name w:val="Normal (Web)"/>
    <w:basedOn w:val="Normal"/>
    <w:uiPriority w:val="99"/>
    <w:unhideWhenUsed/>
    <w:rsid w:val="00B63B2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B63B25"/>
  </w:style>
  <w:style w:type="paragraph" w:styleId="Header">
    <w:name w:val="header"/>
    <w:basedOn w:val="Normal"/>
    <w:link w:val="HeaderChar"/>
    <w:uiPriority w:val="99"/>
    <w:unhideWhenUsed/>
    <w:rsid w:val="004D7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D3C"/>
  </w:style>
  <w:style w:type="paragraph" w:styleId="Footer">
    <w:name w:val="footer"/>
    <w:basedOn w:val="Normal"/>
    <w:link w:val="FooterChar"/>
    <w:uiPriority w:val="99"/>
    <w:unhideWhenUsed/>
    <w:rsid w:val="004D7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D3C"/>
  </w:style>
  <w:style w:type="paragraph" w:customStyle="1" w:styleId="Default">
    <w:name w:val="Default"/>
    <w:rsid w:val="00D84E53"/>
    <w:pPr>
      <w:autoSpaceDE w:val="0"/>
      <w:autoSpaceDN w:val="0"/>
      <w:adjustRightInd w:val="0"/>
      <w:spacing w:after="0" w:line="240" w:lineRule="auto"/>
    </w:pPr>
    <w:rPr>
      <w:rFonts w:ascii="Times New Roman" w:hAnsi="Times New Roman" w:cs="Times New Roman"/>
      <w:color w:val="000000"/>
      <w:kern w:val="0"/>
      <w:lang w:val="en-GB"/>
    </w:rPr>
  </w:style>
  <w:style w:type="paragraph" w:styleId="BalloonText">
    <w:name w:val="Balloon Text"/>
    <w:basedOn w:val="Normal"/>
    <w:link w:val="BalloonTextChar"/>
    <w:uiPriority w:val="99"/>
    <w:semiHidden/>
    <w:unhideWhenUsed/>
    <w:rsid w:val="00324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E0E"/>
    <w:rPr>
      <w:rFonts w:ascii="Segoe UI" w:hAnsi="Segoe UI" w:cs="Segoe UI"/>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63B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B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B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B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B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B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B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B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B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B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B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B25"/>
    <w:rPr>
      <w:rFonts w:eastAsiaTheme="majorEastAsia" w:cstheme="majorBidi"/>
      <w:color w:val="272727" w:themeColor="text1" w:themeTint="D8"/>
    </w:rPr>
  </w:style>
  <w:style w:type="paragraph" w:styleId="Title">
    <w:name w:val="Title"/>
    <w:basedOn w:val="Normal"/>
    <w:next w:val="Normal"/>
    <w:link w:val="TitleChar"/>
    <w:uiPriority w:val="10"/>
    <w:qFormat/>
    <w:rsid w:val="00B63B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B25"/>
    <w:pPr>
      <w:spacing w:before="160"/>
      <w:jc w:val="center"/>
    </w:pPr>
    <w:rPr>
      <w:i/>
      <w:iCs/>
      <w:color w:val="404040" w:themeColor="text1" w:themeTint="BF"/>
    </w:rPr>
  </w:style>
  <w:style w:type="character" w:customStyle="1" w:styleId="QuoteChar">
    <w:name w:val="Quote Char"/>
    <w:basedOn w:val="DefaultParagraphFont"/>
    <w:link w:val="Quote"/>
    <w:uiPriority w:val="29"/>
    <w:rsid w:val="00B63B25"/>
    <w:rPr>
      <w:i/>
      <w:iCs/>
      <w:color w:val="404040" w:themeColor="text1" w:themeTint="BF"/>
    </w:rPr>
  </w:style>
  <w:style w:type="paragraph" w:styleId="ListParagraph">
    <w:name w:val="List Paragraph"/>
    <w:basedOn w:val="Normal"/>
    <w:uiPriority w:val="34"/>
    <w:qFormat/>
    <w:rsid w:val="00B63B25"/>
    <w:pPr>
      <w:ind w:left="720"/>
      <w:contextualSpacing/>
    </w:pPr>
  </w:style>
  <w:style w:type="character" w:styleId="IntenseEmphasis">
    <w:name w:val="Intense Emphasis"/>
    <w:basedOn w:val="DefaultParagraphFont"/>
    <w:uiPriority w:val="21"/>
    <w:qFormat/>
    <w:rsid w:val="00B63B25"/>
    <w:rPr>
      <w:i/>
      <w:iCs/>
      <w:color w:val="2F5496" w:themeColor="accent1" w:themeShade="BF"/>
    </w:rPr>
  </w:style>
  <w:style w:type="paragraph" w:styleId="IntenseQuote">
    <w:name w:val="Intense Quote"/>
    <w:basedOn w:val="Normal"/>
    <w:next w:val="Normal"/>
    <w:link w:val="IntenseQuoteChar"/>
    <w:uiPriority w:val="30"/>
    <w:qFormat/>
    <w:rsid w:val="00B63B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B25"/>
    <w:rPr>
      <w:i/>
      <w:iCs/>
      <w:color w:val="2F5496" w:themeColor="accent1" w:themeShade="BF"/>
    </w:rPr>
  </w:style>
  <w:style w:type="character" w:styleId="IntenseReference">
    <w:name w:val="Intense Reference"/>
    <w:basedOn w:val="DefaultParagraphFont"/>
    <w:uiPriority w:val="32"/>
    <w:qFormat/>
    <w:rsid w:val="00B63B25"/>
    <w:rPr>
      <w:b/>
      <w:bCs/>
      <w:smallCaps/>
      <w:color w:val="2F5496" w:themeColor="accent1" w:themeShade="BF"/>
      <w:spacing w:val="5"/>
    </w:rPr>
  </w:style>
  <w:style w:type="paragraph" w:styleId="NormalWeb">
    <w:name w:val="Normal (Web)"/>
    <w:basedOn w:val="Normal"/>
    <w:uiPriority w:val="99"/>
    <w:unhideWhenUsed/>
    <w:rsid w:val="00B63B2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B63B25"/>
  </w:style>
  <w:style w:type="paragraph" w:styleId="Header">
    <w:name w:val="header"/>
    <w:basedOn w:val="Normal"/>
    <w:link w:val="HeaderChar"/>
    <w:uiPriority w:val="99"/>
    <w:unhideWhenUsed/>
    <w:rsid w:val="004D7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D3C"/>
  </w:style>
  <w:style w:type="paragraph" w:styleId="Footer">
    <w:name w:val="footer"/>
    <w:basedOn w:val="Normal"/>
    <w:link w:val="FooterChar"/>
    <w:uiPriority w:val="99"/>
    <w:unhideWhenUsed/>
    <w:rsid w:val="004D7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D3C"/>
  </w:style>
  <w:style w:type="paragraph" w:customStyle="1" w:styleId="Default">
    <w:name w:val="Default"/>
    <w:rsid w:val="00D84E53"/>
    <w:pPr>
      <w:autoSpaceDE w:val="0"/>
      <w:autoSpaceDN w:val="0"/>
      <w:adjustRightInd w:val="0"/>
      <w:spacing w:after="0" w:line="240" w:lineRule="auto"/>
    </w:pPr>
    <w:rPr>
      <w:rFonts w:ascii="Times New Roman" w:hAnsi="Times New Roman" w:cs="Times New Roman"/>
      <w:color w:val="000000"/>
      <w:kern w:val="0"/>
      <w:lang w:val="en-GB"/>
    </w:rPr>
  </w:style>
  <w:style w:type="paragraph" w:styleId="BalloonText">
    <w:name w:val="Balloon Text"/>
    <w:basedOn w:val="Normal"/>
    <w:link w:val="BalloonTextChar"/>
    <w:uiPriority w:val="99"/>
    <w:semiHidden/>
    <w:unhideWhenUsed/>
    <w:rsid w:val="00324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E0E"/>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9f4730f-6ff5-4cbd-a8ce-6b69c186e7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B068C8494EC4409DC6C85E0EC74614" ma:contentTypeVersion="10" ma:contentTypeDescription="Create a new document." ma:contentTypeScope="" ma:versionID="acdd9a40a9511c336eaceba600a20bd8">
  <xsd:schema xmlns:xsd="http://www.w3.org/2001/XMLSchema" xmlns:xs="http://www.w3.org/2001/XMLSchema" xmlns:p="http://schemas.microsoft.com/office/2006/metadata/properties" xmlns:ns3="c9f4730f-6ff5-4cbd-a8ce-6b69c186e7cd" targetNamespace="http://schemas.microsoft.com/office/2006/metadata/properties" ma:root="true" ma:fieldsID="9a4612c326d4ab7f806ab6091fb3c007" ns3:_="">
    <xsd:import namespace="c9f4730f-6ff5-4cbd-a8ce-6b69c186e7c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730f-6ff5-4cbd-a8ce-6b69c186e7c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5CC58-09F5-41B7-BE4B-862679A432CB}">
  <ds:schemaRefs>
    <ds:schemaRef ds:uri="http://schemas.microsoft.com/office/2006/metadata/properties"/>
    <ds:schemaRef ds:uri="http://schemas.microsoft.com/office/infopath/2007/PartnerControls"/>
    <ds:schemaRef ds:uri="c9f4730f-6ff5-4cbd-a8ce-6b69c186e7cd"/>
  </ds:schemaRefs>
</ds:datastoreItem>
</file>

<file path=customXml/itemProps2.xml><?xml version="1.0" encoding="utf-8"?>
<ds:datastoreItem xmlns:ds="http://schemas.openxmlformats.org/officeDocument/2006/customXml" ds:itemID="{257BBCA4-D57E-4B78-82BC-2412FC28BAF6}">
  <ds:schemaRefs>
    <ds:schemaRef ds:uri="http://schemas.microsoft.com/sharepoint/v3/contenttype/forms"/>
  </ds:schemaRefs>
</ds:datastoreItem>
</file>

<file path=customXml/itemProps3.xml><?xml version="1.0" encoding="utf-8"?>
<ds:datastoreItem xmlns:ds="http://schemas.openxmlformats.org/officeDocument/2006/customXml" ds:itemID="{389968B8-B701-4F93-B9BE-DD2DE56E3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730f-6ff5-4cbd-a8ce-6b69c186e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179D4D-66B9-4CEA-9A8F-58C89320D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3067</Words>
  <Characters>17482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MINENHLE  NDEBELE</dc:creator>
  <cp:lastModifiedBy>User</cp:lastModifiedBy>
  <cp:revision>2</cp:revision>
  <cp:lastPrinted>2025-10-20T09:06:00Z</cp:lastPrinted>
  <dcterms:created xsi:type="dcterms:W3CDTF">2025-10-22T07:59:00Z</dcterms:created>
  <dcterms:modified xsi:type="dcterms:W3CDTF">2025-10-22T07:59:00Z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0x0101005AB068C8494EC4409DC6C85E0EC74614</vt:lpwstr>
  </property>
</Properties>
</file>