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4B003C" w14:textId="3FC8D10B" w:rsidR="00806573" w:rsidRDefault="00092EB4" w:rsidP="0050061B">
      <w:pPr>
        <w:spacing w:after="0" w:line="240" w:lineRule="auto"/>
        <w:rPr>
          <w:rFonts w:cs="Times New Roman"/>
          <w:szCs w:val="24"/>
        </w:rPr>
      </w:pPr>
      <w:bookmarkStart w:id="0" w:name="_GoBack"/>
      <w:bookmarkEnd w:id="0"/>
      <w:r>
        <w:rPr>
          <w:rFonts w:cs="Times New Roman"/>
          <w:szCs w:val="24"/>
        </w:rPr>
        <w:t>RODCENT MOTORS (PVT) LTD</w:t>
      </w:r>
    </w:p>
    <w:p w14:paraId="0E3F61B0" w14:textId="4654CA13" w:rsidR="0050061B" w:rsidRPr="00D55BA2" w:rsidRDefault="0050061B" w:rsidP="0050061B">
      <w:pPr>
        <w:spacing w:after="0" w:line="240" w:lineRule="auto"/>
        <w:rPr>
          <w:rFonts w:cs="Times New Roman"/>
          <w:szCs w:val="24"/>
        </w:rPr>
      </w:pPr>
      <w:r w:rsidRPr="00D55BA2">
        <w:rPr>
          <w:rFonts w:cs="Times New Roman"/>
          <w:szCs w:val="24"/>
        </w:rPr>
        <w:t>versus</w:t>
      </w:r>
    </w:p>
    <w:p w14:paraId="4B3E747B" w14:textId="040D682D" w:rsidR="00806573" w:rsidRPr="00D55BA2" w:rsidRDefault="00092EB4" w:rsidP="00806573">
      <w:pPr>
        <w:spacing w:after="0" w:line="240" w:lineRule="auto"/>
        <w:rPr>
          <w:rFonts w:cs="Times New Roman"/>
          <w:szCs w:val="24"/>
        </w:rPr>
      </w:pPr>
      <w:r>
        <w:rPr>
          <w:rFonts w:cs="Times New Roman"/>
          <w:szCs w:val="24"/>
        </w:rPr>
        <w:t>VALENTINE INTERNATIONAL (PVT)</w:t>
      </w:r>
      <w:r w:rsidR="00806573">
        <w:rPr>
          <w:rFonts w:cs="Times New Roman"/>
          <w:szCs w:val="24"/>
        </w:rPr>
        <w:t xml:space="preserve"> LTD</w:t>
      </w:r>
    </w:p>
    <w:p w14:paraId="2CE69175" w14:textId="77777777" w:rsidR="00724CD2" w:rsidRPr="00D55BA2" w:rsidRDefault="00724CD2" w:rsidP="0050061B">
      <w:pPr>
        <w:spacing w:line="240" w:lineRule="auto"/>
        <w:rPr>
          <w:rFonts w:cs="Times New Roman"/>
          <w:szCs w:val="24"/>
        </w:rPr>
      </w:pPr>
    </w:p>
    <w:p w14:paraId="018FCBDA" w14:textId="77777777" w:rsidR="0050061B" w:rsidRPr="00D55BA2" w:rsidRDefault="0050061B" w:rsidP="0050061B">
      <w:pPr>
        <w:spacing w:after="0" w:line="240" w:lineRule="auto"/>
        <w:rPr>
          <w:rFonts w:cs="Times New Roman"/>
          <w:szCs w:val="24"/>
        </w:rPr>
      </w:pPr>
      <w:r w:rsidRPr="00D55BA2">
        <w:rPr>
          <w:rFonts w:cs="Times New Roman"/>
          <w:szCs w:val="24"/>
        </w:rPr>
        <w:t>HIGH COURT OF ZIMBABWE</w:t>
      </w:r>
    </w:p>
    <w:p w14:paraId="6C0084B3" w14:textId="31E0072D" w:rsidR="00F347E7" w:rsidRPr="00D55BA2" w:rsidRDefault="00F347E7" w:rsidP="0050061B">
      <w:pPr>
        <w:spacing w:after="0" w:line="240" w:lineRule="auto"/>
        <w:rPr>
          <w:rFonts w:cs="Times New Roman"/>
          <w:szCs w:val="24"/>
        </w:rPr>
      </w:pPr>
      <w:r w:rsidRPr="00D55BA2">
        <w:rPr>
          <w:rFonts w:cs="Times New Roman"/>
          <w:szCs w:val="24"/>
        </w:rPr>
        <w:t>COMMERCIAL DIVISION</w:t>
      </w:r>
    </w:p>
    <w:p w14:paraId="048C08FF" w14:textId="6B5E1235" w:rsidR="0050061B" w:rsidRPr="00D55BA2" w:rsidRDefault="00092EB4" w:rsidP="0050061B">
      <w:pPr>
        <w:spacing w:after="0" w:line="240" w:lineRule="auto"/>
        <w:rPr>
          <w:rFonts w:cs="Times New Roman"/>
          <w:b/>
          <w:bCs/>
          <w:szCs w:val="24"/>
        </w:rPr>
      </w:pPr>
      <w:r>
        <w:rPr>
          <w:rFonts w:cs="Times New Roman"/>
          <w:b/>
          <w:bCs/>
          <w:szCs w:val="24"/>
        </w:rPr>
        <w:t xml:space="preserve">MUNGWARI &amp; </w:t>
      </w:r>
      <w:r w:rsidR="00F347E7" w:rsidRPr="00D55BA2">
        <w:rPr>
          <w:rFonts w:cs="Times New Roman"/>
          <w:b/>
          <w:bCs/>
          <w:szCs w:val="24"/>
        </w:rPr>
        <w:t>MUSHURE</w:t>
      </w:r>
      <w:r w:rsidR="0050061B" w:rsidRPr="00D55BA2">
        <w:rPr>
          <w:rFonts w:cs="Times New Roman"/>
          <w:b/>
          <w:bCs/>
          <w:szCs w:val="24"/>
        </w:rPr>
        <w:t xml:space="preserve"> J</w:t>
      </w:r>
      <w:r>
        <w:rPr>
          <w:rFonts w:cs="Times New Roman"/>
          <w:b/>
          <w:bCs/>
          <w:szCs w:val="24"/>
        </w:rPr>
        <w:t>J</w:t>
      </w:r>
    </w:p>
    <w:p w14:paraId="0B41C4DB" w14:textId="21A6FB6A" w:rsidR="0050061B" w:rsidRPr="00D55BA2" w:rsidRDefault="008F551C" w:rsidP="535E327C">
      <w:pPr>
        <w:spacing w:after="0" w:line="240" w:lineRule="auto"/>
        <w:rPr>
          <w:rFonts w:cs="Times New Roman"/>
        </w:rPr>
      </w:pPr>
      <w:r w:rsidRPr="535E327C">
        <w:rPr>
          <w:rFonts w:cs="Times New Roman"/>
        </w:rPr>
        <w:t xml:space="preserve">HARARE; </w:t>
      </w:r>
      <w:r w:rsidR="00092EB4" w:rsidRPr="535E327C">
        <w:rPr>
          <w:rFonts w:cs="Times New Roman"/>
        </w:rPr>
        <w:t>10</w:t>
      </w:r>
      <w:r w:rsidR="008642C5" w:rsidRPr="535E327C">
        <w:rPr>
          <w:rFonts w:cs="Times New Roman"/>
        </w:rPr>
        <w:t xml:space="preserve"> </w:t>
      </w:r>
      <w:r w:rsidR="00737EBF" w:rsidRPr="535E327C">
        <w:rPr>
          <w:rFonts w:cs="Times New Roman"/>
        </w:rPr>
        <w:t>February &amp;</w:t>
      </w:r>
      <w:r w:rsidR="00E60B88" w:rsidRPr="535E327C">
        <w:rPr>
          <w:rFonts w:cs="Times New Roman"/>
        </w:rPr>
        <w:t xml:space="preserve"> </w:t>
      </w:r>
      <w:r w:rsidR="00A11F05" w:rsidRPr="535E327C">
        <w:rPr>
          <w:rFonts w:cs="Times New Roman"/>
        </w:rPr>
        <w:t>1</w:t>
      </w:r>
      <w:r w:rsidR="090857FB" w:rsidRPr="535E327C">
        <w:rPr>
          <w:rFonts w:cs="Times New Roman"/>
        </w:rPr>
        <w:t>6</w:t>
      </w:r>
      <w:r w:rsidR="00A11F05" w:rsidRPr="535E327C">
        <w:rPr>
          <w:rFonts w:cs="Times New Roman"/>
        </w:rPr>
        <w:t xml:space="preserve"> </w:t>
      </w:r>
      <w:r w:rsidR="002C5A64" w:rsidRPr="535E327C">
        <w:rPr>
          <w:rFonts w:cs="Times New Roman"/>
        </w:rPr>
        <w:t xml:space="preserve">June </w:t>
      </w:r>
      <w:r w:rsidR="00E60B88" w:rsidRPr="535E327C">
        <w:rPr>
          <w:rFonts w:cs="Times New Roman"/>
        </w:rPr>
        <w:t>2026</w:t>
      </w:r>
      <w:r w:rsidR="0050061B" w:rsidRPr="535E327C">
        <w:rPr>
          <w:rFonts w:cs="Times New Roman"/>
        </w:rPr>
        <w:t xml:space="preserve"> </w:t>
      </w:r>
    </w:p>
    <w:p w14:paraId="7529B697" w14:textId="77777777" w:rsidR="0050061B" w:rsidRPr="00D55BA2" w:rsidRDefault="0050061B" w:rsidP="0050061B">
      <w:pPr>
        <w:spacing w:line="240" w:lineRule="auto"/>
        <w:rPr>
          <w:rFonts w:cs="Times New Roman"/>
          <w:szCs w:val="24"/>
        </w:rPr>
      </w:pPr>
    </w:p>
    <w:p w14:paraId="5514CFF6" w14:textId="30C72495" w:rsidR="0050061B" w:rsidRPr="00D55BA2" w:rsidRDefault="00092EB4" w:rsidP="0050061B">
      <w:pPr>
        <w:spacing w:line="240" w:lineRule="auto"/>
        <w:rPr>
          <w:rFonts w:cs="Times New Roman"/>
          <w:b/>
          <w:szCs w:val="24"/>
        </w:rPr>
      </w:pPr>
      <w:r>
        <w:rPr>
          <w:rFonts w:cs="Times New Roman"/>
          <w:b/>
          <w:szCs w:val="24"/>
        </w:rPr>
        <w:t>Commercial Appeal</w:t>
      </w:r>
    </w:p>
    <w:p w14:paraId="31BAF52F" w14:textId="77777777" w:rsidR="00F347E7" w:rsidRPr="00D55BA2" w:rsidRDefault="00F347E7" w:rsidP="0050061B">
      <w:pPr>
        <w:spacing w:line="240" w:lineRule="auto"/>
        <w:rPr>
          <w:rFonts w:cs="Times New Roman"/>
          <w:b/>
          <w:szCs w:val="24"/>
        </w:rPr>
      </w:pPr>
    </w:p>
    <w:p w14:paraId="1A7AEBA2" w14:textId="1D1161A4" w:rsidR="0050061B" w:rsidRPr="00D55BA2" w:rsidRDefault="00092EB4" w:rsidP="0050061B">
      <w:pPr>
        <w:spacing w:after="0" w:line="240" w:lineRule="auto"/>
        <w:rPr>
          <w:rFonts w:cs="Times New Roman"/>
          <w:szCs w:val="24"/>
        </w:rPr>
      </w:pPr>
      <w:r>
        <w:rPr>
          <w:rFonts w:cs="Times New Roman"/>
          <w:i/>
          <w:szCs w:val="24"/>
        </w:rPr>
        <w:t xml:space="preserve">F. Mzeya </w:t>
      </w:r>
      <w:r w:rsidR="008642C5" w:rsidRPr="00092EB4">
        <w:rPr>
          <w:rFonts w:cs="Times New Roman"/>
          <w:iCs/>
          <w:szCs w:val="24"/>
        </w:rPr>
        <w:t>for</w:t>
      </w:r>
      <w:r w:rsidR="0050061B" w:rsidRPr="00D55BA2">
        <w:rPr>
          <w:rFonts w:cs="Times New Roman"/>
          <w:szCs w:val="24"/>
        </w:rPr>
        <w:t xml:space="preserve"> the </w:t>
      </w:r>
      <w:r>
        <w:rPr>
          <w:rFonts w:cs="Times New Roman"/>
          <w:szCs w:val="24"/>
        </w:rPr>
        <w:t>appellant</w:t>
      </w:r>
    </w:p>
    <w:p w14:paraId="00BDFA02" w14:textId="0A26DFFE" w:rsidR="0050061B" w:rsidRDefault="00092EB4" w:rsidP="0050061B">
      <w:pPr>
        <w:spacing w:after="0" w:line="240" w:lineRule="auto"/>
        <w:rPr>
          <w:rFonts w:cs="Times New Roman"/>
          <w:szCs w:val="24"/>
        </w:rPr>
      </w:pPr>
      <w:r>
        <w:rPr>
          <w:rFonts w:cs="Times New Roman"/>
          <w:i/>
          <w:iCs/>
          <w:szCs w:val="24"/>
        </w:rPr>
        <w:t>A.</w:t>
      </w:r>
      <w:r w:rsidR="008642C5">
        <w:rPr>
          <w:rFonts w:cs="Times New Roman"/>
          <w:i/>
          <w:iCs/>
          <w:szCs w:val="24"/>
        </w:rPr>
        <w:t xml:space="preserve"> </w:t>
      </w:r>
      <w:r>
        <w:rPr>
          <w:rFonts w:cs="Times New Roman"/>
          <w:i/>
          <w:iCs/>
          <w:szCs w:val="24"/>
        </w:rPr>
        <w:t>Kadye</w:t>
      </w:r>
      <w:r w:rsidR="006F48ED" w:rsidRPr="00D55BA2">
        <w:rPr>
          <w:rFonts w:cs="Times New Roman"/>
          <w:i/>
          <w:iCs/>
          <w:szCs w:val="24"/>
        </w:rPr>
        <w:t xml:space="preserve"> </w:t>
      </w:r>
      <w:r w:rsidR="0050061B" w:rsidRPr="00D55BA2">
        <w:rPr>
          <w:rFonts w:cs="Times New Roman"/>
          <w:szCs w:val="24"/>
        </w:rPr>
        <w:t xml:space="preserve">for the </w:t>
      </w:r>
      <w:r w:rsidR="00F30651">
        <w:rPr>
          <w:rFonts w:cs="Times New Roman"/>
          <w:szCs w:val="24"/>
        </w:rPr>
        <w:t>respondent</w:t>
      </w:r>
    </w:p>
    <w:p w14:paraId="55046D69" w14:textId="77777777" w:rsidR="0050061B" w:rsidRPr="00D55BA2" w:rsidRDefault="0050061B" w:rsidP="0050061B">
      <w:pPr>
        <w:spacing w:after="0" w:line="240" w:lineRule="auto"/>
        <w:rPr>
          <w:rFonts w:cs="Times New Roman"/>
          <w:szCs w:val="24"/>
        </w:rPr>
      </w:pPr>
    </w:p>
    <w:p w14:paraId="25E62A7D" w14:textId="77777777" w:rsidR="0050061B" w:rsidRPr="00D55BA2" w:rsidRDefault="0050061B" w:rsidP="0050061B">
      <w:pPr>
        <w:spacing w:line="240" w:lineRule="auto"/>
        <w:rPr>
          <w:rFonts w:cs="Times New Roman"/>
          <w:szCs w:val="24"/>
        </w:rPr>
      </w:pPr>
    </w:p>
    <w:p w14:paraId="2744DA85" w14:textId="31C3ED36" w:rsidR="00833671" w:rsidRPr="00D55BA2" w:rsidRDefault="00833671" w:rsidP="000B747D">
      <w:pPr>
        <w:ind w:firstLine="720"/>
        <w:rPr>
          <w:rFonts w:cs="Times New Roman"/>
          <w:szCs w:val="24"/>
        </w:rPr>
      </w:pPr>
      <w:r w:rsidRPr="00D55BA2">
        <w:rPr>
          <w:rFonts w:cs="Times New Roman"/>
          <w:szCs w:val="24"/>
        </w:rPr>
        <w:t>MUSHURE</w:t>
      </w:r>
      <w:r w:rsidR="0050061B" w:rsidRPr="00D55BA2">
        <w:rPr>
          <w:rFonts w:cs="Times New Roman"/>
          <w:szCs w:val="24"/>
        </w:rPr>
        <w:t xml:space="preserve"> J:</w:t>
      </w:r>
    </w:p>
    <w:p w14:paraId="254E9440" w14:textId="77777777" w:rsidR="00833671" w:rsidRPr="00D55BA2" w:rsidRDefault="00833671" w:rsidP="00833671">
      <w:pPr>
        <w:rPr>
          <w:rFonts w:cs="Times New Roman"/>
          <w:b/>
          <w:bCs/>
          <w:szCs w:val="24"/>
          <w:u w:val="single"/>
        </w:rPr>
      </w:pPr>
      <w:r w:rsidRPr="00D55BA2">
        <w:rPr>
          <w:rFonts w:cs="Times New Roman"/>
          <w:b/>
          <w:bCs/>
          <w:szCs w:val="24"/>
          <w:u w:val="single"/>
        </w:rPr>
        <w:t>INTRODUCTION</w:t>
      </w:r>
    </w:p>
    <w:p w14:paraId="1A5E3E02" w14:textId="7FBF6FDC" w:rsidR="002C5A64" w:rsidRPr="002C5A64" w:rsidRDefault="008642C5" w:rsidP="002C5A64">
      <w:pPr>
        <w:pStyle w:val="ListParagraph"/>
        <w:numPr>
          <w:ilvl w:val="0"/>
          <w:numId w:val="1"/>
        </w:numPr>
        <w:rPr>
          <w:rFonts w:cs="Times New Roman"/>
          <w:b/>
          <w:bCs/>
          <w:szCs w:val="24"/>
          <w:u w:val="single"/>
        </w:rPr>
      </w:pPr>
      <w:r>
        <w:rPr>
          <w:rFonts w:cs="Times New Roman"/>
          <w:szCs w:val="24"/>
        </w:rPr>
        <w:t>Th</w:t>
      </w:r>
      <w:r w:rsidR="00DA24C6">
        <w:rPr>
          <w:rFonts w:cs="Times New Roman"/>
          <w:szCs w:val="24"/>
        </w:rPr>
        <w:t xml:space="preserve">e appellant and the respondent are companies duly incorporated in terms of the laws of Zimbabwe. </w:t>
      </w:r>
      <w:r w:rsidR="00CB5BC3">
        <w:rPr>
          <w:rFonts w:cs="Times New Roman"/>
          <w:szCs w:val="24"/>
        </w:rPr>
        <w:t>On 14 March 2018, the</w:t>
      </w:r>
      <w:r w:rsidR="000670A3">
        <w:rPr>
          <w:rFonts w:cs="Times New Roman"/>
          <w:szCs w:val="24"/>
        </w:rPr>
        <w:t xml:space="preserve">y </w:t>
      </w:r>
      <w:r w:rsidR="00CB5BC3">
        <w:rPr>
          <w:rFonts w:cs="Times New Roman"/>
          <w:szCs w:val="24"/>
        </w:rPr>
        <w:t xml:space="preserve">entered into an agreement in terms of which the respondent leased </w:t>
      </w:r>
      <w:r w:rsidR="00834AB2">
        <w:rPr>
          <w:rFonts w:cs="Times New Roman"/>
          <w:szCs w:val="24"/>
        </w:rPr>
        <w:t xml:space="preserve">to the appellant </w:t>
      </w:r>
      <w:r w:rsidR="00CB5BC3">
        <w:rPr>
          <w:rFonts w:cs="Times New Roman"/>
          <w:szCs w:val="24"/>
        </w:rPr>
        <w:t>certain space measuring 35m wide and 64m long</w:t>
      </w:r>
      <w:r w:rsidR="00834AB2">
        <w:rPr>
          <w:rFonts w:cs="Times New Roman"/>
          <w:szCs w:val="24"/>
        </w:rPr>
        <w:t xml:space="preserve"> at its commercial premises on 74 King George Road, Avondale, Harare</w:t>
      </w:r>
      <w:r w:rsidR="002C5A64">
        <w:rPr>
          <w:rFonts w:cs="Times New Roman"/>
          <w:szCs w:val="24"/>
        </w:rPr>
        <w:t xml:space="preserve"> (“the premises”). The agreed rental for the space was US$700,00, subject to adjustments from July 2018. </w:t>
      </w:r>
    </w:p>
    <w:p w14:paraId="37E6BE94" w14:textId="34909E95" w:rsidR="00DA24C6" w:rsidRPr="002C5A64" w:rsidRDefault="00CB5BC3" w:rsidP="002C5A64">
      <w:pPr>
        <w:pStyle w:val="ListParagraph"/>
        <w:numPr>
          <w:ilvl w:val="0"/>
          <w:numId w:val="1"/>
        </w:numPr>
        <w:ind w:left="567" w:hanging="567"/>
        <w:rPr>
          <w:rFonts w:cs="Times New Roman"/>
          <w:b/>
          <w:bCs/>
          <w:szCs w:val="24"/>
          <w:u w:val="single"/>
        </w:rPr>
      </w:pPr>
      <w:r w:rsidRPr="002C5A64">
        <w:rPr>
          <w:rFonts w:cs="Times New Roman"/>
          <w:szCs w:val="24"/>
        </w:rPr>
        <w:t xml:space="preserve">It was a specific term of the agreement that the lease would have a five-year renewable term commencing on 1 April 2018.  It was a further term of the agreement that the option to renew </w:t>
      </w:r>
      <w:r w:rsidR="000670A3">
        <w:rPr>
          <w:rFonts w:cs="Times New Roman"/>
          <w:szCs w:val="24"/>
        </w:rPr>
        <w:t xml:space="preserve">the lease </w:t>
      </w:r>
      <w:r w:rsidRPr="002C5A64">
        <w:rPr>
          <w:rFonts w:cs="Times New Roman"/>
          <w:szCs w:val="24"/>
        </w:rPr>
        <w:t>was within the discretion of the respondent as the lessor, and that the lessor would, not less than two calendar months before the expiration of the lease, communicate in writing its intention to renew the lease. In turn, the appellant, as the lessee, was ob</w:t>
      </w:r>
      <w:r w:rsidR="000670A3">
        <w:rPr>
          <w:rFonts w:cs="Times New Roman"/>
          <w:szCs w:val="24"/>
        </w:rPr>
        <w:t>liged</w:t>
      </w:r>
      <w:r w:rsidRPr="002C5A64">
        <w:rPr>
          <w:rFonts w:cs="Times New Roman"/>
          <w:szCs w:val="24"/>
        </w:rPr>
        <w:t xml:space="preserve"> by the agreement to indicate in writing its acceptance of the extension not less than one calendar month before the date of expiration. The lease agreement provided, further, that the lease would be deemed to have been extended by one year </w:t>
      </w:r>
      <w:r w:rsidR="00310306" w:rsidRPr="002C5A64">
        <w:rPr>
          <w:rFonts w:cs="Times New Roman"/>
          <w:szCs w:val="24"/>
        </w:rPr>
        <w:t xml:space="preserve">if the lessee remained in occupation with the consent or acquiescence of the lessor. </w:t>
      </w:r>
    </w:p>
    <w:p w14:paraId="573628E7" w14:textId="396C7CFB" w:rsidR="002C5A64" w:rsidRPr="002C5A64" w:rsidRDefault="002C5A64" w:rsidP="002C5A64">
      <w:pPr>
        <w:rPr>
          <w:rFonts w:cs="Times New Roman"/>
          <w:b/>
          <w:bCs/>
          <w:szCs w:val="24"/>
          <w:u w:val="single"/>
        </w:rPr>
      </w:pPr>
      <w:r w:rsidRPr="002C5A64">
        <w:rPr>
          <w:rFonts w:cs="Times New Roman"/>
          <w:b/>
          <w:bCs/>
          <w:szCs w:val="24"/>
          <w:u w:val="single"/>
        </w:rPr>
        <w:t xml:space="preserve">PROCEEDINGS IN THE COURT A </w:t>
      </w:r>
      <w:r w:rsidRPr="002C5A64">
        <w:rPr>
          <w:rFonts w:cs="Times New Roman"/>
          <w:b/>
          <w:bCs/>
          <w:i/>
          <w:iCs/>
          <w:szCs w:val="24"/>
          <w:u w:val="single"/>
        </w:rPr>
        <w:t>QUO</w:t>
      </w:r>
    </w:p>
    <w:p w14:paraId="5290393E" w14:textId="4439F2DA" w:rsidR="002C5A64" w:rsidRPr="002C5A64" w:rsidRDefault="002C5A64">
      <w:pPr>
        <w:pStyle w:val="ListParagraph"/>
        <w:numPr>
          <w:ilvl w:val="0"/>
          <w:numId w:val="1"/>
        </w:numPr>
        <w:ind w:left="567" w:hanging="567"/>
        <w:rPr>
          <w:rFonts w:cs="Times New Roman"/>
          <w:b/>
          <w:bCs/>
          <w:szCs w:val="24"/>
          <w:u w:val="single"/>
        </w:rPr>
      </w:pPr>
      <w:r>
        <w:rPr>
          <w:rFonts w:cs="Times New Roman"/>
          <w:szCs w:val="24"/>
        </w:rPr>
        <w:lastRenderedPageBreak/>
        <w:t xml:space="preserve">On 31 August 2023, the respondent sued out summons in the </w:t>
      </w:r>
      <w:r w:rsidR="00B73CBE">
        <w:rPr>
          <w:rFonts w:cs="Times New Roman"/>
          <w:szCs w:val="24"/>
        </w:rPr>
        <w:t>magistrates’</w:t>
      </w:r>
      <w:r>
        <w:rPr>
          <w:rFonts w:cs="Times New Roman"/>
          <w:szCs w:val="24"/>
        </w:rPr>
        <w:t xml:space="preserve"> court seeking the appellant’s eviction from the premises on the basis that the lease had expired on 31 March 2023</w:t>
      </w:r>
      <w:r w:rsidR="0030695B">
        <w:rPr>
          <w:rFonts w:cs="Times New Roman"/>
          <w:szCs w:val="24"/>
        </w:rPr>
        <w:t>;</w:t>
      </w:r>
      <w:r>
        <w:rPr>
          <w:rFonts w:cs="Times New Roman"/>
          <w:szCs w:val="24"/>
        </w:rPr>
        <w:t xml:space="preserve"> that the appellant had breached the lease agreement by sub-letting a portion of the premises</w:t>
      </w:r>
      <w:r w:rsidR="0030695B">
        <w:rPr>
          <w:rFonts w:cs="Times New Roman"/>
          <w:szCs w:val="24"/>
        </w:rPr>
        <w:t>;</w:t>
      </w:r>
      <w:r>
        <w:rPr>
          <w:rFonts w:cs="Times New Roman"/>
          <w:szCs w:val="24"/>
        </w:rPr>
        <w:t xml:space="preserve"> and that the appellant had, despite demand, failed, refused and /or neglected to vacate the premises. The respondent further sought holding over damages in the sum of US$700 per month or its local currency equivalent</w:t>
      </w:r>
      <w:r w:rsidR="000670A3">
        <w:rPr>
          <w:rFonts w:cs="Times New Roman"/>
          <w:szCs w:val="24"/>
        </w:rPr>
        <w:t xml:space="preserve">, calculated </w:t>
      </w:r>
      <w:r>
        <w:rPr>
          <w:rFonts w:cs="Times New Roman"/>
          <w:szCs w:val="24"/>
        </w:rPr>
        <w:t>from 31 August 2023 to date of ejectment</w:t>
      </w:r>
      <w:r w:rsidR="000670A3">
        <w:rPr>
          <w:rFonts w:cs="Times New Roman"/>
          <w:szCs w:val="24"/>
        </w:rPr>
        <w:t xml:space="preserve">. The respondent also prayed for </w:t>
      </w:r>
      <w:r>
        <w:rPr>
          <w:rFonts w:cs="Times New Roman"/>
          <w:szCs w:val="24"/>
        </w:rPr>
        <w:t xml:space="preserve">costs of suit on an attorney-client scale. </w:t>
      </w:r>
    </w:p>
    <w:p w14:paraId="12056E3C" w14:textId="3EC437CD" w:rsidR="002C5A64" w:rsidRPr="002C5A64" w:rsidRDefault="002C5A64" w:rsidP="535E327C">
      <w:pPr>
        <w:pStyle w:val="ListParagraph"/>
        <w:numPr>
          <w:ilvl w:val="0"/>
          <w:numId w:val="1"/>
        </w:numPr>
        <w:ind w:left="567" w:hanging="567"/>
        <w:rPr>
          <w:rFonts w:cs="Times New Roman"/>
          <w:b/>
          <w:bCs/>
          <w:u w:val="single"/>
        </w:rPr>
      </w:pPr>
      <w:r w:rsidRPr="535E327C">
        <w:rPr>
          <w:rFonts w:cs="Times New Roman"/>
        </w:rPr>
        <w:t xml:space="preserve">The claim was vigorously opposed by the appellant, who pleaded that it had improved the state and value of the premises </w:t>
      </w:r>
      <w:r w:rsidR="0030695B">
        <w:rPr>
          <w:rFonts w:cs="Times New Roman"/>
        </w:rPr>
        <w:t>at a cost of</w:t>
      </w:r>
      <w:r w:rsidRPr="535E327C">
        <w:rPr>
          <w:rFonts w:cs="Times New Roman"/>
        </w:rPr>
        <w:t xml:space="preserve"> </w:t>
      </w:r>
      <w:r w:rsidR="72FD4CFA" w:rsidRPr="535E327C">
        <w:rPr>
          <w:rFonts w:cs="Times New Roman"/>
        </w:rPr>
        <w:t xml:space="preserve">more than </w:t>
      </w:r>
      <w:r w:rsidRPr="535E327C">
        <w:rPr>
          <w:rFonts w:cs="Times New Roman"/>
        </w:rPr>
        <w:t xml:space="preserve">US$100 000. Further, it had demanded payment of those improvements to no </w:t>
      </w:r>
      <w:r w:rsidR="2E2F78AD" w:rsidRPr="535E327C">
        <w:rPr>
          <w:rFonts w:cs="Times New Roman"/>
        </w:rPr>
        <w:t>avail,</w:t>
      </w:r>
      <w:r w:rsidRPr="535E327C">
        <w:rPr>
          <w:rFonts w:cs="Times New Roman"/>
        </w:rPr>
        <w:t xml:space="preserve"> so the plaintiff was seeking to unjustly benefit from the improvements. The appellant pleaded, further, that it had remained in occupation of the premises after 31 March 2023 with the consent and involvement of the respondent. It denied the respondent’s assertion that it undertook to vacate the premises by </w:t>
      </w:r>
      <w:r w:rsidR="053FC3CC" w:rsidRPr="535E327C">
        <w:rPr>
          <w:rFonts w:cs="Times New Roman"/>
        </w:rPr>
        <w:t>31 March 2023 and</w:t>
      </w:r>
      <w:r w:rsidRPr="535E327C">
        <w:rPr>
          <w:rFonts w:cs="Times New Roman"/>
        </w:rPr>
        <w:t xml:space="preserve"> insisted that the respondent was estopped from evicting it before reimbursing it of the expenses it incurred in improving the property. It submitted that it had stopped paying rentals when the summons was issued although it had no problems paying the rentals and abiding by the lease. </w:t>
      </w:r>
    </w:p>
    <w:p w14:paraId="5C407D87" w14:textId="7184FC8C" w:rsidR="002C5A64" w:rsidRPr="002C5A64" w:rsidRDefault="002C5A64" w:rsidP="002C5A64">
      <w:pPr>
        <w:pStyle w:val="ListParagraph"/>
        <w:numPr>
          <w:ilvl w:val="0"/>
          <w:numId w:val="1"/>
        </w:numPr>
        <w:ind w:left="567" w:hanging="567"/>
        <w:rPr>
          <w:rFonts w:cs="Times New Roman"/>
          <w:b/>
          <w:bCs/>
          <w:szCs w:val="24"/>
          <w:u w:val="single"/>
        </w:rPr>
      </w:pPr>
      <w:r>
        <w:rPr>
          <w:rFonts w:cs="Times New Roman"/>
          <w:szCs w:val="24"/>
        </w:rPr>
        <w:t xml:space="preserve">The appellant also claimed, in convention, US$128 600, comprising US$120 000 reimbursement for the improvements effected by the appellant on the premises and US$8 600, being the loss of a year of its five-year lease at the time the improvements were being done. In the alternative, the appellant sought an order estopping the respondent from evicting it pending payment for the improvements on the premises and costs of suit. </w:t>
      </w:r>
      <w:r w:rsidRPr="002C5A64">
        <w:rPr>
          <w:rFonts w:cs="Times New Roman"/>
          <w:szCs w:val="24"/>
        </w:rPr>
        <w:t xml:space="preserve">As the matter progressed in the court a </w:t>
      </w:r>
      <w:r w:rsidRPr="002C5A64">
        <w:rPr>
          <w:rFonts w:cs="Times New Roman"/>
          <w:i/>
          <w:iCs/>
          <w:szCs w:val="24"/>
        </w:rPr>
        <w:t>quo</w:t>
      </w:r>
      <w:r w:rsidRPr="002C5A64">
        <w:rPr>
          <w:rFonts w:cs="Times New Roman"/>
          <w:szCs w:val="24"/>
        </w:rPr>
        <w:t xml:space="preserve">, the appellant withdrew the counterclaim and filed it as a separate suit </w:t>
      </w:r>
      <w:r w:rsidR="000670A3">
        <w:rPr>
          <w:rFonts w:cs="Times New Roman"/>
          <w:szCs w:val="24"/>
        </w:rPr>
        <w:t xml:space="preserve">in the High Court </w:t>
      </w:r>
      <w:r w:rsidRPr="002C5A64">
        <w:rPr>
          <w:rFonts w:cs="Times New Roman"/>
          <w:szCs w:val="24"/>
        </w:rPr>
        <w:t xml:space="preserve">under HCH2328/24. </w:t>
      </w:r>
    </w:p>
    <w:p w14:paraId="0A9392EB" w14:textId="255157CA" w:rsidR="002C5A64" w:rsidRPr="002C5A64" w:rsidRDefault="002C5A64" w:rsidP="002C5A64">
      <w:pPr>
        <w:pStyle w:val="ListParagraph"/>
        <w:numPr>
          <w:ilvl w:val="0"/>
          <w:numId w:val="1"/>
        </w:numPr>
        <w:ind w:left="567" w:hanging="567"/>
        <w:rPr>
          <w:rFonts w:cs="Times New Roman"/>
          <w:b/>
          <w:bCs/>
          <w:szCs w:val="24"/>
          <w:u w:val="single"/>
        </w:rPr>
      </w:pPr>
      <w:r>
        <w:rPr>
          <w:rFonts w:cs="Times New Roman"/>
          <w:szCs w:val="24"/>
        </w:rPr>
        <w:t xml:space="preserve">After a full trial, the </w:t>
      </w:r>
      <w:r w:rsidR="000670A3">
        <w:rPr>
          <w:rFonts w:cs="Times New Roman"/>
          <w:szCs w:val="24"/>
        </w:rPr>
        <w:t xml:space="preserve">court </w:t>
      </w:r>
      <w:r>
        <w:rPr>
          <w:rFonts w:cs="Times New Roman"/>
          <w:szCs w:val="24"/>
        </w:rPr>
        <w:t xml:space="preserve">a </w:t>
      </w:r>
      <w:r w:rsidRPr="002C5A64">
        <w:rPr>
          <w:rFonts w:cs="Times New Roman"/>
          <w:i/>
          <w:iCs/>
          <w:szCs w:val="24"/>
        </w:rPr>
        <w:t>quo</w:t>
      </w:r>
      <w:r>
        <w:rPr>
          <w:rFonts w:cs="Times New Roman"/>
          <w:szCs w:val="24"/>
        </w:rPr>
        <w:t xml:space="preserve"> found that the respondent had proved on a balance of probabilities that it was entitled to evict the appellant on account of the expiry of the lease and unpaid rentals. The court found that the issue of appellant’s compensation for the improvements was being dealt with in the High Court and that issue was not before it, hence the appellant could not proffer it as a defence to the respondent’s claim. </w:t>
      </w:r>
      <w:r w:rsidR="000670A3">
        <w:rPr>
          <w:rFonts w:cs="Times New Roman"/>
          <w:szCs w:val="24"/>
        </w:rPr>
        <w:t>O</w:t>
      </w:r>
      <w:r>
        <w:rPr>
          <w:rFonts w:cs="Times New Roman"/>
          <w:szCs w:val="24"/>
        </w:rPr>
        <w:t>n this basis</w:t>
      </w:r>
      <w:r w:rsidR="000670A3">
        <w:rPr>
          <w:rFonts w:cs="Times New Roman"/>
          <w:szCs w:val="24"/>
        </w:rPr>
        <w:t>,</w:t>
      </w:r>
      <w:r>
        <w:rPr>
          <w:rFonts w:cs="Times New Roman"/>
          <w:szCs w:val="24"/>
        </w:rPr>
        <w:t xml:space="preserve"> the court </w:t>
      </w:r>
      <w:r w:rsidR="00007D43">
        <w:rPr>
          <w:rFonts w:cs="Times New Roman"/>
          <w:szCs w:val="24"/>
        </w:rPr>
        <w:t xml:space="preserve">a </w:t>
      </w:r>
      <w:r w:rsidR="00007D43" w:rsidRPr="00007D43">
        <w:rPr>
          <w:rFonts w:cs="Times New Roman"/>
          <w:i/>
          <w:iCs/>
          <w:szCs w:val="24"/>
        </w:rPr>
        <w:t>quo</w:t>
      </w:r>
      <w:r w:rsidR="00007D43">
        <w:rPr>
          <w:rFonts w:cs="Times New Roman"/>
          <w:szCs w:val="24"/>
        </w:rPr>
        <w:t xml:space="preserve"> </w:t>
      </w:r>
      <w:r>
        <w:rPr>
          <w:rFonts w:cs="Times New Roman"/>
          <w:szCs w:val="24"/>
        </w:rPr>
        <w:t xml:space="preserve">granted the respondent’s claim. </w:t>
      </w:r>
    </w:p>
    <w:p w14:paraId="72C4B243" w14:textId="21C5E13C" w:rsidR="002C5A64" w:rsidRPr="002C5A64" w:rsidRDefault="002C5A64" w:rsidP="002C5A64">
      <w:pPr>
        <w:rPr>
          <w:rFonts w:cs="Times New Roman"/>
          <w:b/>
          <w:bCs/>
          <w:szCs w:val="24"/>
          <w:u w:val="single"/>
        </w:rPr>
      </w:pPr>
      <w:r w:rsidRPr="002C5A64">
        <w:rPr>
          <w:rFonts w:cs="Times New Roman"/>
          <w:b/>
          <w:bCs/>
          <w:szCs w:val="24"/>
          <w:u w:val="single"/>
        </w:rPr>
        <w:lastRenderedPageBreak/>
        <w:t>THE APPEAL BEFORE THIS COURT</w:t>
      </w:r>
    </w:p>
    <w:p w14:paraId="22663FCB" w14:textId="3C861480" w:rsidR="002C5A64" w:rsidRPr="002C5A64" w:rsidRDefault="002C5A64">
      <w:pPr>
        <w:pStyle w:val="ListParagraph"/>
        <w:numPr>
          <w:ilvl w:val="0"/>
          <w:numId w:val="1"/>
        </w:numPr>
        <w:ind w:left="567" w:hanging="567"/>
        <w:rPr>
          <w:rFonts w:cs="Times New Roman"/>
          <w:b/>
          <w:bCs/>
          <w:szCs w:val="24"/>
          <w:u w:val="single"/>
        </w:rPr>
      </w:pPr>
      <w:r>
        <w:rPr>
          <w:rFonts w:cs="Times New Roman"/>
          <w:szCs w:val="24"/>
        </w:rPr>
        <w:t xml:space="preserve"> Aggrieved by the decision, the appellant launched the present appeal on five grounds</w:t>
      </w:r>
      <w:r w:rsidR="00007D43">
        <w:rPr>
          <w:rFonts w:cs="Times New Roman"/>
          <w:szCs w:val="24"/>
        </w:rPr>
        <w:t xml:space="preserve"> couched as follows</w:t>
      </w:r>
      <w:r>
        <w:rPr>
          <w:rFonts w:cs="Times New Roman"/>
          <w:szCs w:val="24"/>
        </w:rPr>
        <w:t>:</w:t>
      </w:r>
    </w:p>
    <w:p w14:paraId="6556FA80" w14:textId="46DE8B84" w:rsidR="002C5A64" w:rsidRPr="00007D43" w:rsidRDefault="002C5A64" w:rsidP="00007D43">
      <w:pPr>
        <w:pStyle w:val="ListParagraph"/>
        <w:numPr>
          <w:ilvl w:val="0"/>
          <w:numId w:val="6"/>
        </w:numPr>
        <w:spacing w:line="240" w:lineRule="auto"/>
        <w:rPr>
          <w:rFonts w:cs="Times New Roman"/>
          <w:b/>
          <w:bCs/>
          <w:sz w:val="22"/>
          <w:u w:val="single"/>
        </w:rPr>
      </w:pPr>
      <w:r w:rsidRPr="00007D43">
        <w:rPr>
          <w:rFonts w:cs="Times New Roman"/>
          <w:sz w:val="22"/>
        </w:rPr>
        <w:t xml:space="preserve">The court a </w:t>
      </w:r>
      <w:r w:rsidRPr="00007D43">
        <w:rPr>
          <w:rFonts w:cs="Times New Roman"/>
          <w:i/>
          <w:iCs/>
          <w:sz w:val="22"/>
        </w:rPr>
        <w:t>quo</w:t>
      </w:r>
      <w:r w:rsidRPr="00007D43">
        <w:rPr>
          <w:rFonts w:cs="Times New Roman"/>
          <w:sz w:val="22"/>
        </w:rPr>
        <w:t xml:space="preserve"> erred at law in dismissing Appellant’s defence on the right of </w:t>
      </w:r>
      <w:r w:rsidR="00B36ACA" w:rsidRPr="00007D43">
        <w:rPr>
          <w:rFonts w:cs="Times New Roman"/>
          <w:sz w:val="22"/>
        </w:rPr>
        <w:t>retention (</w:t>
      </w:r>
      <w:r w:rsidRPr="00007D43">
        <w:rPr>
          <w:rFonts w:cs="Times New Roman"/>
          <w:sz w:val="22"/>
        </w:rPr>
        <w:t xml:space="preserve">lien) without considering it substantively and further on the basis that the dispute was not before him notwithstanding that the same issue was pending before the High Court under HCH2328/24. </w:t>
      </w:r>
    </w:p>
    <w:p w14:paraId="5772AA9E" w14:textId="5DBADD98" w:rsidR="002C5A64" w:rsidRPr="00007D43" w:rsidRDefault="002C5A64" w:rsidP="00007D43">
      <w:pPr>
        <w:pStyle w:val="ListParagraph"/>
        <w:numPr>
          <w:ilvl w:val="0"/>
          <w:numId w:val="6"/>
        </w:numPr>
        <w:spacing w:line="240" w:lineRule="auto"/>
        <w:rPr>
          <w:rFonts w:cs="Times New Roman"/>
          <w:sz w:val="22"/>
        </w:rPr>
      </w:pPr>
      <w:r w:rsidRPr="00007D43">
        <w:rPr>
          <w:rFonts w:cs="Times New Roman"/>
          <w:sz w:val="22"/>
        </w:rPr>
        <w:t xml:space="preserve">The court a </w:t>
      </w:r>
      <w:r w:rsidRPr="00007D43">
        <w:rPr>
          <w:rFonts w:cs="Times New Roman"/>
          <w:i/>
          <w:iCs/>
          <w:sz w:val="22"/>
        </w:rPr>
        <w:t>quo</w:t>
      </w:r>
      <w:r w:rsidRPr="00007D43">
        <w:rPr>
          <w:rFonts w:cs="Times New Roman"/>
          <w:sz w:val="22"/>
        </w:rPr>
        <w:t xml:space="preserve"> erred at law in holding, contrary to clause 2 of the agreement between the parties, that the lease had terminated upon the institution of the summons notwithstanding that the Respondent had, at the very least, acquiesced to Appellant’s continued occupancy. </w:t>
      </w:r>
    </w:p>
    <w:p w14:paraId="22939928" w14:textId="3CE3A401" w:rsidR="002C5A64" w:rsidRPr="00007D43" w:rsidRDefault="002C5A64" w:rsidP="00007D43">
      <w:pPr>
        <w:pStyle w:val="ListParagraph"/>
        <w:numPr>
          <w:ilvl w:val="0"/>
          <w:numId w:val="6"/>
        </w:numPr>
        <w:spacing w:line="240" w:lineRule="auto"/>
        <w:rPr>
          <w:rFonts w:cs="Times New Roman"/>
          <w:sz w:val="22"/>
        </w:rPr>
      </w:pPr>
      <w:r w:rsidRPr="00007D43">
        <w:rPr>
          <w:rFonts w:cs="Times New Roman"/>
          <w:sz w:val="22"/>
        </w:rPr>
        <w:t xml:space="preserve">The court a </w:t>
      </w:r>
      <w:r w:rsidRPr="00007D43">
        <w:rPr>
          <w:rFonts w:cs="Times New Roman"/>
          <w:i/>
          <w:iCs/>
          <w:sz w:val="22"/>
        </w:rPr>
        <w:t>quo</w:t>
      </w:r>
      <w:r w:rsidRPr="00007D43">
        <w:rPr>
          <w:rFonts w:cs="Times New Roman"/>
          <w:sz w:val="22"/>
        </w:rPr>
        <w:t xml:space="preserve"> grossly misdirected </w:t>
      </w:r>
      <w:r w:rsidR="00C85528" w:rsidRPr="00007D43">
        <w:rPr>
          <w:rFonts w:cs="Times New Roman"/>
          <w:sz w:val="22"/>
        </w:rPr>
        <w:t>himself</w:t>
      </w:r>
      <w:r w:rsidRPr="00007D43">
        <w:rPr>
          <w:rFonts w:cs="Times New Roman"/>
          <w:sz w:val="22"/>
        </w:rPr>
        <w:t xml:space="preserve"> on facts in ordering payment of rentals contrary to the evidence of the Respondent and, further, without consideration of some payment that had been paid</w:t>
      </w:r>
      <w:r w:rsidR="00C85528" w:rsidRPr="00007D43">
        <w:rPr>
          <w:rFonts w:cs="Times New Roman"/>
          <w:sz w:val="22"/>
        </w:rPr>
        <w:t>.</w:t>
      </w:r>
    </w:p>
    <w:p w14:paraId="2934B79B" w14:textId="015E1E54" w:rsidR="002C5A64" w:rsidRPr="00007D43" w:rsidRDefault="002C5A64" w:rsidP="00007D43">
      <w:pPr>
        <w:pStyle w:val="ListParagraph"/>
        <w:numPr>
          <w:ilvl w:val="0"/>
          <w:numId w:val="6"/>
        </w:numPr>
        <w:spacing w:line="240" w:lineRule="auto"/>
        <w:rPr>
          <w:rFonts w:cs="Times New Roman"/>
          <w:sz w:val="22"/>
        </w:rPr>
      </w:pPr>
      <w:r w:rsidRPr="00007D43">
        <w:rPr>
          <w:rFonts w:cs="Times New Roman"/>
          <w:sz w:val="22"/>
        </w:rPr>
        <w:t xml:space="preserve">The court a </w:t>
      </w:r>
      <w:r w:rsidRPr="00007D43">
        <w:rPr>
          <w:rFonts w:cs="Times New Roman"/>
          <w:i/>
          <w:iCs/>
          <w:sz w:val="22"/>
        </w:rPr>
        <w:t>quo</w:t>
      </w:r>
      <w:r w:rsidRPr="00007D43">
        <w:rPr>
          <w:rFonts w:cs="Times New Roman"/>
          <w:sz w:val="22"/>
        </w:rPr>
        <w:t xml:space="preserve"> erred at law in ordering </w:t>
      </w:r>
      <w:r w:rsidR="00C85528" w:rsidRPr="00007D43">
        <w:rPr>
          <w:rFonts w:cs="Times New Roman"/>
          <w:sz w:val="22"/>
        </w:rPr>
        <w:t xml:space="preserve">payment of </w:t>
      </w:r>
      <w:r w:rsidRPr="00007D43">
        <w:rPr>
          <w:rFonts w:cs="Times New Roman"/>
          <w:sz w:val="22"/>
        </w:rPr>
        <w:t>rentals without evidence despite Appellant’s proof</w:t>
      </w:r>
      <w:r w:rsidR="00C85528" w:rsidRPr="00007D43">
        <w:rPr>
          <w:rFonts w:cs="Times New Roman"/>
          <w:sz w:val="22"/>
        </w:rPr>
        <w:t>,</w:t>
      </w:r>
      <w:r w:rsidRPr="00007D43">
        <w:rPr>
          <w:rFonts w:cs="Times New Roman"/>
          <w:sz w:val="22"/>
        </w:rPr>
        <w:t xml:space="preserve"> contrary to clause 1 of the agreement between the parties, that Respondent had</w:t>
      </w:r>
      <w:r w:rsidR="00C85528" w:rsidRPr="00007D43">
        <w:rPr>
          <w:rFonts w:cs="Times New Roman"/>
          <w:sz w:val="22"/>
        </w:rPr>
        <w:t xml:space="preserve"> given </w:t>
      </w:r>
      <w:r w:rsidRPr="00007D43">
        <w:rPr>
          <w:rFonts w:cs="Times New Roman"/>
          <w:sz w:val="22"/>
        </w:rPr>
        <w:t xml:space="preserve">over to it the full square meterage it was entitled to. </w:t>
      </w:r>
    </w:p>
    <w:p w14:paraId="2889619C" w14:textId="6A1E13AB" w:rsidR="002C5A64" w:rsidRPr="00007D43" w:rsidRDefault="002C5A64" w:rsidP="78DF02FC">
      <w:pPr>
        <w:pStyle w:val="ListParagraph"/>
        <w:numPr>
          <w:ilvl w:val="0"/>
          <w:numId w:val="6"/>
        </w:numPr>
        <w:spacing w:line="240" w:lineRule="auto"/>
        <w:rPr>
          <w:rFonts w:cs="Times New Roman"/>
          <w:sz w:val="22"/>
        </w:rPr>
      </w:pPr>
      <w:r w:rsidRPr="535E327C">
        <w:rPr>
          <w:rFonts w:cs="Times New Roman"/>
          <w:sz w:val="22"/>
        </w:rPr>
        <w:t xml:space="preserve">The court a </w:t>
      </w:r>
      <w:r w:rsidRPr="535E327C">
        <w:rPr>
          <w:rFonts w:cs="Times New Roman"/>
          <w:i/>
          <w:iCs/>
          <w:sz w:val="22"/>
        </w:rPr>
        <w:t>quo</w:t>
      </w:r>
      <w:r w:rsidRPr="535E327C">
        <w:rPr>
          <w:rFonts w:cs="Times New Roman"/>
          <w:sz w:val="22"/>
        </w:rPr>
        <w:t xml:space="preserve"> erred at law in ordering payment of rentals without </w:t>
      </w:r>
      <w:bookmarkStart w:id="1" w:name="_Int_8CrUUHqu"/>
      <w:r w:rsidRPr="535E327C">
        <w:rPr>
          <w:rFonts w:cs="Times New Roman"/>
          <w:sz w:val="22"/>
        </w:rPr>
        <w:t>taking into account</w:t>
      </w:r>
      <w:bookmarkEnd w:id="1"/>
      <w:r w:rsidRPr="535E327C">
        <w:rPr>
          <w:rFonts w:cs="Times New Roman"/>
          <w:sz w:val="22"/>
        </w:rPr>
        <w:t xml:space="preserve"> to SI33 of 2019 which affected the payment of rentals in United States Dollars for such an agreement as one that was in consideration</w:t>
      </w:r>
      <w:r w:rsidR="00007D43" w:rsidRPr="535E327C">
        <w:rPr>
          <w:rFonts w:cs="Times New Roman"/>
          <w:sz w:val="22"/>
        </w:rPr>
        <w:t>.</w:t>
      </w:r>
      <w:r w:rsidRPr="535E327C">
        <w:rPr>
          <w:rFonts w:cs="Times New Roman"/>
          <w:sz w:val="22"/>
        </w:rPr>
        <w:t xml:space="preserve"> </w:t>
      </w:r>
    </w:p>
    <w:p w14:paraId="0C1D9484" w14:textId="3FDBC2F3" w:rsidR="002C5A64" w:rsidRPr="002C5A64" w:rsidRDefault="00007D43" w:rsidP="002C5A64">
      <w:pPr>
        <w:pStyle w:val="ListParagraph"/>
        <w:numPr>
          <w:ilvl w:val="0"/>
          <w:numId w:val="1"/>
        </w:numPr>
        <w:rPr>
          <w:rFonts w:cs="Times New Roman"/>
          <w:szCs w:val="24"/>
        </w:rPr>
      </w:pPr>
      <w:r>
        <w:rPr>
          <w:rFonts w:cs="Times New Roman"/>
          <w:szCs w:val="24"/>
        </w:rPr>
        <w:t>T</w:t>
      </w:r>
      <w:r w:rsidR="002C5A64" w:rsidRPr="002C5A64">
        <w:rPr>
          <w:rFonts w:cs="Times New Roman"/>
          <w:szCs w:val="24"/>
        </w:rPr>
        <w:t xml:space="preserve">he appellant prayed that the appeal be allowed and for the decision of court a </w:t>
      </w:r>
      <w:r w:rsidR="002C5A64" w:rsidRPr="002C5A64">
        <w:rPr>
          <w:rFonts w:cs="Times New Roman"/>
          <w:i/>
          <w:iCs/>
          <w:szCs w:val="24"/>
        </w:rPr>
        <w:t>quo</w:t>
      </w:r>
      <w:r w:rsidR="002C5A64" w:rsidRPr="002C5A64">
        <w:rPr>
          <w:rFonts w:cs="Times New Roman"/>
          <w:szCs w:val="24"/>
        </w:rPr>
        <w:t xml:space="preserve"> to be set aside and substituted with an order dismissing the respondent’s claim with costs. </w:t>
      </w:r>
    </w:p>
    <w:p w14:paraId="71F1C3FF" w14:textId="121C9C1D" w:rsidR="002C5A64" w:rsidRDefault="002C5A64" w:rsidP="002C5A64">
      <w:pPr>
        <w:rPr>
          <w:rFonts w:cs="Times New Roman"/>
          <w:b/>
          <w:bCs/>
          <w:szCs w:val="24"/>
          <w:u w:val="single"/>
        </w:rPr>
      </w:pPr>
      <w:r w:rsidRPr="002C5A64">
        <w:rPr>
          <w:rFonts w:cs="Times New Roman"/>
          <w:b/>
          <w:bCs/>
          <w:szCs w:val="24"/>
          <w:u w:val="single"/>
        </w:rPr>
        <w:t>S</w:t>
      </w:r>
      <w:r w:rsidR="00FB58F4">
        <w:rPr>
          <w:rFonts w:cs="Times New Roman"/>
          <w:b/>
          <w:bCs/>
          <w:szCs w:val="24"/>
          <w:u w:val="single"/>
        </w:rPr>
        <w:t>UBMISSIONS BEFORE THIS COURT</w:t>
      </w:r>
    </w:p>
    <w:p w14:paraId="68C0649F" w14:textId="77777777" w:rsidR="00007D43" w:rsidRPr="002C5A64" w:rsidRDefault="00007D43" w:rsidP="00007D43">
      <w:pPr>
        <w:pStyle w:val="ListParagraph"/>
        <w:numPr>
          <w:ilvl w:val="0"/>
          <w:numId w:val="1"/>
        </w:numPr>
        <w:rPr>
          <w:rFonts w:cs="Times New Roman"/>
          <w:b/>
          <w:bCs/>
          <w:szCs w:val="24"/>
          <w:u w:val="single"/>
        </w:rPr>
      </w:pPr>
      <w:r>
        <w:rPr>
          <w:rFonts w:cs="Times New Roman"/>
          <w:szCs w:val="24"/>
        </w:rPr>
        <w:t xml:space="preserve">In its heads of argument, the appellant cojoined grounds one and three. It also cojoined grounds two and four. At the hearing of the appeal, it abandoned the fifth ground of appeal.  </w:t>
      </w:r>
    </w:p>
    <w:p w14:paraId="7D5929D9" w14:textId="4BE319AB" w:rsidR="002C5A64" w:rsidRDefault="006232AE" w:rsidP="00007D43">
      <w:pPr>
        <w:pStyle w:val="ListParagraph"/>
        <w:numPr>
          <w:ilvl w:val="0"/>
          <w:numId w:val="1"/>
        </w:numPr>
        <w:rPr>
          <w:rFonts w:cs="Times New Roman"/>
          <w:szCs w:val="24"/>
        </w:rPr>
      </w:pPr>
      <w:r w:rsidRPr="006232AE">
        <w:rPr>
          <w:rFonts w:cs="Times New Roman"/>
          <w:szCs w:val="24"/>
        </w:rPr>
        <w:t>I</w:t>
      </w:r>
      <w:r w:rsidR="006377C6">
        <w:rPr>
          <w:rFonts w:cs="Times New Roman"/>
          <w:szCs w:val="24"/>
        </w:rPr>
        <w:t>n motivating the first and third grounds of appeal, it</w:t>
      </w:r>
      <w:r w:rsidRPr="006232AE">
        <w:rPr>
          <w:rFonts w:cs="Times New Roman"/>
          <w:szCs w:val="24"/>
        </w:rPr>
        <w:t xml:space="preserve"> was contended for the appellant that the court a</w:t>
      </w:r>
      <w:r w:rsidRPr="006377C6">
        <w:rPr>
          <w:rFonts w:cs="Times New Roman"/>
          <w:i/>
          <w:iCs/>
          <w:szCs w:val="24"/>
        </w:rPr>
        <w:t xml:space="preserve"> quo</w:t>
      </w:r>
      <w:r w:rsidRPr="006232AE">
        <w:rPr>
          <w:rFonts w:cs="Times New Roman"/>
          <w:szCs w:val="24"/>
        </w:rPr>
        <w:t xml:space="preserve"> did not take into account the evidence before it pertaining to the lien in favour of the Appellant which was subject to determination in the High Court. </w:t>
      </w:r>
      <w:r w:rsidR="0030695B">
        <w:rPr>
          <w:rFonts w:cs="Times New Roman"/>
          <w:szCs w:val="24"/>
        </w:rPr>
        <w:t>It was</w:t>
      </w:r>
      <w:r w:rsidRPr="006232AE">
        <w:rPr>
          <w:rFonts w:cs="Times New Roman"/>
          <w:szCs w:val="24"/>
        </w:rPr>
        <w:t xml:space="preserve"> contended, further, that the court a </w:t>
      </w:r>
      <w:r w:rsidRPr="00C85528">
        <w:rPr>
          <w:rFonts w:cs="Times New Roman"/>
          <w:i/>
          <w:iCs/>
          <w:szCs w:val="24"/>
        </w:rPr>
        <w:t>quo</w:t>
      </w:r>
      <w:r w:rsidR="00C85528">
        <w:rPr>
          <w:rFonts w:cs="Times New Roman"/>
          <w:szCs w:val="24"/>
        </w:rPr>
        <w:t xml:space="preserve"> </w:t>
      </w:r>
      <w:r w:rsidRPr="006232AE">
        <w:rPr>
          <w:rFonts w:cs="Times New Roman"/>
          <w:szCs w:val="24"/>
        </w:rPr>
        <w:t xml:space="preserve">erroneously ordered the payment of holding over damages in the form claimed in the court a </w:t>
      </w:r>
      <w:r w:rsidRPr="00C85528">
        <w:rPr>
          <w:rFonts w:cs="Times New Roman"/>
          <w:i/>
          <w:iCs/>
          <w:szCs w:val="24"/>
        </w:rPr>
        <w:t>quo</w:t>
      </w:r>
      <w:r w:rsidRPr="006232AE">
        <w:rPr>
          <w:rFonts w:cs="Times New Roman"/>
          <w:szCs w:val="24"/>
        </w:rPr>
        <w:t xml:space="preserve">, without deducting </w:t>
      </w:r>
      <w:r w:rsidR="00C85528">
        <w:rPr>
          <w:rFonts w:cs="Times New Roman"/>
          <w:szCs w:val="24"/>
        </w:rPr>
        <w:t>a sum of US</w:t>
      </w:r>
      <w:r w:rsidRPr="006232AE">
        <w:rPr>
          <w:rFonts w:cs="Times New Roman"/>
          <w:szCs w:val="24"/>
        </w:rPr>
        <w:t>$1 800 that had already been paid by the appellant</w:t>
      </w:r>
      <w:r w:rsidR="00C85528">
        <w:rPr>
          <w:rFonts w:cs="Times New Roman"/>
          <w:szCs w:val="24"/>
        </w:rPr>
        <w:t xml:space="preserve"> to the respondent</w:t>
      </w:r>
      <w:r w:rsidRPr="006232AE">
        <w:rPr>
          <w:rFonts w:cs="Times New Roman"/>
          <w:szCs w:val="24"/>
        </w:rPr>
        <w:t>.</w:t>
      </w:r>
    </w:p>
    <w:p w14:paraId="53AC2747" w14:textId="5EF22415" w:rsidR="006232AE" w:rsidRDefault="006377C6" w:rsidP="78DF02FC">
      <w:pPr>
        <w:pStyle w:val="ListParagraph"/>
        <w:numPr>
          <w:ilvl w:val="0"/>
          <w:numId w:val="1"/>
        </w:numPr>
        <w:rPr>
          <w:rFonts w:cs="Times New Roman"/>
        </w:rPr>
      </w:pPr>
      <w:r w:rsidRPr="535E327C">
        <w:rPr>
          <w:rFonts w:cs="Times New Roman"/>
        </w:rPr>
        <w:t>In relation to the second and fourth grounds of appeal, it was</w:t>
      </w:r>
      <w:r w:rsidR="006232AE" w:rsidRPr="535E327C">
        <w:rPr>
          <w:rFonts w:cs="Times New Roman"/>
        </w:rPr>
        <w:t xml:space="preserve"> submitted that once parties enter into a contract, they are bound by the agreement until that contract is set aside by an order of a court. </w:t>
      </w:r>
      <w:r w:rsidRPr="535E327C">
        <w:rPr>
          <w:rFonts w:cs="Times New Roman"/>
        </w:rPr>
        <w:t>I</w:t>
      </w:r>
      <w:r w:rsidR="006232AE" w:rsidRPr="535E327C">
        <w:rPr>
          <w:rFonts w:cs="Times New Roman"/>
        </w:rPr>
        <w:t xml:space="preserve">t was submitted, further, that the court a </w:t>
      </w:r>
      <w:r w:rsidR="006232AE" w:rsidRPr="535E327C">
        <w:rPr>
          <w:rFonts w:cs="Times New Roman"/>
          <w:i/>
          <w:iCs/>
        </w:rPr>
        <w:t>quo</w:t>
      </w:r>
      <w:r w:rsidR="006232AE" w:rsidRPr="535E327C">
        <w:rPr>
          <w:rFonts w:cs="Times New Roman"/>
        </w:rPr>
        <w:t xml:space="preserve"> erred in </w:t>
      </w:r>
      <w:r w:rsidRPr="535E327C">
        <w:rPr>
          <w:rFonts w:cs="Times New Roman"/>
        </w:rPr>
        <w:t xml:space="preserve">making a </w:t>
      </w:r>
      <w:r w:rsidR="006232AE" w:rsidRPr="535E327C">
        <w:rPr>
          <w:rFonts w:cs="Times New Roman"/>
        </w:rPr>
        <w:t>finding that varied from the agreed position of the parties</w:t>
      </w:r>
      <w:r w:rsidRPr="535E327C">
        <w:rPr>
          <w:rFonts w:cs="Times New Roman"/>
        </w:rPr>
        <w:t>, in particular the manner in which the contract would be cancelled, the nature</w:t>
      </w:r>
      <w:r w:rsidR="002B7E93" w:rsidRPr="535E327C">
        <w:rPr>
          <w:rFonts w:cs="Times New Roman"/>
        </w:rPr>
        <w:t xml:space="preserve"> </w:t>
      </w:r>
      <w:r w:rsidRPr="535E327C">
        <w:rPr>
          <w:rFonts w:cs="Times New Roman"/>
        </w:rPr>
        <w:t xml:space="preserve">the </w:t>
      </w:r>
      <w:r w:rsidR="2B4D9733" w:rsidRPr="535E327C">
        <w:rPr>
          <w:rFonts w:cs="Times New Roman"/>
        </w:rPr>
        <w:t>land was in at</w:t>
      </w:r>
      <w:r w:rsidRPr="535E327C">
        <w:rPr>
          <w:rFonts w:cs="Times New Roman"/>
        </w:rPr>
        <w:t xml:space="preserve"> the time of occupation and agreements to </w:t>
      </w:r>
      <w:r w:rsidRPr="535E327C">
        <w:rPr>
          <w:rFonts w:cs="Times New Roman"/>
        </w:rPr>
        <w:lastRenderedPageBreak/>
        <w:t xml:space="preserve">develop same. The appellant accused the court a </w:t>
      </w:r>
      <w:r w:rsidRPr="535E327C">
        <w:rPr>
          <w:rFonts w:cs="Times New Roman"/>
          <w:i/>
          <w:iCs/>
        </w:rPr>
        <w:t>quo</w:t>
      </w:r>
      <w:r w:rsidRPr="535E327C">
        <w:rPr>
          <w:rFonts w:cs="Times New Roman"/>
        </w:rPr>
        <w:t xml:space="preserve"> of descending into the arena and making a contract for the parties.  </w:t>
      </w:r>
    </w:p>
    <w:p w14:paraId="556C4F8B" w14:textId="7CE40A9A" w:rsidR="005077D9" w:rsidRDefault="006377C6" w:rsidP="00007D43">
      <w:pPr>
        <w:pStyle w:val="ListParagraph"/>
        <w:numPr>
          <w:ilvl w:val="0"/>
          <w:numId w:val="1"/>
        </w:numPr>
        <w:rPr>
          <w:rFonts w:cs="Times New Roman"/>
          <w:szCs w:val="24"/>
        </w:rPr>
      </w:pPr>
      <w:r>
        <w:rPr>
          <w:rFonts w:cs="Times New Roman"/>
          <w:szCs w:val="24"/>
        </w:rPr>
        <w:t>Before</w:t>
      </w:r>
      <w:r w:rsidR="00C85528">
        <w:rPr>
          <w:rFonts w:cs="Times New Roman"/>
          <w:szCs w:val="24"/>
        </w:rPr>
        <w:t xml:space="preserve"> </w:t>
      </w:r>
      <w:r w:rsidR="00007D43">
        <w:rPr>
          <w:rFonts w:cs="Times New Roman"/>
          <w:szCs w:val="24"/>
        </w:rPr>
        <w:t>us</w:t>
      </w:r>
      <w:r>
        <w:rPr>
          <w:rFonts w:cs="Times New Roman"/>
          <w:szCs w:val="24"/>
        </w:rPr>
        <w:t xml:space="preserve">, </w:t>
      </w:r>
      <w:r w:rsidR="00007D43">
        <w:rPr>
          <w:rFonts w:cs="Times New Roman"/>
          <w:szCs w:val="24"/>
        </w:rPr>
        <w:t xml:space="preserve">the appellant’s legal counsel, </w:t>
      </w:r>
      <w:r>
        <w:rPr>
          <w:rFonts w:cs="Times New Roman"/>
          <w:szCs w:val="24"/>
        </w:rPr>
        <w:t xml:space="preserve">Mr </w:t>
      </w:r>
      <w:r w:rsidRPr="006377C6">
        <w:rPr>
          <w:rFonts w:cs="Times New Roman"/>
          <w:i/>
          <w:iCs/>
          <w:szCs w:val="24"/>
        </w:rPr>
        <w:t>Mzeya</w:t>
      </w:r>
      <w:r w:rsidR="00007D43" w:rsidRPr="00007D43">
        <w:rPr>
          <w:rFonts w:cs="Times New Roman"/>
          <w:szCs w:val="24"/>
        </w:rPr>
        <w:t>,</w:t>
      </w:r>
      <w:r>
        <w:rPr>
          <w:rFonts w:cs="Times New Roman"/>
          <w:szCs w:val="24"/>
        </w:rPr>
        <w:t xml:space="preserve"> submitted that the court a </w:t>
      </w:r>
      <w:r w:rsidRPr="0011036B">
        <w:rPr>
          <w:rFonts w:cs="Times New Roman"/>
          <w:i/>
          <w:iCs/>
          <w:szCs w:val="24"/>
        </w:rPr>
        <w:t>quo</w:t>
      </w:r>
      <w:r>
        <w:rPr>
          <w:rFonts w:cs="Times New Roman"/>
          <w:szCs w:val="24"/>
        </w:rPr>
        <w:t xml:space="preserve"> did not interrogate the substantive defence the </w:t>
      </w:r>
      <w:r w:rsidR="005077D9">
        <w:rPr>
          <w:rFonts w:cs="Times New Roman"/>
          <w:szCs w:val="24"/>
        </w:rPr>
        <w:t>a</w:t>
      </w:r>
      <w:r>
        <w:rPr>
          <w:rFonts w:cs="Times New Roman"/>
          <w:szCs w:val="24"/>
        </w:rPr>
        <w:t xml:space="preserve">ppellant had raised in relation to the improvements made on the premises in circumstances where the improvements had been admitted and the case was pending at the High Court for quantification. </w:t>
      </w:r>
      <w:r w:rsidR="005077D9">
        <w:rPr>
          <w:rFonts w:cs="Times New Roman"/>
          <w:szCs w:val="24"/>
        </w:rPr>
        <w:t xml:space="preserve"> During discourse with the cou</w:t>
      </w:r>
      <w:r w:rsidR="00073694">
        <w:rPr>
          <w:rFonts w:cs="Times New Roman"/>
          <w:szCs w:val="24"/>
        </w:rPr>
        <w:t>rt</w:t>
      </w:r>
      <w:r w:rsidR="005077D9">
        <w:rPr>
          <w:rFonts w:cs="Times New Roman"/>
          <w:szCs w:val="24"/>
        </w:rPr>
        <w:t xml:space="preserve">, Mr </w:t>
      </w:r>
      <w:r w:rsidR="005077D9" w:rsidRPr="005077D9">
        <w:rPr>
          <w:rFonts w:cs="Times New Roman"/>
          <w:i/>
          <w:iCs/>
          <w:szCs w:val="24"/>
        </w:rPr>
        <w:t>Mzeya</w:t>
      </w:r>
      <w:r w:rsidR="005077D9">
        <w:rPr>
          <w:rFonts w:cs="Times New Roman"/>
          <w:szCs w:val="24"/>
        </w:rPr>
        <w:t xml:space="preserve"> conceded that the issue of quantification of the improvements was not before the magistrates’ court. </w:t>
      </w:r>
    </w:p>
    <w:p w14:paraId="230E404F" w14:textId="67B7CAE5" w:rsidR="006377C6" w:rsidRDefault="005077D9" w:rsidP="00007D43">
      <w:pPr>
        <w:pStyle w:val="ListParagraph"/>
        <w:numPr>
          <w:ilvl w:val="0"/>
          <w:numId w:val="1"/>
        </w:numPr>
        <w:rPr>
          <w:rFonts w:cs="Times New Roman"/>
          <w:szCs w:val="24"/>
        </w:rPr>
      </w:pPr>
      <w:r>
        <w:rPr>
          <w:rFonts w:cs="Times New Roman"/>
          <w:szCs w:val="24"/>
        </w:rPr>
        <w:t xml:space="preserve">Mr </w:t>
      </w:r>
      <w:r w:rsidRPr="005077D9">
        <w:rPr>
          <w:rFonts w:cs="Times New Roman"/>
          <w:i/>
          <w:iCs/>
          <w:szCs w:val="24"/>
        </w:rPr>
        <w:t>Mzeya</w:t>
      </w:r>
      <w:r>
        <w:rPr>
          <w:rFonts w:cs="Times New Roman"/>
          <w:szCs w:val="24"/>
        </w:rPr>
        <w:t xml:space="preserve"> submitted, further, that as long as the appellant continued to stay at the property, the lease agreement would be deemed</w:t>
      </w:r>
      <w:r w:rsidR="00223BF1">
        <w:rPr>
          <w:rFonts w:cs="Times New Roman"/>
          <w:szCs w:val="24"/>
        </w:rPr>
        <w:t>, by dint of clause 2 of the agreement,</w:t>
      </w:r>
      <w:r>
        <w:rPr>
          <w:rFonts w:cs="Times New Roman"/>
          <w:szCs w:val="24"/>
        </w:rPr>
        <w:t xml:space="preserve"> to have been extended by one year. He argued that the respondent had permitted the appellant to remain at the premises up to 30 April 2023, therefore, automatically, the lease agreement was extended by one year. He however accepted that there was no written consent to extend the lease agreement.  </w:t>
      </w:r>
    </w:p>
    <w:p w14:paraId="5ACC78F2" w14:textId="03B1F84A" w:rsidR="005077D9" w:rsidRDefault="005077D9" w:rsidP="78DF02FC">
      <w:pPr>
        <w:pStyle w:val="ListParagraph"/>
        <w:numPr>
          <w:ilvl w:val="0"/>
          <w:numId w:val="1"/>
        </w:numPr>
        <w:rPr>
          <w:rFonts w:cs="Times New Roman"/>
        </w:rPr>
      </w:pPr>
      <w:r w:rsidRPr="535E327C">
        <w:rPr>
          <w:rFonts w:cs="Times New Roman"/>
        </w:rPr>
        <w:t xml:space="preserve">Mr </w:t>
      </w:r>
      <w:r w:rsidRPr="535E327C">
        <w:rPr>
          <w:rFonts w:cs="Times New Roman"/>
          <w:i/>
          <w:iCs/>
        </w:rPr>
        <w:t>Mzeya</w:t>
      </w:r>
      <w:r w:rsidRPr="535E327C">
        <w:rPr>
          <w:rFonts w:cs="Times New Roman"/>
        </w:rPr>
        <w:t xml:space="preserve"> argued that the appellant had to occupy a certain space, of which he was not in occupation of the actual square meterage he had been </w:t>
      </w:r>
      <w:r w:rsidR="00FB58F4" w:rsidRPr="535E327C">
        <w:rPr>
          <w:rFonts w:cs="Times New Roman"/>
        </w:rPr>
        <w:t>‘</w:t>
      </w:r>
      <w:r w:rsidRPr="535E327C">
        <w:rPr>
          <w:rFonts w:cs="Times New Roman"/>
        </w:rPr>
        <w:t>allocated</w:t>
      </w:r>
      <w:r w:rsidR="00FB58F4" w:rsidRPr="535E327C">
        <w:rPr>
          <w:rFonts w:cs="Times New Roman"/>
        </w:rPr>
        <w:t>’</w:t>
      </w:r>
      <w:r w:rsidRPr="535E327C">
        <w:rPr>
          <w:rFonts w:cs="Times New Roman"/>
        </w:rPr>
        <w:t>. His further argument was that the respondent could not eject the appellant in circumstances where he was n</w:t>
      </w:r>
      <w:r w:rsidR="00FB58F4" w:rsidRPr="535E327C">
        <w:rPr>
          <w:rFonts w:cs="Times New Roman"/>
        </w:rPr>
        <w:t>o</w:t>
      </w:r>
      <w:r w:rsidRPr="535E327C">
        <w:rPr>
          <w:rFonts w:cs="Times New Roman"/>
        </w:rPr>
        <w:t xml:space="preserve">t occupying the same area as the one he was paying rentals for. It emerged during an exchange with the court that the issue of </w:t>
      </w:r>
      <w:r w:rsidR="00FB58F4" w:rsidRPr="535E327C">
        <w:rPr>
          <w:rFonts w:cs="Times New Roman"/>
        </w:rPr>
        <w:t>the space occupied by the appellant was not an issue before and the appellant had happily paid full rentals for the space</w:t>
      </w:r>
      <w:r w:rsidR="00C85528" w:rsidRPr="535E327C">
        <w:rPr>
          <w:rFonts w:cs="Times New Roman"/>
        </w:rPr>
        <w:t xml:space="preserve"> it was </w:t>
      </w:r>
      <w:r w:rsidR="2F518DC1" w:rsidRPr="535E327C">
        <w:rPr>
          <w:rFonts w:cs="Times New Roman"/>
        </w:rPr>
        <w:t>occupying</w:t>
      </w:r>
      <w:r w:rsidR="00FB58F4" w:rsidRPr="535E327C">
        <w:rPr>
          <w:rFonts w:cs="Times New Roman"/>
        </w:rPr>
        <w:t xml:space="preserve"> since 2018. Surely, it could not become an issue </w:t>
      </w:r>
      <w:r w:rsidR="00C85528" w:rsidRPr="535E327C">
        <w:rPr>
          <w:rFonts w:cs="Times New Roman"/>
        </w:rPr>
        <w:t xml:space="preserve">five years later simply </w:t>
      </w:r>
      <w:r w:rsidR="00FB58F4" w:rsidRPr="535E327C">
        <w:rPr>
          <w:rFonts w:cs="Times New Roman"/>
        </w:rPr>
        <w:t xml:space="preserve">because the appellant was facing eviction. </w:t>
      </w:r>
      <w:r w:rsidR="0049080C" w:rsidRPr="535E327C">
        <w:rPr>
          <w:rFonts w:cs="Times New Roman"/>
        </w:rPr>
        <w:t xml:space="preserve">To his credit, Mr </w:t>
      </w:r>
      <w:r w:rsidR="0049080C" w:rsidRPr="535E327C">
        <w:rPr>
          <w:rFonts w:cs="Times New Roman"/>
          <w:i/>
          <w:iCs/>
        </w:rPr>
        <w:t xml:space="preserve">Mzeya </w:t>
      </w:r>
      <w:r w:rsidR="0049080C" w:rsidRPr="535E327C">
        <w:rPr>
          <w:rFonts w:cs="Times New Roman"/>
        </w:rPr>
        <w:t xml:space="preserve">accepted that the fourth ground of appeal was ill-fated. </w:t>
      </w:r>
      <w:r w:rsidR="00223BF1" w:rsidRPr="535E327C">
        <w:rPr>
          <w:rFonts w:cs="Times New Roman"/>
        </w:rPr>
        <w:t xml:space="preserve">His concession was dispositive of this ground of appeal. </w:t>
      </w:r>
    </w:p>
    <w:p w14:paraId="6EE6F093" w14:textId="13AC4CDF" w:rsidR="00FB58F4" w:rsidRDefault="00803575" w:rsidP="00007D43">
      <w:pPr>
        <w:pStyle w:val="ListParagraph"/>
        <w:numPr>
          <w:ilvl w:val="0"/>
          <w:numId w:val="1"/>
        </w:numPr>
        <w:rPr>
          <w:rFonts w:cs="Times New Roman"/>
          <w:szCs w:val="24"/>
        </w:rPr>
      </w:pPr>
      <w:r>
        <w:rPr>
          <w:rFonts w:cs="Times New Roman"/>
          <w:szCs w:val="24"/>
        </w:rPr>
        <w:t xml:space="preserve">Finally, </w:t>
      </w:r>
      <w:r w:rsidR="00FB58F4">
        <w:rPr>
          <w:rFonts w:cs="Times New Roman"/>
          <w:szCs w:val="24"/>
        </w:rPr>
        <w:t xml:space="preserve">Mr </w:t>
      </w:r>
      <w:r w:rsidR="00FB58F4" w:rsidRPr="00FB58F4">
        <w:rPr>
          <w:rFonts w:cs="Times New Roman"/>
          <w:i/>
          <w:iCs/>
          <w:szCs w:val="24"/>
        </w:rPr>
        <w:t>Mzeya</w:t>
      </w:r>
      <w:r w:rsidR="00FB58F4">
        <w:rPr>
          <w:rFonts w:cs="Times New Roman"/>
          <w:szCs w:val="24"/>
        </w:rPr>
        <w:t xml:space="preserve"> confirmed that when the summons was issued, the appellant stopped paying rentals and had not paid rentals for close to three years despite remaining in occupation of the premises. </w:t>
      </w:r>
    </w:p>
    <w:p w14:paraId="30CCB5E7" w14:textId="593E681C" w:rsidR="00FB58F4" w:rsidRDefault="00F61845" w:rsidP="00007D43">
      <w:pPr>
        <w:pStyle w:val="ListParagraph"/>
        <w:numPr>
          <w:ilvl w:val="0"/>
          <w:numId w:val="1"/>
        </w:numPr>
        <w:rPr>
          <w:rFonts w:cs="Times New Roman"/>
          <w:szCs w:val="24"/>
        </w:rPr>
      </w:pPr>
      <w:r>
        <w:rPr>
          <w:rFonts w:cs="Times New Roman"/>
          <w:szCs w:val="24"/>
        </w:rPr>
        <w:t xml:space="preserve">In contesting the appeal, the respondent initially argued, in </w:t>
      </w:r>
      <w:r w:rsidRPr="00F61845">
        <w:rPr>
          <w:rFonts w:cs="Times New Roman"/>
          <w:i/>
          <w:iCs/>
          <w:szCs w:val="24"/>
        </w:rPr>
        <w:t>limine</w:t>
      </w:r>
      <w:r>
        <w:rPr>
          <w:rFonts w:cs="Times New Roman"/>
          <w:szCs w:val="24"/>
        </w:rPr>
        <w:t xml:space="preserve">, that the appeal was fatally defective </w:t>
      </w:r>
      <w:r w:rsidR="00D8012C">
        <w:rPr>
          <w:rFonts w:cs="Times New Roman"/>
          <w:szCs w:val="24"/>
        </w:rPr>
        <w:t xml:space="preserve">because the </w:t>
      </w:r>
      <w:r>
        <w:rPr>
          <w:rFonts w:cs="Times New Roman"/>
          <w:szCs w:val="24"/>
        </w:rPr>
        <w:t xml:space="preserve">certificate of service stated that the Notice of Appeal was done on 2 January 2025 instead of 18 August 2025. Commendably, the respondent did not persist </w:t>
      </w:r>
      <w:r>
        <w:rPr>
          <w:rFonts w:cs="Times New Roman"/>
          <w:szCs w:val="24"/>
        </w:rPr>
        <w:lastRenderedPageBreak/>
        <w:t>with this preliminary point at the hearing of the matter</w:t>
      </w:r>
      <w:r w:rsidR="00D8012C">
        <w:rPr>
          <w:rFonts w:cs="Times New Roman"/>
          <w:szCs w:val="24"/>
        </w:rPr>
        <w:t xml:space="preserve"> because what was defective was the certificate of service not the Notice of Appeal</w:t>
      </w:r>
      <w:r>
        <w:rPr>
          <w:rFonts w:cs="Times New Roman"/>
          <w:szCs w:val="24"/>
        </w:rPr>
        <w:t xml:space="preserve">. </w:t>
      </w:r>
    </w:p>
    <w:p w14:paraId="1A24FB29" w14:textId="28197195" w:rsidR="00F61845" w:rsidRDefault="00F61845" w:rsidP="00007D43">
      <w:pPr>
        <w:pStyle w:val="ListParagraph"/>
        <w:numPr>
          <w:ilvl w:val="0"/>
          <w:numId w:val="1"/>
        </w:numPr>
        <w:rPr>
          <w:rFonts w:cs="Times New Roman"/>
          <w:szCs w:val="24"/>
        </w:rPr>
      </w:pPr>
      <w:r>
        <w:rPr>
          <w:rFonts w:cs="Times New Roman"/>
          <w:szCs w:val="24"/>
        </w:rPr>
        <w:t xml:space="preserve">On the merits, the respondent contended that the appellant withdrew its counterclaim for the lien on 11 December 2024 so that withdrawal rendered the issue of an improvement lien irrelevant to the court a </w:t>
      </w:r>
      <w:r w:rsidRPr="00F61845">
        <w:rPr>
          <w:rFonts w:cs="Times New Roman"/>
          <w:i/>
          <w:iCs/>
          <w:szCs w:val="24"/>
        </w:rPr>
        <w:t>quo</w:t>
      </w:r>
      <w:r>
        <w:rPr>
          <w:rFonts w:cs="Times New Roman"/>
          <w:szCs w:val="24"/>
        </w:rPr>
        <w:t xml:space="preserve">. The respondent further contended that the third ground of appeal could not succeed because the appellant had stopped paying rentals at the commencement of litigation so there were no payments for the court to consider. </w:t>
      </w:r>
    </w:p>
    <w:p w14:paraId="3E5C83D3" w14:textId="6DCFA3B2" w:rsidR="00F61845" w:rsidRDefault="00F61845" w:rsidP="00007D43">
      <w:pPr>
        <w:pStyle w:val="ListParagraph"/>
        <w:numPr>
          <w:ilvl w:val="0"/>
          <w:numId w:val="1"/>
        </w:numPr>
        <w:rPr>
          <w:rFonts w:cs="Times New Roman"/>
          <w:szCs w:val="24"/>
        </w:rPr>
      </w:pPr>
      <w:r>
        <w:rPr>
          <w:rFonts w:cs="Times New Roman"/>
          <w:szCs w:val="24"/>
        </w:rPr>
        <w:t xml:space="preserve">With regards the termination of the lease, the respondent submitted that it was not in dispute that the lease agreement had terminated by effluxion of time. </w:t>
      </w:r>
      <w:r w:rsidR="00D74508">
        <w:rPr>
          <w:rFonts w:cs="Times New Roman"/>
          <w:szCs w:val="24"/>
        </w:rPr>
        <w:t xml:space="preserve">The respondent argued that the fourth ground of appeal did not advance anything and should be abandoned. </w:t>
      </w:r>
    </w:p>
    <w:p w14:paraId="69E839C0" w14:textId="77777777" w:rsidR="00223BF1" w:rsidRDefault="00D74508" w:rsidP="00007D43">
      <w:pPr>
        <w:pStyle w:val="ListParagraph"/>
        <w:numPr>
          <w:ilvl w:val="0"/>
          <w:numId w:val="1"/>
        </w:numPr>
        <w:rPr>
          <w:rFonts w:cs="Times New Roman"/>
          <w:szCs w:val="24"/>
        </w:rPr>
      </w:pPr>
      <w:r w:rsidRPr="00073694">
        <w:rPr>
          <w:rFonts w:cs="Times New Roman"/>
          <w:szCs w:val="24"/>
        </w:rPr>
        <w:t xml:space="preserve">At the hearing of the appeal, Mr </w:t>
      </w:r>
      <w:r w:rsidRPr="00073694">
        <w:rPr>
          <w:rFonts w:cs="Times New Roman"/>
          <w:i/>
          <w:iCs/>
          <w:szCs w:val="24"/>
        </w:rPr>
        <w:t>Kadye</w:t>
      </w:r>
      <w:r w:rsidRPr="00073694">
        <w:rPr>
          <w:rFonts w:cs="Times New Roman"/>
          <w:szCs w:val="24"/>
        </w:rPr>
        <w:t>, appearing for the respondent,</w:t>
      </w:r>
      <w:r w:rsidR="006C0B6E" w:rsidRPr="00073694">
        <w:rPr>
          <w:rFonts w:cs="Times New Roman"/>
          <w:szCs w:val="24"/>
        </w:rPr>
        <w:t xml:space="preserve"> submitted that the withdrawal of the counterclaim put the question of improvements beyond the court a </w:t>
      </w:r>
      <w:r w:rsidR="006C0B6E" w:rsidRPr="00073694">
        <w:rPr>
          <w:rFonts w:cs="Times New Roman"/>
          <w:i/>
          <w:iCs/>
          <w:szCs w:val="24"/>
        </w:rPr>
        <w:t>quo</w:t>
      </w:r>
      <w:r w:rsidR="006C0B6E" w:rsidRPr="00073694">
        <w:rPr>
          <w:rFonts w:cs="Times New Roman"/>
          <w:szCs w:val="24"/>
        </w:rPr>
        <w:t xml:space="preserve">. He submitted, further, that in the court a </w:t>
      </w:r>
      <w:r w:rsidR="006C0B6E" w:rsidRPr="00073694">
        <w:rPr>
          <w:rFonts w:cs="Times New Roman"/>
          <w:i/>
          <w:iCs/>
          <w:szCs w:val="24"/>
        </w:rPr>
        <w:t>quo</w:t>
      </w:r>
      <w:r w:rsidR="006C0B6E" w:rsidRPr="00073694">
        <w:rPr>
          <w:rFonts w:cs="Times New Roman"/>
          <w:szCs w:val="24"/>
        </w:rPr>
        <w:t xml:space="preserve">, the appellant submitted that it did not have any challenges with vacating the premises, what it wanted was compensation for the improvements. It was his submission that there was no way the court a </w:t>
      </w:r>
      <w:r w:rsidR="006C0B6E" w:rsidRPr="00073694">
        <w:rPr>
          <w:rFonts w:cs="Times New Roman"/>
          <w:i/>
          <w:iCs/>
          <w:szCs w:val="24"/>
        </w:rPr>
        <w:t>quo</w:t>
      </w:r>
      <w:r w:rsidR="006C0B6E" w:rsidRPr="00073694">
        <w:rPr>
          <w:rFonts w:cs="Times New Roman"/>
          <w:szCs w:val="24"/>
        </w:rPr>
        <w:t xml:space="preserve"> could have dealt with the issue of compensation which was before the High Court</w:t>
      </w:r>
      <w:r w:rsidR="000C126C" w:rsidRPr="00073694">
        <w:rPr>
          <w:rFonts w:cs="Times New Roman"/>
          <w:szCs w:val="24"/>
        </w:rPr>
        <w:t xml:space="preserve">. </w:t>
      </w:r>
      <w:r w:rsidR="0011036B" w:rsidRPr="00073694">
        <w:rPr>
          <w:rFonts w:cs="Times New Roman"/>
          <w:szCs w:val="24"/>
        </w:rPr>
        <w:t xml:space="preserve">He made the point that the appellant conceded that it was no longer paying rentals. </w:t>
      </w:r>
    </w:p>
    <w:p w14:paraId="3BFC4B6B" w14:textId="76663441" w:rsidR="00073694" w:rsidRDefault="0011036B" w:rsidP="00007D43">
      <w:pPr>
        <w:pStyle w:val="ListParagraph"/>
        <w:numPr>
          <w:ilvl w:val="0"/>
          <w:numId w:val="1"/>
        </w:numPr>
        <w:rPr>
          <w:rFonts w:cs="Times New Roman"/>
          <w:szCs w:val="24"/>
        </w:rPr>
      </w:pPr>
      <w:r w:rsidRPr="00073694">
        <w:rPr>
          <w:rFonts w:cs="Times New Roman"/>
          <w:szCs w:val="24"/>
        </w:rPr>
        <w:t>He submitted that the deeming provision in</w:t>
      </w:r>
      <w:r w:rsidR="00223BF1">
        <w:rPr>
          <w:rFonts w:cs="Times New Roman"/>
          <w:szCs w:val="24"/>
        </w:rPr>
        <w:t xml:space="preserve"> clause 2 of</w:t>
      </w:r>
      <w:r w:rsidRPr="00073694">
        <w:rPr>
          <w:rFonts w:cs="Times New Roman"/>
          <w:szCs w:val="24"/>
        </w:rPr>
        <w:t xml:space="preserve"> the lease agreement was conditional and there was no evidence that the respondent consented </w:t>
      </w:r>
      <w:r w:rsidR="00073694" w:rsidRPr="00073694">
        <w:rPr>
          <w:rFonts w:cs="Times New Roman"/>
          <w:szCs w:val="24"/>
        </w:rPr>
        <w:t>or acquiesce</w:t>
      </w:r>
      <w:r w:rsidR="00803575">
        <w:rPr>
          <w:rFonts w:cs="Times New Roman"/>
          <w:szCs w:val="24"/>
        </w:rPr>
        <w:t>d</w:t>
      </w:r>
      <w:r w:rsidR="00073694" w:rsidRPr="00073694">
        <w:rPr>
          <w:rFonts w:cs="Times New Roman"/>
          <w:szCs w:val="24"/>
        </w:rPr>
        <w:t xml:space="preserve"> t</w:t>
      </w:r>
      <w:r w:rsidRPr="00073694">
        <w:rPr>
          <w:rFonts w:cs="Times New Roman"/>
          <w:szCs w:val="24"/>
        </w:rPr>
        <w:t>o any extension of the lease agreement</w:t>
      </w:r>
      <w:r w:rsidR="00073694" w:rsidRPr="00073694">
        <w:rPr>
          <w:rFonts w:cs="Times New Roman"/>
          <w:szCs w:val="24"/>
        </w:rPr>
        <w:t xml:space="preserve">. </w:t>
      </w:r>
      <w:r w:rsidR="00223BF1">
        <w:rPr>
          <w:rFonts w:cs="Times New Roman"/>
          <w:szCs w:val="24"/>
        </w:rPr>
        <w:t xml:space="preserve">He contended that the appellant had not paid US$1800 and the letter it was relying on to prove the payment was a letter written by the appellant’s, not the respondent’s legal practitioners. </w:t>
      </w:r>
      <w:r w:rsidR="00073694" w:rsidRPr="00073694">
        <w:rPr>
          <w:rFonts w:cs="Times New Roman"/>
          <w:szCs w:val="24"/>
        </w:rPr>
        <w:t xml:space="preserve">Mr </w:t>
      </w:r>
      <w:r w:rsidR="00073694" w:rsidRPr="00073694">
        <w:rPr>
          <w:rFonts w:cs="Times New Roman"/>
          <w:i/>
          <w:iCs/>
          <w:szCs w:val="24"/>
        </w:rPr>
        <w:t xml:space="preserve">Kadye </w:t>
      </w:r>
      <w:r w:rsidR="00073694" w:rsidRPr="00073694">
        <w:rPr>
          <w:rFonts w:cs="Times New Roman"/>
          <w:szCs w:val="24"/>
        </w:rPr>
        <w:t xml:space="preserve">submitted that the appeal had no merit but was simply an attempt to avoid eviction. He prayed for dismissal of the appeal with costs on a higher scale because </w:t>
      </w:r>
      <w:r w:rsidR="00223BF1">
        <w:rPr>
          <w:rFonts w:cs="Times New Roman"/>
          <w:szCs w:val="24"/>
        </w:rPr>
        <w:t xml:space="preserve">it </w:t>
      </w:r>
      <w:r w:rsidR="00073694">
        <w:rPr>
          <w:rFonts w:cs="Times New Roman"/>
          <w:szCs w:val="24"/>
        </w:rPr>
        <w:t xml:space="preserve">was frivolous and had not been filed with any </w:t>
      </w:r>
      <w:r w:rsidR="00073694" w:rsidRPr="00073694">
        <w:rPr>
          <w:rFonts w:cs="Times New Roman"/>
          <w:i/>
          <w:iCs/>
          <w:szCs w:val="24"/>
        </w:rPr>
        <w:t>bona fide</w:t>
      </w:r>
      <w:r w:rsidR="00073694">
        <w:rPr>
          <w:rFonts w:cs="Times New Roman"/>
          <w:szCs w:val="24"/>
        </w:rPr>
        <w:t xml:space="preserve"> intention to challenge the correctness of the court a </w:t>
      </w:r>
      <w:r w:rsidR="00073694" w:rsidRPr="00073694">
        <w:rPr>
          <w:rFonts w:cs="Times New Roman"/>
          <w:i/>
          <w:iCs/>
          <w:szCs w:val="24"/>
        </w:rPr>
        <w:t>quo</w:t>
      </w:r>
      <w:r w:rsidR="00073694">
        <w:rPr>
          <w:rFonts w:cs="Times New Roman"/>
          <w:szCs w:val="24"/>
        </w:rPr>
        <w:t xml:space="preserve">’s decision. The </w:t>
      </w:r>
      <w:r w:rsidR="00E329E2">
        <w:rPr>
          <w:rFonts w:cs="Times New Roman"/>
          <w:szCs w:val="24"/>
        </w:rPr>
        <w:t xml:space="preserve">appellant </w:t>
      </w:r>
      <w:r w:rsidR="00073694">
        <w:rPr>
          <w:rFonts w:cs="Times New Roman"/>
          <w:szCs w:val="24"/>
        </w:rPr>
        <w:t xml:space="preserve">remained in possession three years on without paying any rentals for the premises. </w:t>
      </w:r>
    </w:p>
    <w:p w14:paraId="5DA4A605" w14:textId="56951084" w:rsidR="004F3BC9" w:rsidRDefault="00073694" w:rsidP="535E327C">
      <w:pPr>
        <w:pStyle w:val="ListParagraph"/>
        <w:numPr>
          <w:ilvl w:val="0"/>
          <w:numId w:val="1"/>
        </w:numPr>
        <w:rPr>
          <w:rFonts w:cs="Times New Roman"/>
        </w:rPr>
      </w:pPr>
      <w:r w:rsidRPr="535E327C">
        <w:rPr>
          <w:rFonts w:cs="Times New Roman"/>
        </w:rPr>
        <w:t xml:space="preserve">At the invitation of the court on the status of the High Court matter, </w:t>
      </w:r>
      <w:r w:rsidR="00803575" w:rsidRPr="535E327C">
        <w:rPr>
          <w:rFonts w:cs="Times New Roman"/>
        </w:rPr>
        <w:t xml:space="preserve">Mr </w:t>
      </w:r>
      <w:r w:rsidR="00803575" w:rsidRPr="535E327C">
        <w:rPr>
          <w:rFonts w:cs="Times New Roman"/>
          <w:i/>
          <w:iCs/>
        </w:rPr>
        <w:t>Kadye</w:t>
      </w:r>
      <w:r w:rsidR="00803575" w:rsidRPr="535E327C">
        <w:rPr>
          <w:rFonts w:cs="Times New Roman"/>
        </w:rPr>
        <w:t xml:space="preserve"> submitted </w:t>
      </w:r>
      <w:r w:rsidRPr="535E327C">
        <w:rPr>
          <w:rFonts w:cs="Times New Roman"/>
        </w:rPr>
        <w:t>that the matter had gone through all the motions in preparation for trial but had been removed from the roll at the pre-trial conference stage</w:t>
      </w:r>
      <w:r w:rsidR="00223BF1" w:rsidRPr="535E327C">
        <w:rPr>
          <w:rFonts w:cs="Times New Roman"/>
        </w:rPr>
        <w:t xml:space="preserve"> sometime in 2025</w:t>
      </w:r>
      <w:r w:rsidRPr="535E327C">
        <w:rPr>
          <w:rFonts w:cs="Times New Roman"/>
        </w:rPr>
        <w:t xml:space="preserve"> at the instance of the appellant </w:t>
      </w:r>
      <w:r w:rsidR="00223BF1" w:rsidRPr="535E327C">
        <w:rPr>
          <w:rFonts w:cs="Times New Roman"/>
        </w:rPr>
        <w:t xml:space="preserve">purportedly </w:t>
      </w:r>
      <w:r w:rsidRPr="535E327C">
        <w:rPr>
          <w:rFonts w:cs="Times New Roman"/>
        </w:rPr>
        <w:t xml:space="preserve">because the appellant’s key witness was in the United Kingdom. </w:t>
      </w:r>
      <w:r w:rsidRPr="535E327C">
        <w:rPr>
          <w:rFonts w:cs="Times New Roman"/>
        </w:rPr>
        <w:lastRenderedPageBreak/>
        <w:t xml:space="preserve">Mr </w:t>
      </w:r>
      <w:r w:rsidRPr="535E327C">
        <w:rPr>
          <w:rFonts w:cs="Times New Roman"/>
          <w:i/>
          <w:iCs/>
        </w:rPr>
        <w:t>Mzeya</w:t>
      </w:r>
      <w:r w:rsidRPr="535E327C">
        <w:rPr>
          <w:rFonts w:cs="Times New Roman"/>
        </w:rPr>
        <w:t xml:space="preserve"> could not tell when exactly the matter was removed from the roll and when the key witness would return to Zimbabwe. He could not answer why he had sought removal of the matter from the </w:t>
      </w:r>
      <w:r w:rsidR="398CD68A" w:rsidRPr="535E327C">
        <w:rPr>
          <w:rFonts w:cs="Times New Roman"/>
        </w:rPr>
        <w:t>roll,</w:t>
      </w:r>
      <w:r w:rsidRPr="535E327C">
        <w:rPr>
          <w:rFonts w:cs="Times New Roman"/>
        </w:rPr>
        <w:t xml:space="preserve"> </w:t>
      </w:r>
      <w:r w:rsidR="00803575" w:rsidRPr="535E327C">
        <w:rPr>
          <w:rFonts w:cs="Times New Roman"/>
        </w:rPr>
        <w:t xml:space="preserve">yet the witness could testify </w:t>
      </w:r>
      <w:r w:rsidR="00223BF1" w:rsidRPr="535E327C">
        <w:rPr>
          <w:rFonts w:cs="Times New Roman"/>
        </w:rPr>
        <w:t>remotely through</w:t>
      </w:r>
      <w:r w:rsidR="00803575" w:rsidRPr="535E327C">
        <w:rPr>
          <w:rFonts w:cs="Times New Roman"/>
        </w:rPr>
        <w:t xml:space="preserve"> the virtual </w:t>
      </w:r>
      <w:r w:rsidR="00223BF1" w:rsidRPr="535E327C">
        <w:rPr>
          <w:rFonts w:cs="Times New Roman"/>
        </w:rPr>
        <w:t xml:space="preserve">court </w:t>
      </w:r>
      <w:r w:rsidR="00803575" w:rsidRPr="535E327C">
        <w:rPr>
          <w:rFonts w:cs="Times New Roman"/>
        </w:rPr>
        <w:t xml:space="preserve">feature available on the </w:t>
      </w:r>
      <w:r w:rsidRPr="535E327C">
        <w:rPr>
          <w:rFonts w:cs="Times New Roman"/>
        </w:rPr>
        <w:t>Integrated Electronic Case Management System</w:t>
      </w:r>
      <w:r w:rsidR="004F3BC9" w:rsidRPr="535E327C">
        <w:rPr>
          <w:rFonts w:cs="Times New Roman"/>
        </w:rPr>
        <w:t xml:space="preserve"> (IECMS)</w:t>
      </w:r>
      <w:r w:rsidRPr="535E327C">
        <w:rPr>
          <w:rFonts w:cs="Times New Roman"/>
        </w:rPr>
        <w:t xml:space="preserve"> </w:t>
      </w:r>
      <w:r w:rsidR="00803575" w:rsidRPr="535E327C">
        <w:rPr>
          <w:rFonts w:cs="Times New Roman"/>
        </w:rPr>
        <w:t>platform</w:t>
      </w:r>
      <w:r w:rsidRPr="535E327C">
        <w:rPr>
          <w:rFonts w:cs="Times New Roman"/>
        </w:rPr>
        <w:t xml:space="preserve">.  </w:t>
      </w:r>
      <w:r w:rsidR="00803575" w:rsidRPr="535E327C">
        <w:rPr>
          <w:rFonts w:cs="Times New Roman"/>
        </w:rPr>
        <w:t xml:space="preserve">On the proof of receipt of the US$1800, </w:t>
      </w:r>
      <w:r w:rsidR="004F3BC9" w:rsidRPr="535E327C">
        <w:rPr>
          <w:rFonts w:cs="Times New Roman"/>
        </w:rPr>
        <w:t xml:space="preserve">Mr </w:t>
      </w:r>
      <w:r w:rsidR="004F3BC9" w:rsidRPr="535E327C">
        <w:rPr>
          <w:rFonts w:cs="Times New Roman"/>
          <w:i/>
          <w:iCs/>
        </w:rPr>
        <w:t>Mzeya</w:t>
      </w:r>
      <w:r w:rsidR="004F3BC9" w:rsidRPr="535E327C">
        <w:rPr>
          <w:rFonts w:cs="Times New Roman"/>
        </w:rPr>
        <w:t xml:space="preserve"> </w:t>
      </w:r>
      <w:r w:rsidR="00803575" w:rsidRPr="535E327C">
        <w:rPr>
          <w:rFonts w:cs="Times New Roman"/>
        </w:rPr>
        <w:t xml:space="preserve">submitted that the respondent’s legal practitioners had confirmed receiving this payment in </w:t>
      </w:r>
      <w:r w:rsidR="5E366A2F" w:rsidRPr="535E327C">
        <w:rPr>
          <w:rFonts w:cs="Times New Roman"/>
        </w:rPr>
        <w:t>writing,</w:t>
      </w:r>
      <w:r w:rsidR="00803575" w:rsidRPr="535E327C">
        <w:rPr>
          <w:rFonts w:cs="Times New Roman"/>
        </w:rPr>
        <w:t xml:space="preserve"> but </w:t>
      </w:r>
      <w:r w:rsidR="004F3BC9" w:rsidRPr="535E327C">
        <w:rPr>
          <w:rFonts w:cs="Times New Roman"/>
        </w:rPr>
        <w:t xml:space="preserve">the appellant had not placed </w:t>
      </w:r>
      <w:r w:rsidR="00803575" w:rsidRPr="535E327C">
        <w:rPr>
          <w:rFonts w:cs="Times New Roman"/>
        </w:rPr>
        <w:t xml:space="preserve">this </w:t>
      </w:r>
      <w:r w:rsidR="00223BF1" w:rsidRPr="535E327C">
        <w:rPr>
          <w:rFonts w:cs="Times New Roman"/>
        </w:rPr>
        <w:t>letter in</w:t>
      </w:r>
      <w:r w:rsidR="00803575" w:rsidRPr="535E327C">
        <w:rPr>
          <w:rFonts w:cs="Times New Roman"/>
        </w:rPr>
        <w:t xml:space="preserve"> the Appeal record </w:t>
      </w:r>
      <w:r w:rsidR="004F3BC9" w:rsidRPr="535E327C">
        <w:rPr>
          <w:rFonts w:cs="Times New Roman"/>
        </w:rPr>
        <w:t xml:space="preserve">due to an oversight on his part. </w:t>
      </w:r>
      <w:r w:rsidR="00223BF1" w:rsidRPr="535E327C">
        <w:rPr>
          <w:rFonts w:cs="Times New Roman"/>
        </w:rPr>
        <w:t xml:space="preserve">He insisted that </w:t>
      </w:r>
      <w:r w:rsidR="00BB7D71" w:rsidRPr="535E327C">
        <w:rPr>
          <w:rFonts w:cs="Times New Roman"/>
        </w:rPr>
        <w:t>the letter from his law firm and the respondent’s confirmation</w:t>
      </w:r>
      <w:r w:rsidR="00E329E2">
        <w:rPr>
          <w:rFonts w:cs="Times New Roman"/>
        </w:rPr>
        <w:t xml:space="preserve"> during trial </w:t>
      </w:r>
      <w:r w:rsidR="00BB7D71" w:rsidRPr="535E327C">
        <w:rPr>
          <w:rFonts w:cs="Times New Roman"/>
        </w:rPr>
        <w:t xml:space="preserve">that a letter had been written confirming the payment were sufficient to prove that the US$1800 payment had indeed been made. </w:t>
      </w:r>
    </w:p>
    <w:p w14:paraId="344D4065" w14:textId="77777777" w:rsidR="004F3BC9" w:rsidRDefault="004F3BC9" w:rsidP="004F3BC9">
      <w:pPr>
        <w:pStyle w:val="ListParagraph"/>
        <w:ind w:left="567"/>
        <w:rPr>
          <w:rFonts w:cs="Times New Roman"/>
          <w:szCs w:val="24"/>
        </w:rPr>
      </w:pPr>
    </w:p>
    <w:p w14:paraId="628FAA7A" w14:textId="61DE9D81" w:rsidR="004F3BC9" w:rsidRPr="004F3BC9" w:rsidRDefault="004F3BC9" w:rsidP="004F3BC9">
      <w:pPr>
        <w:pStyle w:val="ListParagraph"/>
        <w:ind w:left="567"/>
        <w:rPr>
          <w:rFonts w:cs="Times New Roman"/>
          <w:b/>
          <w:bCs/>
          <w:szCs w:val="24"/>
          <w:u w:val="single"/>
        </w:rPr>
      </w:pPr>
      <w:r w:rsidRPr="004F3BC9">
        <w:rPr>
          <w:rFonts w:cs="Times New Roman"/>
          <w:b/>
          <w:bCs/>
          <w:szCs w:val="24"/>
          <w:u w:val="single"/>
        </w:rPr>
        <w:t>ISSUES FOR DETERMINATION</w:t>
      </w:r>
    </w:p>
    <w:p w14:paraId="11589FB8" w14:textId="0956F4BB" w:rsidR="00496F72" w:rsidRPr="00652BE1" w:rsidRDefault="00496F72" w:rsidP="00007D43">
      <w:pPr>
        <w:pStyle w:val="ListParagraph"/>
        <w:numPr>
          <w:ilvl w:val="0"/>
          <w:numId w:val="1"/>
        </w:numPr>
        <w:tabs>
          <w:tab w:val="left" w:pos="270"/>
        </w:tabs>
        <w:spacing w:after="200"/>
        <w:rPr>
          <w:rFonts w:cs="Times New Roman"/>
          <w:szCs w:val="24"/>
        </w:rPr>
      </w:pPr>
      <w:r w:rsidRPr="00652BE1">
        <w:rPr>
          <w:rFonts w:cs="Times New Roman"/>
          <w:szCs w:val="24"/>
        </w:rPr>
        <w:t xml:space="preserve">From </w:t>
      </w:r>
      <w:r>
        <w:rPr>
          <w:rFonts w:cs="Times New Roman"/>
          <w:szCs w:val="24"/>
        </w:rPr>
        <w:t xml:space="preserve">a </w:t>
      </w:r>
      <w:r w:rsidRPr="00652BE1">
        <w:rPr>
          <w:rFonts w:cs="Times New Roman"/>
          <w:szCs w:val="24"/>
        </w:rPr>
        <w:t xml:space="preserve">reading of the grounds of appeal, the heads of argument and the oral submissions before this court, </w:t>
      </w:r>
      <w:r>
        <w:rPr>
          <w:rFonts w:cs="Times New Roman"/>
          <w:szCs w:val="24"/>
        </w:rPr>
        <w:t>it seems to me that</w:t>
      </w:r>
      <w:r w:rsidR="00515C93">
        <w:rPr>
          <w:rFonts w:cs="Times New Roman"/>
          <w:szCs w:val="24"/>
        </w:rPr>
        <w:t xml:space="preserve"> three </w:t>
      </w:r>
      <w:r w:rsidRPr="00652BE1">
        <w:rPr>
          <w:rFonts w:cs="Times New Roman"/>
          <w:szCs w:val="24"/>
        </w:rPr>
        <w:t>issues fall for determination a</w:t>
      </w:r>
      <w:r w:rsidR="00515C93">
        <w:rPr>
          <w:rFonts w:cs="Times New Roman"/>
          <w:szCs w:val="24"/>
        </w:rPr>
        <w:t>s follows</w:t>
      </w:r>
      <w:r w:rsidRPr="00652BE1">
        <w:rPr>
          <w:rFonts w:cs="Times New Roman"/>
          <w:szCs w:val="24"/>
        </w:rPr>
        <w:t>: -</w:t>
      </w:r>
    </w:p>
    <w:p w14:paraId="73A18951" w14:textId="474E09B9" w:rsidR="00515C93" w:rsidRDefault="00496F72" w:rsidP="00515C93">
      <w:pPr>
        <w:pStyle w:val="ListParagraph"/>
        <w:numPr>
          <w:ilvl w:val="0"/>
          <w:numId w:val="8"/>
        </w:numPr>
        <w:rPr>
          <w:rFonts w:cs="Times New Roman"/>
          <w:szCs w:val="24"/>
        </w:rPr>
      </w:pPr>
      <w:r>
        <w:rPr>
          <w:rFonts w:cs="Times New Roman"/>
          <w:szCs w:val="24"/>
        </w:rPr>
        <w:t xml:space="preserve">Whether or not the court a </w:t>
      </w:r>
      <w:r w:rsidRPr="00515C93">
        <w:rPr>
          <w:rFonts w:cs="Times New Roman"/>
          <w:i/>
          <w:iCs/>
          <w:szCs w:val="24"/>
        </w:rPr>
        <w:t>quo</w:t>
      </w:r>
      <w:r>
        <w:rPr>
          <w:rFonts w:cs="Times New Roman"/>
          <w:szCs w:val="24"/>
        </w:rPr>
        <w:t xml:space="preserve"> </w:t>
      </w:r>
      <w:r w:rsidR="00515C93">
        <w:rPr>
          <w:rFonts w:cs="Times New Roman"/>
          <w:szCs w:val="24"/>
        </w:rPr>
        <w:t>erred in not considering the appellant’s defence relating to the improvement lien;</w:t>
      </w:r>
    </w:p>
    <w:p w14:paraId="31590FB1" w14:textId="5D0392DD" w:rsidR="00515C93" w:rsidRDefault="00496F72" w:rsidP="00515C93">
      <w:pPr>
        <w:pStyle w:val="ListParagraph"/>
        <w:numPr>
          <w:ilvl w:val="0"/>
          <w:numId w:val="8"/>
        </w:numPr>
        <w:rPr>
          <w:rFonts w:cs="Times New Roman"/>
          <w:szCs w:val="24"/>
        </w:rPr>
      </w:pPr>
      <w:r w:rsidRPr="00515C93">
        <w:rPr>
          <w:rFonts w:cs="Times New Roman"/>
          <w:szCs w:val="24"/>
        </w:rPr>
        <w:t xml:space="preserve">Whether or not the court a </w:t>
      </w:r>
      <w:r w:rsidRPr="00515C93">
        <w:rPr>
          <w:rFonts w:cs="Times New Roman"/>
          <w:i/>
          <w:iCs/>
          <w:szCs w:val="24"/>
        </w:rPr>
        <w:t>quo</w:t>
      </w:r>
      <w:r w:rsidRPr="00515C93">
        <w:rPr>
          <w:rFonts w:cs="Times New Roman"/>
          <w:szCs w:val="24"/>
        </w:rPr>
        <w:t xml:space="preserve"> </w:t>
      </w:r>
      <w:r w:rsidR="00515C93" w:rsidRPr="00515C93">
        <w:rPr>
          <w:rFonts w:cs="Times New Roman"/>
          <w:szCs w:val="24"/>
        </w:rPr>
        <w:t xml:space="preserve">erred in holding that the lease had </w:t>
      </w:r>
      <w:r w:rsidR="00B36ACA" w:rsidRPr="00515C93">
        <w:rPr>
          <w:rFonts w:cs="Times New Roman"/>
          <w:szCs w:val="24"/>
        </w:rPr>
        <w:t>terminated</w:t>
      </w:r>
      <w:r w:rsidR="00B36ACA">
        <w:rPr>
          <w:rFonts w:cs="Times New Roman"/>
          <w:szCs w:val="24"/>
          <w:lang w:val="en-ZW"/>
        </w:rPr>
        <w:t>;</w:t>
      </w:r>
      <w:r w:rsidR="00515C93" w:rsidRPr="00515C93">
        <w:rPr>
          <w:rFonts w:cs="Times New Roman"/>
          <w:szCs w:val="24"/>
        </w:rPr>
        <w:t xml:space="preserve"> and </w:t>
      </w:r>
    </w:p>
    <w:p w14:paraId="44E996D8" w14:textId="77777777" w:rsidR="00515C93" w:rsidRDefault="00515C93" w:rsidP="00515C93">
      <w:pPr>
        <w:pStyle w:val="ListParagraph"/>
        <w:numPr>
          <w:ilvl w:val="0"/>
          <w:numId w:val="8"/>
        </w:numPr>
        <w:rPr>
          <w:rFonts w:cs="Times New Roman"/>
          <w:szCs w:val="24"/>
        </w:rPr>
      </w:pPr>
      <w:r w:rsidRPr="00515C93">
        <w:rPr>
          <w:rFonts w:cs="Times New Roman"/>
          <w:szCs w:val="24"/>
        </w:rPr>
        <w:t xml:space="preserve">Whether or not the court a </w:t>
      </w:r>
      <w:r w:rsidRPr="00515C93">
        <w:rPr>
          <w:rFonts w:cs="Times New Roman"/>
          <w:i/>
          <w:iCs/>
          <w:szCs w:val="24"/>
        </w:rPr>
        <w:t>quo</w:t>
      </w:r>
      <w:r w:rsidRPr="00515C93">
        <w:rPr>
          <w:rFonts w:cs="Times New Roman"/>
          <w:szCs w:val="24"/>
        </w:rPr>
        <w:t xml:space="preserve"> erred in not deducting US$1800 from the holding over damages</w:t>
      </w:r>
      <w:r>
        <w:rPr>
          <w:rFonts w:cs="Times New Roman"/>
          <w:szCs w:val="24"/>
        </w:rPr>
        <w:t xml:space="preserve">. </w:t>
      </w:r>
    </w:p>
    <w:p w14:paraId="580EB1F4" w14:textId="77777777" w:rsidR="00515C93" w:rsidRDefault="00515C93" w:rsidP="00007D43">
      <w:pPr>
        <w:pStyle w:val="ListParagraph"/>
        <w:numPr>
          <w:ilvl w:val="0"/>
          <w:numId w:val="1"/>
        </w:numPr>
        <w:rPr>
          <w:rFonts w:cs="Times New Roman"/>
          <w:szCs w:val="24"/>
        </w:rPr>
      </w:pPr>
      <w:r>
        <w:rPr>
          <w:rFonts w:cs="Times New Roman"/>
          <w:szCs w:val="24"/>
        </w:rPr>
        <w:t xml:space="preserve">I turn now to look at these in turn. </w:t>
      </w:r>
    </w:p>
    <w:p w14:paraId="5EF8E4DA" w14:textId="77777777" w:rsidR="00515C93" w:rsidRDefault="00515C93" w:rsidP="00515C93">
      <w:pPr>
        <w:pStyle w:val="ListParagraph"/>
        <w:ind w:left="567"/>
        <w:rPr>
          <w:rFonts w:cs="Times New Roman"/>
          <w:szCs w:val="24"/>
        </w:rPr>
      </w:pPr>
    </w:p>
    <w:p w14:paraId="24661FBE" w14:textId="394D2667" w:rsidR="00515C93" w:rsidRPr="00515C93" w:rsidRDefault="00515C93" w:rsidP="00515C93">
      <w:pPr>
        <w:rPr>
          <w:rFonts w:cs="Times New Roman"/>
          <w:b/>
          <w:bCs/>
          <w:szCs w:val="24"/>
          <w:u w:val="single"/>
        </w:rPr>
      </w:pPr>
      <w:r w:rsidRPr="00515C93">
        <w:rPr>
          <w:rFonts w:cs="Times New Roman"/>
          <w:b/>
          <w:bCs/>
          <w:szCs w:val="24"/>
          <w:u w:val="single"/>
        </w:rPr>
        <w:t xml:space="preserve">WHETHER OR NOT THE COURT A </w:t>
      </w:r>
      <w:r w:rsidRPr="00515C93">
        <w:rPr>
          <w:rFonts w:cs="Times New Roman"/>
          <w:b/>
          <w:bCs/>
          <w:i/>
          <w:iCs/>
          <w:szCs w:val="24"/>
          <w:u w:val="single"/>
        </w:rPr>
        <w:t>QUO</w:t>
      </w:r>
      <w:r w:rsidRPr="00515C93">
        <w:rPr>
          <w:rFonts w:cs="Times New Roman"/>
          <w:b/>
          <w:bCs/>
          <w:szCs w:val="24"/>
          <w:u w:val="single"/>
        </w:rPr>
        <w:t xml:space="preserve"> ERRED IN NOT CONSIDERING THE APPELLANT’S DEFENCE RELATING TO THE IMPROVEMENT LIEN</w:t>
      </w:r>
    </w:p>
    <w:p w14:paraId="43B0FFD4" w14:textId="5634CDEB" w:rsidR="008D09E2" w:rsidRDefault="008D09E2" w:rsidP="00007D43">
      <w:pPr>
        <w:pStyle w:val="ListParagraph"/>
        <w:numPr>
          <w:ilvl w:val="0"/>
          <w:numId w:val="1"/>
        </w:numPr>
        <w:rPr>
          <w:rFonts w:cs="Times New Roman"/>
          <w:szCs w:val="24"/>
        </w:rPr>
      </w:pPr>
      <w:r>
        <w:rPr>
          <w:rFonts w:cs="Times New Roman"/>
          <w:szCs w:val="24"/>
        </w:rPr>
        <w:t xml:space="preserve">In the celebrated case of </w:t>
      </w:r>
      <w:r w:rsidRPr="0080454C">
        <w:rPr>
          <w:rFonts w:cs="Times New Roman"/>
          <w:i/>
          <w:iCs/>
          <w:szCs w:val="24"/>
        </w:rPr>
        <w:t xml:space="preserve">Gwaradzimba N.O </w:t>
      </w:r>
      <w:r w:rsidRPr="0080454C">
        <w:rPr>
          <w:rFonts w:cs="Times New Roman"/>
          <w:szCs w:val="24"/>
        </w:rPr>
        <w:t xml:space="preserve">v </w:t>
      </w:r>
      <w:r w:rsidRPr="0080454C">
        <w:rPr>
          <w:rFonts w:cs="Times New Roman"/>
          <w:i/>
          <w:iCs/>
          <w:szCs w:val="24"/>
        </w:rPr>
        <w:t xml:space="preserve">C J Petron and Co (Pty) Ltd </w:t>
      </w:r>
      <w:r w:rsidRPr="0080454C">
        <w:rPr>
          <w:rFonts w:cs="Times New Roman"/>
          <w:szCs w:val="24"/>
        </w:rPr>
        <w:t xml:space="preserve">2016 (1) ZLR 28 (S), at p 32 B, </w:t>
      </w:r>
      <w:r>
        <w:rPr>
          <w:rFonts w:cs="Times New Roman"/>
          <w:szCs w:val="24"/>
        </w:rPr>
        <w:t xml:space="preserve">the Supreme Court restated the position of the law that </w:t>
      </w:r>
      <w:r w:rsidRPr="0080454C">
        <w:rPr>
          <w:rFonts w:cs="Times New Roman"/>
          <w:szCs w:val="24"/>
        </w:rPr>
        <w:t>a court must generally determine all the issues raised by the parties “unless the issue so determined can put the whole matter to rest”</w:t>
      </w:r>
      <w:r w:rsidR="00D6015E">
        <w:rPr>
          <w:rFonts w:cs="Times New Roman"/>
          <w:szCs w:val="24"/>
        </w:rPr>
        <w:t>. It is trite that a failure to do is a misdirection vitiating the proceedings</w:t>
      </w:r>
      <w:r w:rsidR="00803575">
        <w:rPr>
          <w:rFonts w:cs="Times New Roman"/>
          <w:szCs w:val="24"/>
        </w:rPr>
        <w:t>.</w:t>
      </w:r>
      <w:r w:rsidR="00D6015E">
        <w:rPr>
          <w:rFonts w:cs="Times New Roman"/>
          <w:szCs w:val="24"/>
        </w:rPr>
        <w:t xml:space="preserve"> </w:t>
      </w:r>
    </w:p>
    <w:p w14:paraId="7087D971" w14:textId="5FE83765" w:rsidR="00D6015E" w:rsidRPr="00DC3D60" w:rsidRDefault="008D09E2" w:rsidP="00007D43">
      <w:pPr>
        <w:pStyle w:val="ListParagraph"/>
        <w:numPr>
          <w:ilvl w:val="0"/>
          <w:numId w:val="1"/>
        </w:numPr>
        <w:rPr>
          <w:rFonts w:cs="Times New Roman"/>
          <w:szCs w:val="24"/>
        </w:rPr>
      </w:pPr>
      <w:r>
        <w:rPr>
          <w:rFonts w:cs="Times New Roman"/>
          <w:szCs w:val="24"/>
        </w:rPr>
        <w:lastRenderedPageBreak/>
        <w:t xml:space="preserve">From a reading of the appellant’s </w:t>
      </w:r>
      <w:r w:rsidR="00D6015E">
        <w:rPr>
          <w:rFonts w:cs="Times New Roman"/>
          <w:szCs w:val="24"/>
        </w:rPr>
        <w:t xml:space="preserve">first </w:t>
      </w:r>
      <w:r>
        <w:rPr>
          <w:rFonts w:cs="Times New Roman"/>
          <w:szCs w:val="24"/>
        </w:rPr>
        <w:t xml:space="preserve">ground of appeal, its grief </w:t>
      </w:r>
      <w:r w:rsidR="00D6015E">
        <w:rPr>
          <w:rFonts w:cs="Times New Roman"/>
          <w:szCs w:val="24"/>
        </w:rPr>
        <w:t xml:space="preserve">is </w:t>
      </w:r>
      <w:r>
        <w:rPr>
          <w:rFonts w:cs="Times New Roman"/>
          <w:szCs w:val="24"/>
        </w:rPr>
        <w:t xml:space="preserve">two pronged. Firstly, it is that the court a </w:t>
      </w:r>
      <w:r w:rsidRPr="008D09E2">
        <w:rPr>
          <w:rFonts w:cs="Times New Roman"/>
          <w:i/>
          <w:iCs/>
          <w:szCs w:val="24"/>
        </w:rPr>
        <w:t>quo</w:t>
      </w:r>
      <w:r>
        <w:rPr>
          <w:rFonts w:cs="Times New Roman"/>
          <w:szCs w:val="24"/>
        </w:rPr>
        <w:t xml:space="preserve"> dismissed its defence without considering it substantively and secondly, that it dismissed it on the basis that the dispute was not before it yet the same issue was before the High Court. </w:t>
      </w:r>
      <w:r w:rsidR="00DC3D60">
        <w:rPr>
          <w:rFonts w:cs="Times New Roman"/>
          <w:szCs w:val="24"/>
        </w:rPr>
        <w:t xml:space="preserve">Certainly, this ground of appeal is neither clear nor specific. It is not properly articulated. </w:t>
      </w:r>
      <w:r w:rsidRPr="00DC3D60">
        <w:rPr>
          <w:rFonts w:cs="Times New Roman"/>
          <w:szCs w:val="24"/>
        </w:rPr>
        <w:t>In my view, the</w:t>
      </w:r>
      <w:r w:rsidR="00DC3D60">
        <w:rPr>
          <w:rFonts w:cs="Times New Roman"/>
          <w:szCs w:val="24"/>
        </w:rPr>
        <w:t xml:space="preserve"> </w:t>
      </w:r>
      <w:r w:rsidR="007230D4">
        <w:rPr>
          <w:rFonts w:cs="Times New Roman"/>
          <w:szCs w:val="24"/>
        </w:rPr>
        <w:t xml:space="preserve">two </w:t>
      </w:r>
      <w:r w:rsidR="00DC3D60">
        <w:rPr>
          <w:rFonts w:cs="Times New Roman"/>
          <w:szCs w:val="24"/>
        </w:rPr>
        <w:t>bas</w:t>
      </w:r>
      <w:r w:rsidR="007230D4">
        <w:rPr>
          <w:rFonts w:cs="Times New Roman"/>
          <w:szCs w:val="24"/>
        </w:rPr>
        <w:t>e</w:t>
      </w:r>
      <w:r w:rsidR="00DC3D60">
        <w:rPr>
          <w:rFonts w:cs="Times New Roman"/>
          <w:szCs w:val="24"/>
        </w:rPr>
        <w:t xml:space="preserve">s upon which the appellant seeks to impugn the decision of the court a </w:t>
      </w:r>
      <w:r w:rsidR="00DC3D60" w:rsidRPr="007230D4">
        <w:rPr>
          <w:rFonts w:cs="Times New Roman"/>
          <w:i/>
          <w:iCs/>
          <w:szCs w:val="24"/>
        </w:rPr>
        <w:t>quo</w:t>
      </w:r>
      <w:r w:rsidR="00DC3D60">
        <w:rPr>
          <w:rFonts w:cs="Times New Roman"/>
          <w:szCs w:val="24"/>
        </w:rPr>
        <w:t xml:space="preserve"> on this ground </w:t>
      </w:r>
      <w:r w:rsidRPr="00DC3D60">
        <w:rPr>
          <w:rFonts w:cs="Times New Roman"/>
          <w:szCs w:val="24"/>
        </w:rPr>
        <w:t xml:space="preserve">are contradictory. In one breath, the appellant argues that the court a </w:t>
      </w:r>
      <w:r w:rsidRPr="00DC3D60">
        <w:rPr>
          <w:rFonts w:cs="Times New Roman"/>
          <w:i/>
          <w:iCs/>
          <w:szCs w:val="24"/>
        </w:rPr>
        <w:t>quo</w:t>
      </w:r>
      <w:r w:rsidRPr="00DC3D60">
        <w:rPr>
          <w:rFonts w:cs="Times New Roman"/>
          <w:szCs w:val="24"/>
        </w:rPr>
        <w:t xml:space="preserve"> did not consider its defence and in another, it </w:t>
      </w:r>
      <w:r w:rsidR="00803575">
        <w:rPr>
          <w:rFonts w:cs="Times New Roman"/>
          <w:szCs w:val="24"/>
        </w:rPr>
        <w:t xml:space="preserve">seems to </w:t>
      </w:r>
      <w:r w:rsidRPr="00DC3D60">
        <w:rPr>
          <w:rFonts w:cs="Times New Roman"/>
          <w:szCs w:val="24"/>
        </w:rPr>
        <w:t xml:space="preserve">argue that it did, but it erroneously concluded that the dispute was not before it. </w:t>
      </w:r>
    </w:p>
    <w:p w14:paraId="0F0081BC" w14:textId="77777777" w:rsidR="00ED514C" w:rsidRDefault="00D6015E" w:rsidP="00007D43">
      <w:pPr>
        <w:pStyle w:val="ListParagraph"/>
        <w:numPr>
          <w:ilvl w:val="0"/>
          <w:numId w:val="1"/>
        </w:numPr>
        <w:rPr>
          <w:rFonts w:cs="Times New Roman"/>
          <w:szCs w:val="24"/>
        </w:rPr>
      </w:pPr>
      <w:r>
        <w:rPr>
          <w:rFonts w:cs="Times New Roman"/>
          <w:szCs w:val="24"/>
        </w:rPr>
        <w:t xml:space="preserve">At the hearing of the matter, Mr </w:t>
      </w:r>
      <w:r w:rsidRPr="00D6015E">
        <w:rPr>
          <w:rFonts w:cs="Times New Roman"/>
          <w:i/>
          <w:iCs/>
          <w:szCs w:val="24"/>
        </w:rPr>
        <w:t>Mzeya</w:t>
      </w:r>
      <w:r>
        <w:rPr>
          <w:rFonts w:cs="Times New Roman"/>
          <w:szCs w:val="24"/>
        </w:rPr>
        <w:t xml:space="preserve"> was at pains to justify</w:t>
      </w:r>
      <w:r w:rsidR="007230D4">
        <w:rPr>
          <w:rFonts w:cs="Times New Roman"/>
          <w:szCs w:val="24"/>
        </w:rPr>
        <w:t xml:space="preserve"> the</w:t>
      </w:r>
      <w:r>
        <w:rPr>
          <w:rFonts w:cs="Times New Roman"/>
          <w:szCs w:val="24"/>
        </w:rPr>
        <w:t xml:space="preserve"> argument that the trial court did not consider this issue ‘substantively’</w:t>
      </w:r>
      <w:r w:rsidR="007230D4">
        <w:rPr>
          <w:rFonts w:cs="Times New Roman"/>
          <w:szCs w:val="24"/>
        </w:rPr>
        <w:t xml:space="preserve">, because the record will show that the trial court considered this issue. I will demonstrate this. </w:t>
      </w:r>
    </w:p>
    <w:p w14:paraId="0343E7A4" w14:textId="0DAF0932" w:rsidR="00D6015E" w:rsidRDefault="00D6015E" w:rsidP="00007D43">
      <w:pPr>
        <w:pStyle w:val="ListParagraph"/>
        <w:numPr>
          <w:ilvl w:val="0"/>
          <w:numId w:val="1"/>
        </w:numPr>
        <w:rPr>
          <w:rFonts w:cs="Times New Roman"/>
          <w:szCs w:val="24"/>
        </w:rPr>
      </w:pPr>
      <w:r>
        <w:rPr>
          <w:rFonts w:cs="Times New Roman"/>
          <w:szCs w:val="24"/>
        </w:rPr>
        <w:t>In concluding that the defence did not avail to the appellant, the trial court reasoned as follows:</w:t>
      </w:r>
    </w:p>
    <w:p w14:paraId="2B726AB1" w14:textId="076797E9" w:rsidR="00FE4FA6" w:rsidRPr="00DC3D60" w:rsidRDefault="00DC3D60" w:rsidP="00DC3D60">
      <w:pPr>
        <w:pStyle w:val="ListParagraph"/>
        <w:spacing w:line="240" w:lineRule="auto"/>
        <w:ind w:left="1440"/>
        <w:rPr>
          <w:rFonts w:cs="Times New Roman"/>
          <w:sz w:val="22"/>
        </w:rPr>
      </w:pPr>
      <w:r>
        <w:rPr>
          <w:rFonts w:cs="Times New Roman"/>
          <w:sz w:val="22"/>
        </w:rPr>
        <w:t>“</w:t>
      </w:r>
      <w:r w:rsidR="00D6015E" w:rsidRPr="00DC3D60">
        <w:rPr>
          <w:rFonts w:cs="Times New Roman"/>
          <w:sz w:val="22"/>
        </w:rPr>
        <w:t xml:space="preserve">On the face of it, it is manifestly evident from the evidence led that the plaintiff has managed to prove on a balance of probabilities that it is entitled to the eviction of the defendant on account of the lease agreement having expired and unpaid rentals. The question that the court now needs to answer is whether or not the defendant as a lessee has a right to resist the plaintiff’s claim for ejectment. According to the defendant’s witness the defendant is holding out for compensation for developments made to the property. The legal position on compensation for developments was eloquently expressed by </w:t>
      </w:r>
      <w:r w:rsidR="00D6015E" w:rsidRPr="00DC3D60">
        <w:rPr>
          <w:rFonts w:cs="Times New Roman"/>
          <w:smallCaps/>
          <w:sz w:val="22"/>
        </w:rPr>
        <w:t xml:space="preserve">Gillespie </w:t>
      </w:r>
      <w:r w:rsidR="00B36ACA" w:rsidRPr="00DC3D60">
        <w:rPr>
          <w:rFonts w:cs="Times New Roman"/>
          <w:smallCaps/>
          <w:sz w:val="22"/>
        </w:rPr>
        <w:t xml:space="preserve">J </w:t>
      </w:r>
      <w:r w:rsidR="00B36ACA" w:rsidRPr="00DC3D60">
        <w:rPr>
          <w:rFonts w:cs="Times New Roman"/>
          <w:sz w:val="22"/>
        </w:rPr>
        <w:t>in</w:t>
      </w:r>
      <w:r w:rsidR="00FE1F44" w:rsidRPr="00DC3D60">
        <w:rPr>
          <w:rFonts w:cs="Times New Roman"/>
          <w:sz w:val="22"/>
        </w:rPr>
        <w:t xml:space="preserve"> the case of </w:t>
      </w:r>
      <w:r w:rsidR="00FE1F44" w:rsidRPr="00DC3D60">
        <w:rPr>
          <w:rFonts w:cs="Times New Roman"/>
          <w:i/>
          <w:iCs/>
          <w:sz w:val="22"/>
        </w:rPr>
        <w:t xml:space="preserve">Ormashah </w:t>
      </w:r>
      <w:r w:rsidR="00FE1F44" w:rsidRPr="00DC3D60">
        <w:rPr>
          <w:rFonts w:cs="Times New Roman"/>
          <w:sz w:val="22"/>
        </w:rPr>
        <w:t>v</w:t>
      </w:r>
      <w:r w:rsidR="00FE1F44" w:rsidRPr="00DC3D60">
        <w:rPr>
          <w:rFonts w:cs="Times New Roman"/>
          <w:i/>
          <w:iCs/>
          <w:sz w:val="22"/>
        </w:rPr>
        <w:t xml:space="preserve"> Karasa</w:t>
      </w:r>
      <w:r w:rsidR="00FE1F44" w:rsidRPr="00DC3D60">
        <w:rPr>
          <w:rFonts w:cs="Times New Roman"/>
          <w:sz w:val="22"/>
        </w:rPr>
        <w:t xml:space="preserve"> (1996 (1) ZLR 584 (H) at p. 589F)</w:t>
      </w:r>
      <w:r w:rsidR="00FE4FA6" w:rsidRPr="00DC3D60">
        <w:rPr>
          <w:rFonts w:cs="Times New Roman"/>
          <w:sz w:val="22"/>
        </w:rPr>
        <w:t xml:space="preserve"> in the </w:t>
      </w:r>
      <w:r w:rsidR="00B73CBE" w:rsidRPr="00DC3D60">
        <w:rPr>
          <w:rFonts w:cs="Times New Roman"/>
          <w:sz w:val="22"/>
        </w:rPr>
        <w:t>following: -</w:t>
      </w:r>
    </w:p>
    <w:p w14:paraId="3EF14874" w14:textId="4C8C4A40" w:rsidR="00FE4FA6" w:rsidRPr="00DC3D60" w:rsidRDefault="00FE4FA6" w:rsidP="00DC3D60">
      <w:pPr>
        <w:pStyle w:val="ListParagraph"/>
        <w:spacing w:line="240" w:lineRule="auto"/>
        <w:ind w:left="2160"/>
        <w:rPr>
          <w:rFonts w:cs="Times New Roman"/>
          <w:sz w:val="20"/>
          <w:szCs w:val="20"/>
        </w:rPr>
      </w:pPr>
      <w:r w:rsidRPr="00DC3D60">
        <w:rPr>
          <w:rFonts w:cs="Times New Roman"/>
          <w:sz w:val="20"/>
          <w:szCs w:val="20"/>
        </w:rPr>
        <w:t>“The effect of this law is unequivocally that a lessee, and consequently the defendant, has no right of retention of occupation of leased property after the termination of the lease as a lien against compensation for improvements”</w:t>
      </w:r>
    </w:p>
    <w:p w14:paraId="2C2F6F39" w14:textId="664471E8" w:rsidR="00FE4FA6" w:rsidRPr="00DC3D60" w:rsidRDefault="00FE4FA6" w:rsidP="00DC3D60">
      <w:pPr>
        <w:pStyle w:val="ListParagraph"/>
        <w:spacing w:line="240" w:lineRule="auto"/>
        <w:ind w:left="1440"/>
        <w:rPr>
          <w:rFonts w:cs="Times New Roman"/>
          <w:sz w:val="22"/>
        </w:rPr>
      </w:pPr>
      <w:r w:rsidRPr="00DC3D60">
        <w:rPr>
          <w:rFonts w:cs="Times New Roman"/>
          <w:sz w:val="22"/>
        </w:rPr>
        <w:t>The issue of compensation for developments is being dealt with in another forum at the High Court. For purposes of the present matter in the Magistrates Court it is not in question. Therefore, the defendant cannot proffer that issue as a defence to the present claim.</w:t>
      </w:r>
      <w:r w:rsidR="00DC3D60">
        <w:rPr>
          <w:rFonts w:cs="Times New Roman"/>
          <w:sz w:val="22"/>
        </w:rPr>
        <w:t>”</w:t>
      </w:r>
    </w:p>
    <w:p w14:paraId="01F05F03" w14:textId="32B02061" w:rsidR="007230D4" w:rsidRPr="007230D4" w:rsidRDefault="00DC3D60" w:rsidP="535E327C">
      <w:pPr>
        <w:pStyle w:val="ListParagraph"/>
        <w:numPr>
          <w:ilvl w:val="0"/>
          <w:numId w:val="1"/>
        </w:numPr>
        <w:rPr>
          <w:rFonts w:cs="Times New Roman"/>
          <w:b/>
          <w:bCs/>
          <w:u w:val="single"/>
        </w:rPr>
      </w:pPr>
      <w:r w:rsidRPr="535E327C">
        <w:rPr>
          <w:rFonts w:cs="Times New Roman"/>
        </w:rPr>
        <w:t xml:space="preserve">These were the reasons given by the court a </w:t>
      </w:r>
      <w:r w:rsidRPr="535E327C">
        <w:rPr>
          <w:rFonts w:cs="Times New Roman"/>
          <w:i/>
          <w:iCs/>
        </w:rPr>
        <w:t>quo</w:t>
      </w:r>
      <w:r w:rsidRPr="535E327C">
        <w:rPr>
          <w:rFonts w:cs="Times New Roman"/>
        </w:rPr>
        <w:t xml:space="preserve"> in reaching the decision it did. There is therefore no basis for the appellant to argue that the trial court did not consider this issue substantively</w:t>
      </w:r>
      <w:r w:rsidR="007230D4" w:rsidRPr="535E327C">
        <w:rPr>
          <w:rFonts w:cs="Times New Roman"/>
        </w:rPr>
        <w:t>, because it did consider the issue as evidenced by the reasons outlined above</w:t>
      </w:r>
      <w:r w:rsidRPr="535E327C">
        <w:rPr>
          <w:rFonts w:cs="Times New Roman"/>
        </w:rPr>
        <w:t xml:space="preserve">. </w:t>
      </w:r>
      <w:r w:rsidR="00ED514C" w:rsidRPr="535E327C">
        <w:rPr>
          <w:rFonts w:cs="Times New Roman"/>
        </w:rPr>
        <w:t xml:space="preserve">The appellant’s contention was never that the court a </w:t>
      </w:r>
      <w:r w:rsidR="00ED514C" w:rsidRPr="535E327C">
        <w:rPr>
          <w:rFonts w:cs="Times New Roman"/>
          <w:i/>
          <w:iCs/>
        </w:rPr>
        <w:t>quo</w:t>
      </w:r>
      <w:r w:rsidR="00ED514C" w:rsidRPr="535E327C">
        <w:rPr>
          <w:rFonts w:cs="Times New Roman"/>
        </w:rPr>
        <w:t xml:space="preserve">’s reasoning was flawed in terms of the law. Instead, its argument </w:t>
      </w:r>
      <w:r w:rsidR="4CDD14AC" w:rsidRPr="535E327C">
        <w:rPr>
          <w:rFonts w:cs="Times New Roman"/>
        </w:rPr>
        <w:t>was that</w:t>
      </w:r>
      <w:r w:rsidR="00ED514C" w:rsidRPr="535E327C">
        <w:rPr>
          <w:rFonts w:cs="Times New Roman"/>
        </w:rPr>
        <w:t xml:space="preserve"> the court a </w:t>
      </w:r>
      <w:r w:rsidR="00ED514C" w:rsidRPr="535E327C">
        <w:rPr>
          <w:rFonts w:cs="Times New Roman"/>
          <w:i/>
          <w:iCs/>
        </w:rPr>
        <w:t>quo</w:t>
      </w:r>
      <w:r w:rsidR="00ED514C" w:rsidRPr="535E327C">
        <w:rPr>
          <w:rFonts w:cs="Times New Roman"/>
        </w:rPr>
        <w:t xml:space="preserve"> did not consider the issue substantively, yet the record of proceedings shows that the trial court did consider the issue and came to the conclusions it did. </w:t>
      </w:r>
    </w:p>
    <w:p w14:paraId="6D6F9703" w14:textId="2986A21C" w:rsidR="00C5270F" w:rsidRPr="00C5270F" w:rsidRDefault="007230D4" w:rsidP="535E327C">
      <w:pPr>
        <w:pStyle w:val="ListParagraph"/>
        <w:numPr>
          <w:ilvl w:val="0"/>
          <w:numId w:val="1"/>
        </w:numPr>
        <w:rPr>
          <w:rFonts w:cs="Times New Roman"/>
          <w:b/>
          <w:bCs/>
          <w:u w:val="single"/>
        </w:rPr>
      </w:pPr>
      <w:r w:rsidRPr="535E327C">
        <w:rPr>
          <w:rFonts w:cs="Times New Roman"/>
        </w:rPr>
        <w:lastRenderedPageBreak/>
        <w:t xml:space="preserve">With regards the second basis, it is common cause that the appellant initially filed a counterclaim claiming compensation for improvement. It then removed that matter before the </w:t>
      </w:r>
      <w:bookmarkStart w:id="2" w:name="_Int_TldEv1M1"/>
      <w:r w:rsidRPr="535E327C">
        <w:rPr>
          <w:rFonts w:cs="Times New Roman"/>
        </w:rPr>
        <w:t>magistrates</w:t>
      </w:r>
      <w:bookmarkEnd w:id="2"/>
      <w:r w:rsidR="00E329E2">
        <w:rPr>
          <w:rFonts w:cs="Times New Roman"/>
        </w:rPr>
        <w:t>’</w:t>
      </w:r>
      <w:r w:rsidR="00A67D09" w:rsidRPr="535E327C">
        <w:rPr>
          <w:rFonts w:cs="Times New Roman"/>
        </w:rPr>
        <w:t xml:space="preserve"> court through</w:t>
      </w:r>
      <w:r w:rsidRPr="535E327C">
        <w:rPr>
          <w:rFonts w:cs="Times New Roman"/>
        </w:rPr>
        <w:t xml:space="preserve"> a withdrawal and placed it before the High Court. In exchanges with the court, Mr </w:t>
      </w:r>
      <w:r w:rsidRPr="535E327C">
        <w:rPr>
          <w:rFonts w:cs="Times New Roman"/>
          <w:i/>
          <w:iCs/>
        </w:rPr>
        <w:t>Mzeya</w:t>
      </w:r>
      <w:r w:rsidRPr="535E327C">
        <w:rPr>
          <w:rFonts w:cs="Times New Roman"/>
        </w:rPr>
        <w:t xml:space="preserve"> could not properly explain what exactly </w:t>
      </w:r>
      <w:r w:rsidR="00ED514C" w:rsidRPr="535E327C">
        <w:rPr>
          <w:rFonts w:cs="Times New Roman"/>
        </w:rPr>
        <w:t xml:space="preserve">the appellant </w:t>
      </w:r>
      <w:r w:rsidRPr="535E327C">
        <w:rPr>
          <w:rFonts w:cs="Times New Roman"/>
        </w:rPr>
        <w:t xml:space="preserve">wanted the court a </w:t>
      </w:r>
      <w:r w:rsidRPr="535E327C">
        <w:rPr>
          <w:rFonts w:cs="Times New Roman"/>
          <w:i/>
          <w:iCs/>
        </w:rPr>
        <w:t>quo</w:t>
      </w:r>
      <w:r w:rsidRPr="535E327C">
        <w:rPr>
          <w:rFonts w:cs="Times New Roman"/>
        </w:rPr>
        <w:t xml:space="preserve"> to do, when the appellant had </w:t>
      </w:r>
      <w:r w:rsidR="4455BD7E" w:rsidRPr="535E327C">
        <w:rPr>
          <w:rFonts w:cs="Times New Roman"/>
        </w:rPr>
        <w:t>decided</w:t>
      </w:r>
      <w:r w:rsidRPr="535E327C">
        <w:rPr>
          <w:rFonts w:cs="Times New Roman"/>
        </w:rPr>
        <w:t xml:space="preserve"> to withdraw the counterclaim and file it in the High Court. </w:t>
      </w:r>
    </w:p>
    <w:p w14:paraId="32D2C5E7" w14:textId="03989DFA" w:rsidR="00C5270F" w:rsidRPr="00C5270F" w:rsidRDefault="00A67D09" w:rsidP="00007D43">
      <w:pPr>
        <w:pStyle w:val="ListParagraph"/>
        <w:numPr>
          <w:ilvl w:val="0"/>
          <w:numId w:val="1"/>
        </w:numPr>
        <w:rPr>
          <w:rFonts w:cs="Times New Roman"/>
          <w:b/>
          <w:bCs/>
          <w:szCs w:val="24"/>
          <w:u w:val="single"/>
        </w:rPr>
      </w:pPr>
      <w:r>
        <w:rPr>
          <w:rFonts w:cs="Times New Roman"/>
          <w:szCs w:val="24"/>
        </w:rPr>
        <w:t xml:space="preserve">From a reading of the record, the appellant’s own witness in the court a </w:t>
      </w:r>
      <w:r w:rsidRPr="00A67D09">
        <w:rPr>
          <w:rFonts w:cs="Times New Roman"/>
          <w:i/>
          <w:iCs/>
          <w:szCs w:val="24"/>
        </w:rPr>
        <w:t>quo</w:t>
      </w:r>
      <w:r w:rsidR="00C5270F">
        <w:rPr>
          <w:rFonts w:cs="Times New Roman"/>
          <w:i/>
          <w:iCs/>
          <w:szCs w:val="24"/>
        </w:rPr>
        <w:t>,</w:t>
      </w:r>
      <w:r w:rsidR="00C5270F" w:rsidRPr="00C5270F">
        <w:rPr>
          <w:rFonts w:cs="Times New Roman"/>
          <w:szCs w:val="24"/>
        </w:rPr>
        <w:t xml:space="preserve"> </w:t>
      </w:r>
      <w:r w:rsidR="00C5270F">
        <w:rPr>
          <w:rFonts w:cs="Times New Roman"/>
          <w:szCs w:val="24"/>
        </w:rPr>
        <w:t>Thembalethu Ndlov</w:t>
      </w:r>
      <w:r w:rsidR="00803575">
        <w:rPr>
          <w:rFonts w:cs="Times New Roman"/>
          <w:szCs w:val="24"/>
        </w:rPr>
        <w:t>h</w:t>
      </w:r>
      <w:r w:rsidR="00C5270F">
        <w:rPr>
          <w:rFonts w:cs="Times New Roman"/>
          <w:szCs w:val="24"/>
        </w:rPr>
        <w:t>u,</w:t>
      </w:r>
      <w:r>
        <w:rPr>
          <w:rFonts w:cs="Times New Roman"/>
          <w:szCs w:val="24"/>
        </w:rPr>
        <w:t xml:space="preserve"> testified that the appellant had no problem leaving</w:t>
      </w:r>
      <w:r w:rsidR="00C5270F">
        <w:rPr>
          <w:rFonts w:cs="Times New Roman"/>
          <w:szCs w:val="24"/>
        </w:rPr>
        <w:t xml:space="preserve"> the premises</w:t>
      </w:r>
      <w:r>
        <w:rPr>
          <w:rFonts w:cs="Times New Roman"/>
          <w:szCs w:val="24"/>
        </w:rPr>
        <w:t xml:space="preserve">, all it wanted was to be compensated accordingly. When asked what the appellant </w:t>
      </w:r>
      <w:r w:rsidR="00803575">
        <w:rPr>
          <w:rFonts w:cs="Times New Roman"/>
          <w:szCs w:val="24"/>
        </w:rPr>
        <w:t xml:space="preserve">was </w:t>
      </w:r>
      <w:r>
        <w:rPr>
          <w:rFonts w:cs="Times New Roman"/>
          <w:szCs w:val="24"/>
        </w:rPr>
        <w:t>request</w:t>
      </w:r>
      <w:r w:rsidR="00803575">
        <w:rPr>
          <w:rFonts w:cs="Times New Roman"/>
          <w:szCs w:val="24"/>
        </w:rPr>
        <w:t>ing</w:t>
      </w:r>
      <w:r>
        <w:rPr>
          <w:rFonts w:cs="Times New Roman"/>
          <w:szCs w:val="24"/>
        </w:rPr>
        <w:t xml:space="preserve"> from the court </w:t>
      </w:r>
      <w:r w:rsidR="00C5270F">
        <w:rPr>
          <w:rFonts w:cs="Times New Roman"/>
          <w:szCs w:val="24"/>
        </w:rPr>
        <w:t>since</w:t>
      </w:r>
      <w:r>
        <w:rPr>
          <w:rFonts w:cs="Times New Roman"/>
          <w:szCs w:val="24"/>
        </w:rPr>
        <w:t xml:space="preserve"> the issue of compensation was </w:t>
      </w:r>
      <w:r w:rsidR="00C5270F">
        <w:rPr>
          <w:rFonts w:cs="Times New Roman"/>
          <w:szCs w:val="24"/>
        </w:rPr>
        <w:t>before</w:t>
      </w:r>
      <w:r>
        <w:rPr>
          <w:rFonts w:cs="Times New Roman"/>
          <w:szCs w:val="24"/>
        </w:rPr>
        <w:t xml:space="preserve"> the High Court, the witness requested that the City Council be stopped from disturbing their operations. </w:t>
      </w:r>
    </w:p>
    <w:p w14:paraId="6FA9E278" w14:textId="1442FC7E" w:rsidR="0081062C" w:rsidRPr="0081062C" w:rsidRDefault="00A67D09" w:rsidP="78DF02FC">
      <w:pPr>
        <w:pStyle w:val="ListParagraph"/>
        <w:numPr>
          <w:ilvl w:val="0"/>
          <w:numId w:val="1"/>
        </w:numPr>
        <w:rPr>
          <w:rFonts w:cs="Times New Roman"/>
          <w:b/>
          <w:bCs/>
          <w:u w:val="single"/>
        </w:rPr>
      </w:pPr>
      <w:r w:rsidRPr="535E327C">
        <w:rPr>
          <w:rFonts w:cs="Times New Roman"/>
        </w:rPr>
        <w:t xml:space="preserve">The exchanges between the appellant’s witness and the appellant’s counsel in the court a </w:t>
      </w:r>
      <w:r w:rsidRPr="535E327C">
        <w:rPr>
          <w:rFonts w:cs="Times New Roman"/>
          <w:i/>
          <w:iCs/>
        </w:rPr>
        <w:t>quo</w:t>
      </w:r>
      <w:r w:rsidRPr="535E327C">
        <w:rPr>
          <w:rFonts w:cs="Times New Roman"/>
        </w:rPr>
        <w:t xml:space="preserve"> show that both appreciated that the issue of compensation was now before the High Court. It is therefore curious, </w:t>
      </w:r>
      <w:r w:rsidR="00803575" w:rsidRPr="535E327C">
        <w:rPr>
          <w:rFonts w:cs="Times New Roman"/>
        </w:rPr>
        <w:t xml:space="preserve">looking at </w:t>
      </w:r>
      <w:r w:rsidRPr="535E327C">
        <w:rPr>
          <w:rFonts w:cs="Times New Roman"/>
        </w:rPr>
        <w:t xml:space="preserve">the </w:t>
      </w:r>
      <w:r w:rsidR="00803575" w:rsidRPr="535E327C">
        <w:rPr>
          <w:rFonts w:cs="Times New Roman"/>
        </w:rPr>
        <w:t xml:space="preserve">first </w:t>
      </w:r>
      <w:r w:rsidRPr="535E327C">
        <w:rPr>
          <w:rFonts w:cs="Times New Roman"/>
        </w:rPr>
        <w:t>ground of appeal, that</w:t>
      </w:r>
      <w:r w:rsidR="007230D4" w:rsidRPr="535E327C">
        <w:rPr>
          <w:rFonts w:cs="Times New Roman"/>
        </w:rPr>
        <w:t xml:space="preserve"> the appellant still expect</w:t>
      </w:r>
      <w:r w:rsidR="00C5270F" w:rsidRPr="535E327C">
        <w:rPr>
          <w:rFonts w:cs="Times New Roman"/>
        </w:rPr>
        <w:t xml:space="preserve">ed </w:t>
      </w:r>
      <w:r w:rsidR="007230D4" w:rsidRPr="535E327C">
        <w:rPr>
          <w:rFonts w:cs="Times New Roman"/>
        </w:rPr>
        <w:t xml:space="preserve">the </w:t>
      </w:r>
      <w:r w:rsidR="00C5270F" w:rsidRPr="535E327C">
        <w:rPr>
          <w:rFonts w:cs="Times New Roman"/>
        </w:rPr>
        <w:t xml:space="preserve">court </w:t>
      </w:r>
      <w:r w:rsidR="007230D4" w:rsidRPr="535E327C">
        <w:rPr>
          <w:rFonts w:cs="Times New Roman"/>
        </w:rPr>
        <w:t>to deal with an issue that was not before it. The trial magistrate cannot be faulted for concluding that the issue of compensation was being dealt with before another court</w:t>
      </w:r>
      <w:r w:rsidR="00561421" w:rsidRPr="535E327C">
        <w:rPr>
          <w:rFonts w:cs="Times New Roman"/>
        </w:rPr>
        <w:t xml:space="preserve">, because that was the correct </w:t>
      </w:r>
      <w:r w:rsidR="00E329E2">
        <w:rPr>
          <w:rFonts w:cs="Times New Roman"/>
        </w:rPr>
        <w:t>state of affairs</w:t>
      </w:r>
      <w:r w:rsidR="00561421" w:rsidRPr="535E327C">
        <w:rPr>
          <w:rFonts w:cs="Times New Roman"/>
        </w:rPr>
        <w:t xml:space="preserve"> at the relevant time.</w:t>
      </w:r>
    </w:p>
    <w:p w14:paraId="76232BC0" w14:textId="68DD1FF9" w:rsidR="00C5270F" w:rsidRPr="00C5270F" w:rsidRDefault="0081062C" w:rsidP="00007D43">
      <w:pPr>
        <w:pStyle w:val="ListParagraph"/>
        <w:numPr>
          <w:ilvl w:val="0"/>
          <w:numId w:val="1"/>
        </w:numPr>
        <w:rPr>
          <w:rFonts w:cs="Times New Roman"/>
          <w:b/>
          <w:bCs/>
          <w:szCs w:val="24"/>
          <w:u w:val="single"/>
        </w:rPr>
      </w:pPr>
      <w:r w:rsidRPr="0081062C">
        <w:rPr>
          <w:rFonts w:cs="Times New Roman"/>
          <w:szCs w:val="24"/>
        </w:rPr>
        <w:t>I</w:t>
      </w:r>
      <w:r w:rsidR="00C5270F">
        <w:rPr>
          <w:rFonts w:cs="Times New Roman"/>
          <w:szCs w:val="24"/>
        </w:rPr>
        <w:t>n all respects therefore</w:t>
      </w:r>
      <w:r w:rsidR="00E329E2">
        <w:rPr>
          <w:rFonts w:cs="Times New Roman"/>
          <w:szCs w:val="24"/>
        </w:rPr>
        <w:t>,</w:t>
      </w:r>
      <w:r w:rsidR="00C5270F">
        <w:rPr>
          <w:rFonts w:cs="Times New Roman"/>
          <w:szCs w:val="24"/>
        </w:rPr>
        <w:t xml:space="preserve"> I find that there is no merit on the ground of appeal that alleges that the court a </w:t>
      </w:r>
      <w:r w:rsidR="00C5270F" w:rsidRPr="00C5270F">
        <w:rPr>
          <w:rFonts w:cs="Times New Roman"/>
          <w:i/>
          <w:iCs/>
          <w:szCs w:val="24"/>
        </w:rPr>
        <w:t>quo</w:t>
      </w:r>
      <w:r w:rsidR="00C5270F">
        <w:rPr>
          <w:rFonts w:cs="Times New Roman"/>
          <w:szCs w:val="24"/>
        </w:rPr>
        <w:t xml:space="preserve"> did not substantively consider the appellant’s </w:t>
      </w:r>
      <w:r w:rsidR="00C5270F" w:rsidRPr="00C5270F">
        <w:rPr>
          <w:rFonts w:cs="Times New Roman"/>
          <w:szCs w:val="24"/>
        </w:rPr>
        <w:t xml:space="preserve">defence </w:t>
      </w:r>
      <w:r w:rsidR="00C5270F">
        <w:rPr>
          <w:rFonts w:cs="Times New Roman"/>
          <w:szCs w:val="24"/>
        </w:rPr>
        <w:t xml:space="preserve">and that it erred in dismissing the defence on the basis that the dispute was not before the court a </w:t>
      </w:r>
      <w:r w:rsidR="00C5270F" w:rsidRPr="00C5270F">
        <w:rPr>
          <w:rFonts w:cs="Times New Roman"/>
          <w:i/>
          <w:iCs/>
          <w:szCs w:val="24"/>
        </w:rPr>
        <w:t>quo</w:t>
      </w:r>
      <w:r w:rsidR="00C5270F">
        <w:rPr>
          <w:rFonts w:cs="Times New Roman"/>
          <w:szCs w:val="24"/>
        </w:rPr>
        <w:t xml:space="preserve">. </w:t>
      </w:r>
    </w:p>
    <w:p w14:paraId="4D7314A7" w14:textId="0FBA38D6" w:rsidR="00515C93" w:rsidRPr="00C5270F" w:rsidRDefault="00515C93" w:rsidP="00C5270F">
      <w:pPr>
        <w:rPr>
          <w:rFonts w:cs="Times New Roman"/>
          <w:b/>
          <w:bCs/>
          <w:szCs w:val="24"/>
          <w:u w:val="single"/>
        </w:rPr>
      </w:pPr>
      <w:r w:rsidRPr="00C5270F">
        <w:rPr>
          <w:rFonts w:cs="Times New Roman"/>
          <w:b/>
          <w:bCs/>
          <w:szCs w:val="24"/>
          <w:u w:val="single"/>
        </w:rPr>
        <w:t xml:space="preserve">WHETHER OR NOT THE COURT A </w:t>
      </w:r>
      <w:r w:rsidRPr="00C5270F">
        <w:rPr>
          <w:rFonts w:cs="Times New Roman"/>
          <w:b/>
          <w:bCs/>
          <w:i/>
          <w:iCs/>
          <w:szCs w:val="24"/>
          <w:u w:val="single"/>
        </w:rPr>
        <w:t>QUO</w:t>
      </w:r>
      <w:r w:rsidRPr="00C5270F">
        <w:rPr>
          <w:rFonts w:cs="Times New Roman"/>
          <w:b/>
          <w:bCs/>
          <w:szCs w:val="24"/>
          <w:u w:val="single"/>
        </w:rPr>
        <w:t xml:space="preserve"> ERRED IN HOLDING THAT THE LEASE HAD TERMINATED</w:t>
      </w:r>
    </w:p>
    <w:p w14:paraId="38026878" w14:textId="3C5FCA54" w:rsidR="00807774" w:rsidRPr="00807774" w:rsidRDefault="00807774" w:rsidP="00007D43">
      <w:pPr>
        <w:pStyle w:val="ListParagraph"/>
        <w:numPr>
          <w:ilvl w:val="0"/>
          <w:numId w:val="1"/>
        </w:numPr>
        <w:rPr>
          <w:rFonts w:cs="Times New Roman"/>
          <w:b/>
          <w:bCs/>
          <w:szCs w:val="24"/>
          <w:u w:val="single"/>
        </w:rPr>
      </w:pPr>
      <w:r>
        <w:rPr>
          <w:rFonts w:cs="Times New Roman"/>
          <w:szCs w:val="24"/>
        </w:rPr>
        <w:t>Clause 2 of the lease agreement between the parties provides that:</w:t>
      </w:r>
    </w:p>
    <w:p w14:paraId="0E7DE82D" w14:textId="35094597" w:rsidR="00807774" w:rsidRPr="00807774" w:rsidRDefault="00807774" w:rsidP="00684661">
      <w:pPr>
        <w:pStyle w:val="ListParagraph"/>
        <w:spacing w:line="240" w:lineRule="auto"/>
        <w:rPr>
          <w:rFonts w:cs="Times New Roman"/>
          <w:sz w:val="22"/>
        </w:rPr>
      </w:pPr>
      <w:r w:rsidRPr="00807774">
        <w:rPr>
          <w:rFonts w:cs="Times New Roman"/>
          <w:sz w:val="22"/>
        </w:rPr>
        <w:t>“</w:t>
      </w:r>
      <w:r w:rsidRPr="00561421">
        <w:rPr>
          <w:rFonts w:cs="Times New Roman"/>
          <w:b/>
          <w:bCs/>
          <w:sz w:val="22"/>
        </w:rPr>
        <w:t>PERIOD</w:t>
      </w:r>
    </w:p>
    <w:p w14:paraId="771316CE" w14:textId="1FA2B901" w:rsidR="00807774" w:rsidRPr="00807774" w:rsidRDefault="00807774" w:rsidP="00684661">
      <w:pPr>
        <w:pStyle w:val="ListParagraph"/>
        <w:spacing w:line="240" w:lineRule="auto"/>
        <w:rPr>
          <w:rFonts w:cs="Times New Roman"/>
          <w:b/>
          <w:bCs/>
          <w:sz w:val="22"/>
          <w:u w:val="single"/>
        </w:rPr>
      </w:pPr>
      <w:r w:rsidRPr="00807774">
        <w:rPr>
          <w:rFonts w:cs="Times New Roman"/>
          <w:sz w:val="22"/>
        </w:rPr>
        <w:t>Notwithstanding the date upon which (the) lease was signed, the lease shall commence on the 1</w:t>
      </w:r>
      <w:r w:rsidRPr="00807774">
        <w:rPr>
          <w:rFonts w:cs="Times New Roman"/>
          <w:sz w:val="22"/>
          <w:vertAlign w:val="superscript"/>
        </w:rPr>
        <w:t>st</w:t>
      </w:r>
      <w:r w:rsidRPr="00807774">
        <w:rPr>
          <w:rFonts w:cs="Times New Roman"/>
          <w:sz w:val="22"/>
        </w:rPr>
        <w:t xml:space="preserve"> day of April 2018 and shall continue for a period of five year(s) with the option of renewal at the discretion of the lessor. The lessor shall, not less than two calendar months before the expiration of the lease communicate in writing of its intention to renew the lease whereupon the lessee shall indicate its acceptance in writing not less than one calendar month before the date of expiration although the lease shall be deemed to have been extended by one year if the lessee remains in occupation with the consent/ acquiescence of the lessor.”</w:t>
      </w:r>
    </w:p>
    <w:p w14:paraId="0BCBFC1E" w14:textId="4D095115" w:rsidR="00AD523F" w:rsidRPr="00AD523F" w:rsidRDefault="00807774" w:rsidP="00007D43">
      <w:pPr>
        <w:pStyle w:val="ListParagraph"/>
        <w:numPr>
          <w:ilvl w:val="0"/>
          <w:numId w:val="1"/>
        </w:numPr>
        <w:rPr>
          <w:rFonts w:cs="Times New Roman"/>
          <w:b/>
          <w:bCs/>
          <w:szCs w:val="24"/>
          <w:u w:val="single"/>
        </w:rPr>
      </w:pPr>
      <w:r>
        <w:rPr>
          <w:rFonts w:cs="Times New Roman"/>
          <w:szCs w:val="24"/>
        </w:rPr>
        <w:t xml:space="preserve">In </w:t>
      </w:r>
      <w:r w:rsidRPr="00561421">
        <w:rPr>
          <w:rFonts w:cs="Times New Roman"/>
          <w:i/>
          <w:iCs/>
          <w:szCs w:val="24"/>
        </w:rPr>
        <w:t>casu</w:t>
      </w:r>
      <w:r>
        <w:rPr>
          <w:rFonts w:cs="Times New Roman"/>
          <w:szCs w:val="24"/>
        </w:rPr>
        <w:t xml:space="preserve">, it is common cause that </w:t>
      </w:r>
      <w:r w:rsidR="00AD523F">
        <w:rPr>
          <w:rFonts w:cs="Times New Roman"/>
          <w:szCs w:val="24"/>
        </w:rPr>
        <w:t xml:space="preserve">there was no written consent to extend the lease by a year. In the court a </w:t>
      </w:r>
      <w:r w:rsidR="00AD523F" w:rsidRPr="00AD523F">
        <w:rPr>
          <w:rFonts w:cs="Times New Roman"/>
          <w:i/>
          <w:iCs/>
          <w:szCs w:val="24"/>
        </w:rPr>
        <w:t>quo</w:t>
      </w:r>
      <w:r w:rsidR="00AD523F">
        <w:rPr>
          <w:rFonts w:cs="Times New Roman"/>
          <w:szCs w:val="24"/>
        </w:rPr>
        <w:t xml:space="preserve">, the appellant’s witness testified that </w:t>
      </w:r>
      <w:r w:rsidR="0081062C">
        <w:rPr>
          <w:rFonts w:cs="Times New Roman"/>
          <w:szCs w:val="24"/>
        </w:rPr>
        <w:t>at the time the summons w</w:t>
      </w:r>
      <w:r w:rsidR="0049080C">
        <w:rPr>
          <w:rFonts w:cs="Times New Roman"/>
          <w:szCs w:val="24"/>
        </w:rPr>
        <w:t xml:space="preserve">as </w:t>
      </w:r>
      <w:r w:rsidR="0081062C">
        <w:rPr>
          <w:rFonts w:cs="Times New Roman"/>
          <w:szCs w:val="24"/>
        </w:rPr>
        <w:lastRenderedPageBreak/>
        <w:t xml:space="preserve">issued, they had been promised a year by the respondent. </w:t>
      </w:r>
      <w:r w:rsidR="0049080C">
        <w:rPr>
          <w:rFonts w:cs="Times New Roman"/>
          <w:szCs w:val="24"/>
        </w:rPr>
        <w:t>He did not say that that promise was eventually fulfilled</w:t>
      </w:r>
      <w:r w:rsidR="00561421">
        <w:rPr>
          <w:rFonts w:cs="Times New Roman"/>
          <w:szCs w:val="24"/>
        </w:rPr>
        <w:t>, so it remained a promise</w:t>
      </w:r>
      <w:r w:rsidR="0049080C">
        <w:rPr>
          <w:rFonts w:cs="Times New Roman"/>
          <w:szCs w:val="24"/>
        </w:rPr>
        <w:t xml:space="preserve">. </w:t>
      </w:r>
      <w:r w:rsidR="00A67D09">
        <w:rPr>
          <w:rFonts w:cs="Times New Roman"/>
          <w:szCs w:val="24"/>
        </w:rPr>
        <w:t>When he was asked when the lease had expired, he</w:t>
      </w:r>
      <w:r w:rsidR="00C5270F">
        <w:rPr>
          <w:rFonts w:cs="Times New Roman"/>
          <w:szCs w:val="24"/>
        </w:rPr>
        <w:t xml:space="preserve"> stated </w:t>
      </w:r>
      <w:r w:rsidR="00A67D09">
        <w:rPr>
          <w:rFonts w:cs="Times New Roman"/>
          <w:szCs w:val="24"/>
        </w:rPr>
        <w:t xml:space="preserve">that it had expired in 2023. </w:t>
      </w:r>
      <w:r w:rsidR="00C5270F">
        <w:rPr>
          <w:rFonts w:cs="Times New Roman"/>
          <w:szCs w:val="24"/>
        </w:rPr>
        <w:t xml:space="preserve">When it was put to him that the lease expired, his response was in the affirmative. </w:t>
      </w:r>
      <w:r w:rsidR="00AD523F">
        <w:rPr>
          <w:rFonts w:cs="Times New Roman"/>
          <w:szCs w:val="24"/>
        </w:rPr>
        <w:t xml:space="preserve">Despite the witness’ own testimony, Mr </w:t>
      </w:r>
      <w:r w:rsidR="00AD523F" w:rsidRPr="00AD523F">
        <w:rPr>
          <w:rFonts w:cs="Times New Roman"/>
          <w:i/>
          <w:iCs/>
          <w:szCs w:val="24"/>
        </w:rPr>
        <w:t>Mzeya</w:t>
      </w:r>
      <w:r w:rsidR="00AD523F">
        <w:rPr>
          <w:rFonts w:cs="Times New Roman"/>
          <w:szCs w:val="24"/>
        </w:rPr>
        <w:t xml:space="preserve"> persisted with the argument that the appellant remained in occupation with the consent and involvement of the respondent. </w:t>
      </w:r>
    </w:p>
    <w:p w14:paraId="3F76FBC8" w14:textId="47C99BFF" w:rsidR="00561421" w:rsidRPr="00561421" w:rsidRDefault="00AD523F" w:rsidP="00007D43">
      <w:pPr>
        <w:pStyle w:val="ListParagraph"/>
        <w:numPr>
          <w:ilvl w:val="0"/>
          <w:numId w:val="1"/>
        </w:numPr>
        <w:rPr>
          <w:rFonts w:cs="Times New Roman"/>
          <w:b/>
          <w:bCs/>
          <w:szCs w:val="24"/>
          <w:u w:val="single"/>
        </w:rPr>
      </w:pPr>
      <w:r>
        <w:rPr>
          <w:rFonts w:cs="Times New Roman"/>
          <w:szCs w:val="24"/>
        </w:rPr>
        <w:t xml:space="preserve">I am not persuaded by that argument. On record is a letter dated 15 February 2023 wherein the appellant sought renewal of the lease by a further five years. </w:t>
      </w:r>
      <w:r w:rsidR="00561421">
        <w:rPr>
          <w:rFonts w:cs="Times New Roman"/>
          <w:szCs w:val="24"/>
        </w:rPr>
        <w:t>Also o</w:t>
      </w:r>
      <w:r w:rsidR="009035A0">
        <w:rPr>
          <w:rFonts w:cs="Times New Roman"/>
          <w:szCs w:val="24"/>
        </w:rPr>
        <w:t xml:space="preserve">n record is a response from the respondent dated 17 March 2023, indicating that the lease would not be renewed beyond 18 April 2023 and giving the appellant up to 30 April 2023 to wind up its business. The letter stated, further, that the respondent would organise a handover/ takeover process on 1 May 2023. In my view, that letter is clear proof that the respondent was not interested in renewing the lease. </w:t>
      </w:r>
      <w:r w:rsidR="00561421">
        <w:rPr>
          <w:rFonts w:cs="Times New Roman"/>
          <w:szCs w:val="24"/>
        </w:rPr>
        <w:t xml:space="preserve">I find Mr </w:t>
      </w:r>
      <w:r w:rsidR="00561421" w:rsidRPr="00561421">
        <w:rPr>
          <w:rFonts w:cs="Times New Roman"/>
          <w:i/>
          <w:iCs/>
          <w:szCs w:val="24"/>
        </w:rPr>
        <w:t>Mzeya</w:t>
      </w:r>
      <w:r w:rsidR="00561421">
        <w:rPr>
          <w:rFonts w:cs="Times New Roman"/>
          <w:szCs w:val="24"/>
        </w:rPr>
        <w:t>’s submission that because the respondent indulged the appellant for twelve days, then the appellant acquiesced to an extension</w:t>
      </w:r>
      <w:r w:rsidR="00684661">
        <w:rPr>
          <w:rFonts w:cs="Times New Roman"/>
          <w:szCs w:val="24"/>
        </w:rPr>
        <w:t>,</w:t>
      </w:r>
      <w:r w:rsidR="00561421">
        <w:rPr>
          <w:rFonts w:cs="Times New Roman"/>
          <w:szCs w:val="24"/>
        </w:rPr>
        <w:t xml:space="preserve"> spurious. That submission has no basis, moreso considering that t</w:t>
      </w:r>
      <w:r w:rsidR="009035A0">
        <w:rPr>
          <w:rFonts w:cs="Times New Roman"/>
          <w:szCs w:val="24"/>
        </w:rPr>
        <w:t xml:space="preserve">he letter was followed up by the issuance of summons on 31 August 2023. </w:t>
      </w:r>
      <w:r w:rsidR="00561421">
        <w:rPr>
          <w:rFonts w:cs="Times New Roman"/>
          <w:szCs w:val="24"/>
        </w:rPr>
        <w:t xml:space="preserve">The respondent’s position could not have been clearer- it did not want to extend the lease agreement. </w:t>
      </w:r>
    </w:p>
    <w:p w14:paraId="174012E5" w14:textId="6CFB00C6" w:rsidR="0049080C" w:rsidRPr="0049080C" w:rsidRDefault="00561421" w:rsidP="00007D43">
      <w:pPr>
        <w:pStyle w:val="ListParagraph"/>
        <w:numPr>
          <w:ilvl w:val="0"/>
          <w:numId w:val="1"/>
        </w:numPr>
        <w:rPr>
          <w:rFonts w:cs="Times New Roman"/>
          <w:b/>
          <w:bCs/>
          <w:szCs w:val="24"/>
          <w:u w:val="single"/>
        </w:rPr>
      </w:pPr>
      <w:r>
        <w:rPr>
          <w:rFonts w:cs="Times New Roman"/>
          <w:szCs w:val="24"/>
        </w:rPr>
        <w:t>In the final analysis, t</w:t>
      </w:r>
      <w:r w:rsidR="009035A0">
        <w:rPr>
          <w:rFonts w:cs="Times New Roman"/>
          <w:szCs w:val="24"/>
        </w:rPr>
        <w:t xml:space="preserve">he facts of this matter do not support the appellant’s argument that its stay beyond </w:t>
      </w:r>
      <w:r w:rsidR="006619A9">
        <w:rPr>
          <w:rFonts w:cs="Times New Roman"/>
          <w:szCs w:val="24"/>
        </w:rPr>
        <w:t>30</w:t>
      </w:r>
      <w:r w:rsidR="009035A0">
        <w:rPr>
          <w:rFonts w:cs="Times New Roman"/>
          <w:szCs w:val="24"/>
        </w:rPr>
        <w:t xml:space="preserve"> April 2023 was with the consent and involvement of the respondent. The appellant cannot seriously argue that because it stayed on </w:t>
      </w:r>
      <w:r>
        <w:rPr>
          <w:rFonts w:cs="Times New Roman"/>
          <w:szCs w:val="24"/>
        </w:rPr>
        <w:t xml:space="preserve">briefly </w:t>
      </w:r>
      <w:r w:rsidR="009035A0">
        <w:rPr>
          <w:rFonts w:cs="Times New Roman"/>
          <w:szCs w:val="24"/>
        </w:rPr>
        <w:t xml:space="preserve">after being advised to vacate the premises then the respondent consented </w:t>
      </w:r>
      <w:r>
        <w:rPr>
          <w:rFonts w:cs="Times New Roman"/>
          <w:szCs w:val="24"/>
        </w:rPr>
        <w:t>or acquiesced to its stay</w:t>
      </w:r>
      <w:r w:rsidR="009035A0">
        <w:rPr>
          <w:rFonts w:cs="Times New Roman"/>
          <w:szCs w:val="24"/>
        </w:rPr>
        <w:t xml:space="preserve">. </w:t>
      </w:r>
    </w:p>
    <w:p w14:paraId="1275811A" w14:textId="5C9A760B" w:rsidR="00AD523F" w:rsidRPr="00AD523F" w:rsidRDefault="0049080C" w:rsidP="00007D43">
      <w:pPr>
        <w:pStyle w:val="ListParagraph"/>
        <w:numPr>
          <w:ilvl w:val="0"/>
          <w:numId w:val="1"/>
        </w:numPr>
        <w:rPr>
          <w:rFonts w:cs="Times New Roman"/>
          <w:b/>
          <w:bCs/>
          <w:szCs w:val="24"/>
          <w:u w:val="single"/>
        </w:rPr>
      </w:pPr>
      <w:r w:rsidRPr="0049080C">
        <w:rPr>
          <w:rFonts w:cs="Times New Roman"/>
          <w:szCs w:val="24"/>
        </w:rPr>
        <w:t xml:space="preserve">In the premises, I find nothing to fault in the reasoning of the court a </w:t>
      </w:r>
      <w:r w:rsidRPr="006619A9">
        <w:rPr>
          <w:rFonts w:cs="Times New Roman"/>
          <w:i/>
          <w:iCs/>
          <w:szCs w:val="24"/>
        </w:rPr>
        <w:t>quo</w:t>
      </w:r>
      <w:r w:rsidRPr="0049080C">
        <w:rPr>
          <w:rFonts w:cs="Times New Roman"/>
          <w:szCs w:val="24"/>
        </w:rPr>
        <w:t xml:space="preserve"> that the lease terminated in 2023. This reasoning is supported by the evidence on record. </w:t>
      </w:r>
      <w:r w:rsidR="009035A0" w:rsidRPr="0049080C">
        <w:rPr>
          <w:rFonts w:cs="Times New Roman"/>
          <w:szCs w:val="24"/>
        </w:rPr>
        <w:t xml:space="preserve">  </w:t>
      </w:r>
      <w:r w:rsidRPr="0049080C">
        <w:rPr>
          <w:rFonts w:cs="Times New Roman"/>
          <w:szCs w:val="24"/>
        </w:rPr>
        <w:t xml:space="preserve">There is nothing to support the ground of appeal that the respondent acquiesced to the appellant’s continued occupancy of the premises. The second ground of appeal is without merit. </w:t>
      </w:r>
    </w:p>
    <w:p w14:paraId="48BD431F" w14:textId="4D07A4E1" w:rsidR="00515C93" w:rsidRPr="00515C93" w:rsidRDefault="00515C93" w:rsidP="00515C93">
      <w:pPr>
        <w:rPr>
          <w:rFonts w:cs="Times New Roman"/>
          <w:b/>
          <w:bCs/>
          <w:szCs w:val="24"/>
          <w:u w:val="single"/>
        </w:rPr>
      </w:pPr>
      <w:r w:rsidRPr="00515C93">
        <w:rPr>
          <w:rFonts w:cs="Times New Roman"/>
          <w:b/>
          <w:bCs/>
          <w:szCs w:val="24"/>
          <w:u w:val="single"/>
        </w:rPr>
        <w:t xml:space="preserve">WHETHER OR NOT THE COURT A </w:t>
      </w:r>
      <w:r w:rsidRPr="00515C93">
        <w:rPr>
          <w:rFonts w:cs="Times New Roman"/>
          <w:b/>
          <w:bCs/>
          <w:i/>
          <w:iCs/>
          <w:szCs w:val="24"/>
          <w:u w:val="single"/>
        </w:rPr>
        <w:t>QUO</w:t>
      </w:r>
      <w:r w:rsidRPr="00515C93">
        <w:rPr>
          <w:rFonts w:cs="Times New Roman"/>
          <w:b/>
          <w:bCs/>
          <w:szCs w:val="24"/>
          <w:u w:val="single"/>
        </w:rPr>
        <w:t xml:space="preserve"> ERRED IN NOT DEDUCTING US$1800 FROM THE HOLDING OVER DAMAGES </w:t>
      </w:r>
    </w:p>
    <w:p w14:paraId="039E0534" w14:textId="659A740E" w:rsidR="008F246E" w:rsidRPr="008F246E" w:rsidRDefault="0049080C" w:rsidP="00007D43">
      <w:pPr>
        <w:pStyle w:val="ListParagraph"/>
        <w:numPr>
          <w:ilvl w:val="0"/>
          <w:numId w:val="1"/>
        </w:numPr>
        <w:rPr>
          <w:rFonts w:cs="Times New Roman"/>
          <w:b/>
          <w:bCs/>
          <w:szCs w:val="24"/>
          <w:u w:val="single"/>
        </w:rPr>
      </w:pPr>
      <w:r>
        <w:rPr>
          <w:rFonts w:cs="Times New Roman"/>
        </w:rPr>
        <w:t xml:space="preserve">On 29 January 2024, the appellant’s legal practitioners wrote a letter to M.C. Mukome Legal Practitioners stating that </w:t>
      </w:r>
      <w:r w:rsidR="008F246E">
        <w:rPr>
          <w:rFonts w:cs="Times New Roman"/>
        </w:rPr>
        <w:t xml:space="preserve">they had received US$1800 from their client into their trust </w:t>
      </w:r>
      <w:r w:rsidR="008F246E">
        <w:rPr>
          <w:rFonts w:cs="Times New Roman"/>
        </w:rPr>
        <w:lastRenderedPageBreak/>
        <w:t xml:space="preserve">account for rentals which money was being delivered to the legal practitioners by the appellant’s legal practitioners’ messenger.  During the respondent’s witness’ cross-examination, she was asked if the respondent’s </w:t>
      </w:r>
      <w:r w:rsidR="006619A9">
        <w:rPr>
          <w:rFonts w:cs="Times New Roman"/>
        </w:rPr>
        <w:t>erstwhile</w:t>
      </w:r>
      <w:r w:rsidR="008F246E">
        <w:rPr>
          <w:rFonts w:cs="Times New Roman"/>
        </w:rPr>
        <w:t xml:space="preserve"> l</w:t>
      </w:r>
      <w:r w:rsidR="006619A9">
        <w:rPr>
          <w:rFonts w:cs="Times New Roman"/>
        </w:rPr>
        <w:t>egal practitioners</w:t>
      </w:r>
      <w:r w:rsidR="008F246E">
        <w:rPr>
          <w:rFonts w:cs="Times New Roman"/>
        </w:rPr>
        <w:t xml:space="preserve"> had written to the appellant confirming receipt of US$1800 to which she replied in the affirmative. When she was asked if she objected that the respondent received the money from the appellant, she stated that to her understanding, nothing was paid, </w:t>
      </w:r>
      <w:r w:rsidR="00561421">
        <w:rPr>
          <w:rFonts w:cs="Times New Roman"/>
        </w:rPr>
        <w:t>and she stood her ground on this position despite spirited cross examination.</w:t>
      </w:r>
      <w:r w:rsidR="008F246E">
        <w:rPr>
          <w:rFonts w:cs="Times New Roman"/>
        </w:rPr>
        <w:t xml:space="preserve"> </w:t>
      </w:r>
    </w:p>
    <w:p w14:paraId="542C9796" w14:textId="30A9B294" w:rsidR="006619A9" w:rsidRPr="006619A9" w:rsidRDefault="008F246E" w:rsidP="535E327C">
      <w:pPr>
        <w:pStyle w:val="ListParagraph"/>
        <w:numPr>
          <w:ilvl w:val="0"/>
          <w:numId w:val="1"/>
        </w:numPr>
        <w:rPr>
          <w:rFonts w:cs="Times New Roman"/>
          <w:b/>
          <w:bCs/>
          <w:u w:val="single"/>
        </w:rPr>
      </w:pPr>
      <w:r w:rsidRPr="535E327C">
        <w:rPr>
          <w:rFonts w:cs="Times New Roman"/>
        </w:rPr>
        <w:t xml:space="preserve">At the hearing of the appeal, Mr </w:t>
      </w:r>
      <w:r w:rsidRPr="535E327C">
        <w:rPr>
          <w:rFonts w:cs="Times New Roman"/>
          <w:i/>
          <w:iCs/>
        </w:rPr>
        <w:t>Mzeya</w:t>
      </w:r>
      <w:r w:rsidRPr="535E327C">
        <w:rPr>
          <w:rFonts w:cs="Times New Roman"/>
        </w:rPr>
        <w:t xml:space="preserve"> attempted to pass off the letter authored by his law firm as </w:t>
      </w:r>
      <w:r w:rsidR="006619A9" w:rsidRPr="535E327C">
        <w:rPr>
          <w:rFonts w:cs="Times New Roman"/>
        </w:rPr>
        <w:t>the</w:t>
      </w:r>
      <w:r w:rsidRPr="535E327C">
        <w:rPr>
          <w:rFonts w:cs="Times New Roman"/>
        </w:rPr>
        <w:t xml:space="preserve"> letter written by the respondent’s legal practitioners</w:t>
      </w:r>
      <w:r w:rsidR="006619A9" w:rsidRPr="535E327C">
        <w:rPr>
          <w:rFonts w:cs="Times New Roman"/>
        </w:rPr>
        <w:t xml:space="preserve"> confirming the payment</w:t>
      </w:r>
      <w:r w:rsidRPr="535E327C">
        <w:rPr>
          <w:rFonts w:cs="Times New Roman"/>
        </w:rPr>
        <w:t xml:space="preserve">. Upon Mr </w:t>
      </w:r>
      <w:r w:rsidRPr="535E327C">
        <w:rPr>
          <w:rFonts w:cs="Times New Roman"/>
          <w:i/>
          <w:iCs/>
        </w:rPr>
        <w:t>Kadye</w:t>
      </w:r>
      <w:r w:rsidRPr="535E327C">
        <w:rPr>
          <w:rFonts w:cs="Times New Roman"/>
        </w:rPr>
        <w:t xml:space="preserve"> pointing this out, Mr </w:t>
      </w:r>
      <w:r w:rsidRPr="535E327C">
        <w:rPr>
          <w:rFonts w:cs="Times New Roman"/>
          <w:i/>
          <w:iCs/>
        </w:rPr>
        <w:t>Mzeya</w:t>
      </w:r>
      <w:r w:rsidRPr="535E327C">
        <w:rPr>
          <w:rFonts w:cs="Times New Roman"/>
        </w:rPr>
        <w:t xml:space="preserve"> then</w:t>
      </w:r>
      <w:r w:rsidR="001B3E8D" w:rsidRPr="535E327C">
        <w:rPr>
          <w:rFonts w:cs="Times New Roman"/>
        </w:rPr>
        <w:t xml:space="preserve"> shifted to say that at the trial in the court a </w:t>
      </w:r>
      <w:r w:rsidR="001B3E8D" w:rsidRPr="535E327C">
        <w:rPr>
          <w:rFonts w:cs="Times New Roman"/>
          <w:i/>
          <w:iCs/>
        </w:rPr>
        <w:t>quo</w:t>
      </w:r>
      <w:r w:rsidR="001B3E8D" w:rsidRPr="535E327C">
        <w:rPr>
          <w:rFonts w:cs="Times New Roman"/>
        </w:rPr>
        <w:t xml:space="preserve">, another letter was shown to the </w:t>
      </w:r>
      <w:r w:rsidR="13739D8B" w:rsidRPr="535E327C">
        <w:rPr>
          <w:rFonts w:cs="Times New Roman"/>
        </w:rPr>
        <w:t>witness,</w:t>
      </w:r>
      <w:r w:rsidR="001B3E8D" w:rsidRPr="535E327C">
        <w:rPr>
          <w:rFonts w:cs="Times New Roman"/>
        </w:rPr>
        <w:t xml:space="preserve"> and it was an oversight that that letter was not </w:t>
      </w:r>
      <w:r w:rsidR="00561421" w:rsidRPr="535E327C">
        <w:rPr>
          <w:rFonts w:cs="Times New Roman"/>
        </w:rPr>
        <w:t xml:space="preserve">incorporated as part of </w:t>
      </w:r>
      <w:r w:rsidR="001B3E8D" w:rsidRPr="535E327C">
        <w:rPr>
          <w:rFonts w:cs="Times New Roman"/>
        </w:rPr>
        <w:t xml:space="preserve">the appeal record. </w:t>
      </w:r>
      <w:r w:rsidR="00561421" w:rsidRPr="535E327C">
        <w:rPr>
          <w:rFonts w:cs="Times New Roman"/>
        </w:rPr>
        <w:t xml:space="preserve">Nothing could be further from the truth. </w:t>
      </w:r>
    </w:p>
    <w:p w14:paraId="7BEB5580" w14:textId="0D861B7F" w:rsidR="00784AF9" w:rsidRPr="00784AF9" w:rsidRDefault="001B3E8D" w:rsidP="535E327C">
      <w:pPr>
        <w:pStyle w:val="ListParagraph"/>
        <w:numPr>
          <w:ilvl w:val="0"/>
          <w:numId w:val="1"/>
        </w:numPr>
        <w:rPr>
          <w:rFonts w:cs="Times New Roman"/>
          <w:b/>
          <w:bCs/>
          <w:u w:val="single"/>
        </w:rPr>
      </w:pPr>
      <w:r w:rsidRPr="535E327C">
        <w:rPr>
          <w:rFonts w:cs="Times New Roman"/>
        </w:rPr>
        <w:t>The appellant’s bundle of documents did not contain such a letter, neither d</w:t>
      </w:r>
      <w:r w:rsidR="00561421" w:rsidRPr="535E327C">
        <w:rPr>
          <w:rFonts w:cs="Times New Roman"/>
        </w:rPr>
        <w:t>id</w:t>
      </w:r>
      <w:r w:rsidRPr="535E327C">
        <w:rPr>
          <w:rFonts w:cs="Times New Roman"/>
        </w:rPr>
        <w:t xml:space="preserve"> </w:t>
      </w:r>
      <w:r w:rsidR="006619A9" w:rsidRPr="535E327C">
        <w:rPr>
          <w:rFonts w:cs="Times New Roman"/>
        </w:rPr>
        <w:t xml:space="preserve">the </w:t>
      </w:r>
      <w:r w:rsidRPr="535E327C">
        <w:rPr>
          <w:rFonts w:cs="Times New Roman"/>
        </w:rPr>
        <w:t xml:space="preserve">index </w:t>
      </w:r>
      <w:r w:rsidR="006619A9" w:rsidRPr="535E327C">
        <w:rPr>
          <w:rFonts w:cs="Times New Roman"/>
        </w:rPr>
        <w:t xml:space="preserve">accompanying the bundle </w:t>
      </w:r>
      <w:r w:rsidR="00784AF9" w:rsidRPr="535E327C">
        <w:rPr>
          <w:rFonts w:cs="Times New Roman"/>
        </w:rPr>
        <w:t>suggest that such a letter was discovered. The only letter that was discovered is th</w:t>
      </w:r>
      <w:r w:rsidR="00561421" w:rsidRPr="535E327C">
        <w:rPr>
          <w:rFonts w:cs="Times New Roman"/>
        </w:rPr>
        <w:t xml:space="preserve">e </w:t>
      </w:r>
      <w:r w:rsidR="00784AF9" w:rsidRPr="535E327C">
        <w:rPr>
          <w:rFonts w:cs="Times New Roman"/>
        </w:rPr>
        <w:t>29 January 2024 letter I have already alluded to.  I</w:t>
      </w:r>
      <w:r w:rsidR="00561421" w:rsidRPr="535E327C">
        <w:rPr>
          <w:rFonts w:cs="Times New Roman"/>
        </w:rPr>
        <w:t>n my view, there was no such letter.</w:t>
      </w:r>
      <w:r w:rsidR="00572CCB" w:rsidRPr="535E327C">
        <w:rPr>
          <w:rFonts w:cs="Times New Roman"/>
        </w:rPr>
        <w:t xml:space="preserve"> </w:t>
      </w:r>
      <w:r w:rsidR="006619A9" w:rsidRPr="535E327C">
        <w:rPr>
          <w:rFonts w:cs="Times New Roman"/>
        </w:rPr>
        <w:t xml:space="preserve">In my view, the </w:t>
      </w:r>
      <w:r w:rsidR="00572CCB" w:rsidRPr="535E327C">
        <w:rPr>
          <w:rFonts w:cs="Times New Roman"/>
        </w:rPr>
        <w:t xml:space="preserve">appellant could not have omitted such a crucial piece of evidence from the record. In my </w:t>
      </w:r>
      <w:r w:rsidR="006619A9" w:rsidRPr="535E327C">
        <w:rPr>
          <w:rFonts w:cs="Times New Roman"/>
        </w:rPr>
        <w:t xml:space="preserve">further </w:t>
      </w:r>
      <w:r w:rsidR="00572CCB" w:rsidRPr="535E327C">
        <w:rPr>
          <w:rFonts w:cs="Times New Roman"/>
        </w:rPr>
        <w:t xml:space="preserve">view, the existence of such a letter </w:t>
      </w:r>
      <w:r w:rsidR="44C074F0" w:rsidRPr="535E327C">
        <w:rPr>
          <w:rFonts w:cs="Times New Roman"/>
        </w:rPr>
        <w:t>was Mr</w:t>
      </w:r>
      <w:r w:rsidR="00784AF9" w:rsidRPr="535E327C">
        <w:rPr>
          <w:rFonts w:cs="Times New Roman"/>
        </w:rPr>
        <w:t xml:space="preserve"> </w:t>
      </w:r>
      <w:r w:rsidR="00784AF9" w:rsidRPr="535E327C">
        <w:rPr>
          <w:rFonts w:cs="Times New Roman"/>
          <w:i/>
          <w:iCs/>
        </w:rPr>
        <w:t>Mzeya</w:t>
      </w:r>
      <w:r w:rsidR="00784AF9" w:rsidRPr="535E327C">
        <w:rPr>
          <w:rFonts w:cs="Times New Roman"/>
        </w:rPr>
        <w:t xml:space="preserve">’s creation </w:t>
      </w:r>
      <w:r w:rsidR="00572CCB" w:rsidRPr="535E327C">
        <w:rPr>
          <w:rFonts w:cs="Times New Roman"/>
        </w:rPr>
        <w:t xml:space="preserve">from </w:t>
      </w:r>
      <w:r w:rsidR="00784AF9" w:rsidRPr="535E327C">
        <w:rPr>
          <w:rFonts w:cs="Times New Roman"/>
        </w:rPr>
        <w:t>the bar. It is unfortunate that an officer of the court would deliberately mislead the court.</w:t>
      </w:r>
    </w:p>
    <w:p w14:paraId="7EE03C20" w14:textId="77777777" w:rsidR="00784AF9" w:rsidRPr="00784AF9" w:rsidRDefault="001B3E8D" w:rsidP="00007D43">
      <w:pPr>
        <w:pStyle w:val="ListParagraph"/>
        <w:numPr>
          <w:ilvl w:val="0"/>
          <w:numId w:val="1"/>
        </w:numPr>
        <w:rPr>
          <w:rFonts w:cs="Times New Roman"/>
          <w:b/>
          <w:bCs/>
          <w:szCs w:val="24"/>
          <w:u w:val="single"/>
        </w:rPr>
      </w:pPr>
      <w:r>
        <w:rPr>
          <w:rFonts w:cs="Times New Roman"/>
        </w:rPr>
        <w:t xml:space="preserve">In the court a </w:t>
      </w:r>
      <w:r w:rsidRPr="00784AF9">
        <w:rPr>
          <w:rFonts w:cs="Times New Roman"/>
          <w:i/>
          <w:iCs/>
        </w:rPr>
        <w:t>quo</w:t>
      </w:r>
      <w:r>
        <w:rPr>
          <w:rFonts w:cs="Times New Roman"/>
        </w:rPr>
        <w:t>, it was common cause that the appellant stopped paying rentals when the respondent issued summons against the appellant. The appellant’s witness testified that the appellant stopped paying rentals before the issuance of summons. There was never an allegation that US$1800 had been paid. The excuse given was that the appellant had been denied the chance to pay rentals because of the issuance of summons.</w:t>
      </w:r>
    </w:p>
    <w:p w14:paraId="535BBF11" w14:textId="541FEA75" w:rsidR="00784AF9" w:rsidRPr="00784AF9" w:rsidRDefault="00784AF9" w:rsidP="00007D43">
      <w:pPr>
        <w:pStyle w:val="ListParagraph"/>
        <w:numPr>
          <w:ilvl w:val="0"/>
          <w:numId w:val="1"/>
        </w:numPr>
        <w:rPr>
          <w:rFonts w:cs="Times New Roman"/>
          <w:b/>
          <w:bCs/>
          <w:szCs w:val="24"/>
          <w:u w:val="single"/>
        </w:rPr>
      </w:pPr>
      <w:r>
        <w:rPr>
          <w:rFonts w:cs="Times New Roman"/>
        </w:rPr>
        <w:t xml:space="preserve">In the absence of evidence confirming receipt of the US$1800, I find no reason to fault the court a </w:t>
      </w:r>
      <w:r w:rsidRPr="00784AF9">
        <w:rPr>
          <w:rFonts w:cs="Times New Roman"/>
          <w:i/>
          <w:iCs/>
        </w:rPr>
        <w:t>quo</w:t>
      </w:r>
      <w:r>
        <w:rPr>
          <w:rFonts w:cs="Times New Roman"/>
        </w:rPr>
        <w:t xml:space="preserve">’s award of holding over damages in the </w:t>
      </w:r>
      <w:r w:rsidR="006619A9">
        <w:rPr>
          <w:rFonts w:cs="Times New Roman"/>
        </w:rPr>
        <w:t>manner</w:t>
      </w:r>
      <w:r>
        <w:rPr>
          <w:rFonts w:cs="Times New Roman"/>
        </w:rPr>
        <w:t xml:space="preserve"> it did. There was no </w:t>
      </w:r>
      <w:r w:rsidR="006619A9">
        <w:rPr>
          <w:rFonts w:cs="Times New Roman"/>
        </w:rPr>
        <w:t xml:space="preserve">cogent </w:t>
      </w:r>
      <w:r>
        <w:rPr>
          <w:rFonts w:cs="Times New Roman"/>
        </w:rPr>
        <w:t>basis to deduct US$1800</w:t>
      </w:r>
      <w:r w:rsidR="006619A9">
        <w:rPr>
          <w:rFonts w:cs="Times New Roman"/>
        </w:rPr>
        <w:t xml:space="preserve">, and none has been pointed out by the appellant to vacate the trial court’s findings in this regard. </w:t>
      </w:r>
      <w:r>
        <w:rPr>
          <w:rFonts w:cs="Times New Roman"/>
        </w:rPr>
        <w:t xml:space="preserve"> </w:t>
      </w:r>
    </w:p>
    <w:p w14:paraId="6279272D" w14:textId="77777777" w:rsidR="00784AF9" w:rsidRPr="00784AF9" w:rsidRDefault="00784AF9" w:rsidP="00007D43">
      <w:pPr>
        <w:pStyle w:val="ListParagraph"/>
        <w:numPr>
          <w:ilvl w:val="0"/>
          <w:numId w:val="1"/>
        </w:numPr>
        <w:rPr>
          <w:rFonts w:cs="Times New Roman"/>
          <w:b/>
          <w:bCs/>
          <w:szCs w:val="24"/>
          <w:u w:val="single"/>
        </w:rPr>
      </w:pPr>
      <w:r>
        <w:rPr>
          <w:rFonts w:cs="Times New Roman"/>
        </w:rPr>
        <w:t xml:space="preserve">In all respects therefore, I find that the appeal lacks merit and should be dismissed. </w:t>
      </w:r>
    </w:p>
    <w:p w14:paraId="6E079E9D" w14:textId="56A80ECE" w:rsidR="00784AF9" w:rsidRPr="00A11F05" w:rsidRDefault="00784AF9" w:rsidP="535E327C">
      <w:pPr>
        <w:pStyle w:val="ListParagraph"/>
        <w:numPr>
          <w:ilvl w:val="0"/>
          <w:numId w:val="1"/>
        </w:numPr>
        <w:rPr>
          <w:rFonts w:cs="Times New Roman"/>
          <w:b/>
          <w:bCs/>
          <w:u w:val="single"/>
        </w:rPr>
      </w:pPr>
      <w:r w:rsidRPr="535E327C">
        <w:rPr>
          <w:rFonts w:cs="Times New Roman"/>
        </w:rPr>
        <w:lastRenderedPageBreak/>
        <w:t xml:space="preserve">Turning to the issue of costs, the respondent has prayed for costs on a higher scale. </w:t>
      </w:r>
      <w:r w:rsidR="00572CCB" w:rsidRPr="535E327C">
        <w:rPr>
          <w:rFonts w:cs="Times New Roman"/>
        </w:rPr>
        <w:t>While costs are in the discretion of the court, t</w:t>
      </w:r>
      <w:r w:rsidRPr="535E327C">
        <w:rPr>
          <w:rFonts w:cs="Times New Roman"/>
        </w:rPr>
        <w:t xml:space="preserve">he jurisprudence in this jurisdiction is that the courts will not lightly accede to a prayer for an award for costs on a legal practitioner and client scale except in exceptional circumstances. See for example, </w:t>
      </w:r>
      <w:r w:rsidRPr="535E327C">
        <w:rPr>
          <w:rFonts w:cs="Times New Roman"/>
          <w:i/>
          <w:iCs/>
        </w:rPr>
        <w:t>Kangai</w:t>
      </w:r>
      <w:r w:rsidRPr="535E327C">
        <w:rPr>
          <w:rFonts w:cs="Times New Roman"/>
        </w:rPr>
        <w:t xml:space="preserve"> v</w:t>
      </w:r>
      <w:r w:rsidRPr="535E327C">
        <w:rPr>
          <w:rFonts w:cs="Times New Roman"/>
          <w:i/>
          <w:iCs/>
        </w:rPr>
        <w:t xml:space="preserve"> Netone Cellular (Pvt) Ltd </w:t>
      </w:r>
      <w:r w:rsidRPr="535E327C">
        <w:rPr>
          <w:rFonts w:cs="Times New Roman"/>
        </w:rPr>
        <w:t xml:space="preserve">2020 (1) ZLR 660 (H) and </w:t>
      </w:r>
      <w:r w:rsidRPr="535E327C">
        <w:rPr>
          <w:rFonts w:cs="Times New Roman"/>
          <w:i/>
          <w:iCs/>
        </w:rPr>
        <w:t xml:space="preserve">Borrowdale Country Club </w:t>
      </w:r>
      <w:r w:rsidRPr="535E327C">
        <w:rPr>
          <w:rFonts w:cs="Times New Roman"/>
        </w:rPr>
        <w:t>v</w:t>
      </w:r>
      <w:r w:rsidRPr="535E327C">
        <w:rPr>
          <w:rFonts w:cs="Times New Roman"/>
          <w:i/>
          <w:iCs/>
        </w:rPr>
        <w:t xml:space="preserve"> Murandu</w:t>
      </w:r>
      <w:r w:rsidRPr="535E327C">
        <w:rPr>
          <w:rFonts w:cs="Times New Roman"/>
        </w:rPr>
        <w:t xml:space="preserve"> 1987 (2) ZLR 77 (H). I</w:t>
      </w:r>
      <w:r w:rsidR="00572CCB" w:rsidRPr="535E327C">
        <w:rPr>
          <w:rFonts w:cs="Times New Roman"/>
        </w:rPr>
        <w:t>n this appeal, I</w:t>
      </w:r>
      <w:r w:rsidR="00A11F05" w:rsidRPr="535E327C">
        <w:rPr>
          <w:rFonts w:cs="Times New Roman"/>
        </w:rPr>
        <w:t xml:space="preserve"> am inclined to agree with Mr </w:t>
      </w:r>
      <w:r w:rsidR="00A11F05" w:rsidRPr="535E327C">
        <w:rPr>
          <w:rFonts w:cs="Times New Roman"/>
          <w:i/>
          <w:iCs/>
        </w:rPr>
        <w:t>Kadye</w:t>
      </w:r>
      <w:r w:rsidR="00A11F05" w:rsidRPr="535E327C">
        <w:rPr>
          <w:rFonts w:cs="Times New Roman"/>
        </w:rPr>
        <w:t xml:space="preserve">’s submission that this appeal is frivolous. It was not noted with a </w:t>
      </w:r>
      <w:r w:rsidR="00A11F05" w:rsidRPr="535E327C">
        <w:rPr>
          <w:rFonts w:cs="Times New Roman"/>
          <w:i/>
          <w:iCs/>
        </w:rPr>
        <w:t>bona fide</w:t>
      </w:r>
      <w:r w:rsidR="00A11F05" w:rsidRPr="535E327C">
        <w:rPr>
          <w:rFonts w:cs="Times New Roman"/>
        </w:rPr>
        <w:t xml:space="preserve"> intention to </w:t>
      </w:r>
      <w:r w:rsidR="00572CCB" w:rsidRPr="535E327C">
        <w:rPr>
          <w:rFonts w:cs="Times New Roman"/>
        </w:rPr>
        <w:t xml:space="preserve">challenge </w:t>
      </w:r>
      <w:r w:rsidR="00A11F05" w:rsidRPr="535E327C">
        <w:rPr>
          <w:rFonts w:cs="Times New Roman"/>
        </w:rPr>
        <w:t xml:space="preserve">the correctness of the decision of the court a </w:t>
      </w:r>
      <w:r w:rsidR="1FDB7609" w:rsidRPr="535E327C">
        <w:rPr>
          <w:rFonts w:cs="Times New Roman"/>
          <w:i/>
          <w:iCs/>
        </w:rPr>
        <w:t>quo,</w:t>
      </w:r>
      <w:r w:rsidR="00A11F05" w:rsidRPr="535E327C">
        <w:rPr>
          <w:rFonts w:cs="Times New Roman"/>
        </w:rPr>
        <w:t xml:space="preserve"> but </w:t>
      </w:r>
      <w:r w:rsidR="00572CCB" w:rsidRPr="535E327C">
        <w:rPr>
          <w:rFonts w:cs="Times New Roman"/>
        </w:rPr>
        <w:t xml:space="preserve">the appellant </w:t>
      </w:r>
      <w:r w:rsidR="006619A9" w:rsidRPr="535E327C">
        <w:rPr>
          <w:rFonts w:cs="Times New Roman"/>
        </w:rPr>
        <w:t xml:space="preserve">is </w:t>
      </w:r>
      <w:r w:rsidR="00572CCB" w:rsidRPr="535E327C">
        <w:rPr>
          <w:rFonts w:cs="Times New Roman"/>
        </w:rPr>
        <w:t>just bidding time at the expense of the respondent</w:t>
      </w:r>
      <w:r w:rsidR="006619A9" w:rsidRPr="535E327C">
        <w:rPr>
          <w:rFonts w:cs="Times New Roman"/>
        </w:rPr>
        <w:t xml:space="preserve">’s right </w:t>
      </w:r>
      <w:r w:rsidR="7D7F03E1" w:rsidRPr="535E327C">
        <w:rPr>
          <w:rFonts w:cs="Times New Roman"/>
        </w:rPr>
        <w:t>to derive</w:t>
      </w:r>
      <w:r w:rsidR="00F83ACB" w:rsidRPr="535E327C">
        <w:rPr>
          <w:rFonts w:cs="Times New Roman"/>
        </w:rPr>
        <w:t xml:space="preserve"> commercial benefit from its property</w:t>
      </w:r>
      <w:r w:rsidR="00572CCB" w:rsidRPr="535E327C">
        <w:rPr>
          <w:rFonts w:cs="Times New Roman"/>
        </w:rPr>
        <w:t>. For three years now, the appellant has not paid any rentals for the premises.</w:t>
      </w:r>
      <w:r w:rsidR="00A11F05" w:rsidRPr="535E327C">
        <w:rPr>
          <w:rFonts w:cs="Times New Roman"/>
        </w:rPr>
        <w:t xml:space="preserve"> </w:t>
      </w:r>
      <w:r w:rsidR="00F83ACB" w:rsidRPr="535E327C">
        <w:rPr>
          <w:rFonts w:cs="Times New Roman"/>
        </w:rPr>
        <w:t>T</w:t>
      </w:r>
      <w:r w:rsidR="00A11F05" w:rsidRPr="535E327C">
        <w:rPr>
          <w:rFonts w:cs="Times New Roman"/>
        </w:rPr>
        <w:t xml:space="preserve">he appellant’s counsel </w:t>
      </w:r>
      <w:r w:rsidR="00F83ACB" w:rsidRPr="535E327C">
        <w:rPr>
          <w:rFonts w:cs="Times New Roman"/>
        </w:rPr>
        <w:t>even sought to mislead the court that the appellant paid some US$1 800 since the issuance of summons</w:t>
      </w:r>
      <w:r w:rsidR="006619A9" w:rsidRPr="535E327C">
        <w:rPr>
          <w:rFonts w:cs="Times New Roman"/>
        </w:rPr>
        <w:t>, yet there is uncontroverted evidence on record that payments ceased when the summons was issued</w:t>
      </w:r>
      <w:r w:rsidR="00F83ACB" w:rsidRPr="535E327C">
        <w:rPr>
          <w:rFonts w:cs="Times New Roman"/>
        </w:rPr>
        <w:t xml:space="preserve">. </w:t>
      </w:r>
      <w:r w:rsidR="008D25FB" w:rsidRPr="535E327C">
        <w:rPr>
          <w:rFonts w:cs="Times New Roman"/>
        </w:rPr>
        <w:t>Further, t</w:t>
      </w:r>
      <w:r w:rsidR="00F83ACB" w:rsidRPr="535E327C">
        <w:rPr>
          <w:rFonts w:cs="Times New Roman"/>
        </w:rPr>
        <w:t>he appellant is not even seriously and genuinely pursuing its compensation claim in the High Court. Instead, the appellant</w:t>
      </w:r>
      <w:r w:rsidR="008D25FB" w:rsidRPr="535E327C">
        <w:rPr>
          <w:rFonts w:cs="Times New Roman"/>
        </w:rPr>
        <w:t xml:space="preserve"> </w:t>
      </w:r>
      <w:r w:rsidR="00F83ACB" w:rsidRPr="535E327C">
        <w:rPr>
          <w:rFonts w:cs="Times New Roman"/>
        </w:rPr>
        <w:t xml:space="preserve">sought removal from the roll of the very same matter it is brandishing as a shield against its eviction from the premises. </w:t>
      </w:r>
      <w:r w:rsidR="00A11F05" w:rsidRPr="535E327C">
        <w:rPr>
          <w:rFonts w:cs="Times New Roman"/>
        </w:rPr>
        <w:t xml:space="preserve">The appellant and its counsel’s conduct </w:t>
      </w:r>
      <w:r w:rsidR="4A767865" w:rsidRPr="535E327C">
        <w:rPr>
          <w:rFonts w:cs="Times New Roman"/>
        </w:rPr>
        <w:t>erode</w:t>
      </w:r>
      <w:r w:rsidR="00A11F05" w:rsidRPr="535E327C">
        <w:rPr>
          <w:rFonts w:cs="Times New Roman"/>
        </w:rPr>
        <w:t xml:space="preserve"> investor confidence and fl</w:t>
      </w:r>
      <w:r w:rsidR="06C0409B" w:rsidRPr="535E327C">
        <w:rPr>
          <w:rFonts w:cs="Times New Roman"/>
        </w:rPr>
        <w:t>y</w:t>
      </w:r>
      <w:r w:rsidR="00A11F05" w:rsidRPr="535E327C">
        <w:rPr>
          <w:rFonts w:cs="Times New Roman"/>
        </w:rPr>
        <w:t xml:space="preserve"> in the face of </w:t>
      </w:r>
      <w:r w:rsidR="00572CCB" w:rsidRPr="535E327C">
        <w:rPr>
          <w:rFonts w:cs="Times New Roman"/>
        </w:rPr>
        <w:t xml:space="preserve">all efforts to ease the doing of business in Zimbabwe. Such conduct should be censured through an appropriate order for costs </w:t>
      </w:r>
      <w:r w:rsidRPr="535E327C">
        <w:rPr>
          <w:rFonts w:cs="Times New Roman"/>
        </w:rPr>
        <w:t>on a punitive scale.</w:t>
      </w:r>
    </w:p>
    <w:p w14:paraId="2EC82A15" w14:textId="0ECD0473" w:rsidR="00F23943" w:rsidRPr="00627134" w:rsidRDefault="00166D7E" w:rsidP="00627134">
      <w:pPr>
        <w:rPr>
          <w:rFonts w:cs="Times New Roman"/>
          <w:b/>
          <w:bCs/>
          <w:szCs w:val="24"/>
          <w:u w:val="single"/>
        </w:rPr>
      </w:pPr>
      <w:r w:rsidRPr="00627134">
        <w:rPr>
          <w:rFonts w:cs="Times New Roman"/>
          <w:b/>
          <w:bCs/>
          <w:szCs w:val="24"/>
          <w:u w:val="single"/>
        </w:rPr>
        <w:t>ORDER</w:t>
      </w:r>
    </w:p>
    <w:p w14:paraId="69B51C88" w14:textId="47B08D21" w:rsidR="002B2FC6" w:rsidRDefault="002B2FC6" w:rsidP="00007D43">
      <w:pPr>
        <w:pStyle w:val="ListParagraph"/>
        <w:numPr>
          <w:ilvl w:val="0"/>
          <w:numId w:val="1"/>
        </w:numPr>
        <w:spacing w:after="0"/>
        <w:rPr>
          <w:rFonts w:cs="Times New Roman"/>
          <w:szCs w:val="24"/>
        </w:rPr>
      </w:pPr>
      <w:r>
        <w:rPr>
          <w:rFonts w:cs="Times New Roman"/>
          <w:szCs w:val="24"/>
        </w:rPr>
        <w:t xml:space="preserve">In the result, </w:t>
      </w:r>
      <w:r w:rsidR="004D5659">
        <w:rPr>
          <w:rFonts w:cs="Times New Roman"/>
          <w:szCs w:val="24"/>
        </w:rPr>
        <w:t>the following order is made:</w:t>
      </w:r>
    </w:p>
    <w:p w14:paraId="476EB177" w14:textId="0F7FB465" w:rsidR="00E3079B" w:rsidRDefault="0054302D">
      <w:pPr>
        <w:pStyle w:val="ListParagraph"/>
        <w:numPr>
          <w:ilvl w:val="0"/>
          <w:numId w:val="2"/>
        </w:numPr>
        <w:spacing w:after="0"/>
        <w:rPr>
          <w:rFonts w:cs="Times New Roman"/>
          <w:szCs w:val="24"/>
        </w:rPr>
      </w:pPr>
      <w:r>
        <w:rPr>
          <w:rFonts w:cs="Times New Roman"/>
          <w:szCs w:val="24"/>
        </w:rPr>
        <w:t xml:space="preserve">The </w:t>
      </w:r>
      <w:r w:rsidR="00A11F05">
        <w:rPr>
          <w:rFonts w:cs="Times New Roman"/>
          <w:szCs w:val="24"/>
        </w:rPr>
        <w:t xml:space="preserve">appeal be and is hereby dismissed in its entirety with costs on a legal practitioner and client scale. </w:t>
      </w:r>
    </w:p>
    <w:p w14:paraId="79722353" w14:textId="77777777" w:rsidR="002F7CF6" w:rsidRPr="00D55BA2" w:rsidRDefault="002F7CF6" w:rsidP="002F7CF6">
      <w:pPr>
        <w:spacing w:after="0"/>
        <w:rPr>
          <w:rFonts w:cs="Times New Roman"/>
          <w:szCs w:val="24"/>
        </w:rPr>
      </w:pPr>
    </w:p>
    <w:p w14:paraId="6BF41205" w14:textId="1C06BB57" w:rsidR="006C36B3" w:rsidRDefault="006F48ED" w:rsidP="002F7CF6">
      <w:pPr>
        <w:spacing w:after="0"/>
        <w:rPr>
          <w:rFonts w:cs="Times New Roman"/>
          <w:szCs w:val="24"/>
        </w:rPr>
      </w:pPr>
      <w:r w:rsidRPr="00D55BA2">
        <w:rPr>
          <w:rFonts w:cs="Times New Roman"/>
          <w:b/>
          <w:bCs/>
          <w:smallCaps/>
          <w:szCs w:val="24"/>
        </w:rPr>
        <w:t>Mushure</w:t>
      </w:r>
      <w:r w:rsidR="004D120C" w:rsidRPr="00D55BA2">
        <w:rPr>
          <w:rFonts w:cs="Times New Roman"/>
          <w:b/>
          <w:bCs/>
          <w:szCs w:val="24"/>
        </w:rPr>
        <w:t xml:space="preserve"> </w:t>
      </w:r>
      <w:r w:rsidR="002F7CF6" w:rsidRPr="00D55BA2">
        <w:rPr>
          <w:rFonts w:cs="Times New Roman"/>
          <w:b/>
          <w:bCs/>
          <w:szCs w:val="24"/>
        </w:rPr>
        <w:t>J</w:t>
      </w:r>
      <w:r w:rsidR="002F7CF6" w:rsidRPr="00D55BA2">
        <w:rPr>
          <w:rFonts w:cs="Times New Roman"/>
          <w:szCs w:val="24"/>
        </w:rPr>
        <w:t>:……………………………</w:t>
      </w:r>
      <w:r w:rsidR="00A11F05">
        <w:rPr>
          <w:rFonts w:cs="Times New Roman"/>
          <w:szCs w:val="24"/>
        </w:rPr>
        <w:t>…………...</w:t>
      </w:r>
      <w:r w:rsidR="00DD6E17" w:rsidRPr="00D55BA2">
        <w:rPr>
          <w:rFonts w:cs="Times New Roman"/>
          <w:szCs w:val="24"/>
        </w:rPr>
        <w:t xml:space="preserve"> </w:t>
      </w:r>
    </w:p>
    <w:p w14:paraId="7D23459C" w14:textId="77777777" w:rsidR="00572CCB" w:rsidRDefault="00572CCB" w:rsidP="002F7CF6">
      <w:pPr>
        <w:spacing w:after="0"/>
        <w:rPr>
          <w:rFonts w:cs="Times New Roman"/>
          <w:szCs w:val="24"/>
        </w:rPr>
      </w:pPr>
    </w:p>
    <w:p w14:paraId="01524B7E" w14:textId="46140261" w:rsidR="00A11F05" w:rsidRPr="00A11F05" w:rsidRDefault="00A11F05" w:rsidP="00A11F05">
      <w:pPr>
        <w:tabs>
          <w:tab w:val="left" w:pos="270"/>
        </w:tabs>
        <w:rPr>
          <w:rFonts w:cs="Times New Roman"/>
          <w:szCs w:val="24"/>
        </w:rPr>
      </w:pPr>
      <w:r>
        <w:rPr>
          <w:rFonts w:cs="Times New Roman"/>
          <w:b/>
          <w:bCs/>
          <w:smallCaps/>
          <w:szCs w:val="24"/>
        </w:rPr>
        <w:t>Mungwari</w:t>
      </w:r>
      <w:r w:rsidRPr="00A11F05">
        <w:rPr>
          <w:rFonts w:cs="Times New Roman"/>
          <w:b/>
          <w:bCs/>
          <w:smallCaps/>
          <w:szCs w:val="24"/>
        </w:rPr>
        <w:t xml:space="preserve">  J</w:t>
      </w:r>
      <w:r w:rsidRPr="00A11F05">
        <w:rPr>
          <w:rFonts w:cs="Times New Roman"/>
          <w:szCs w:val="24"/>
        </w:rPr>
        <w:t xml:space="preserve">: ........................................................... I agree </w:t>
      </w:r>
    </w:p>
    <w:p w14:paraId="77AA2D1C" w14:textId="77777777" w:rsidR="00A11F05" w:rsidRPr="00D55BA2" w:rsidRDefault="00A11F05" w:rsidP="002F7CF6">
      <w:pPr>
        <w:spacing w:after="0"/>
        <w:rPr>
          <w:rFonts w:cs="Times New Roman"/>
          <w:szCs w:val="24"/>
        </w:rPr>
      </w:pPr>
    </w:p>
    <w:p w14:paraId="56E6881F" w14:textId="7914E318" w:rsidR="006C36B3" w:rsidRPr="00D55BA2" w:rsidRDefault="00092EB4" w:rsidP="006C36B3">
      <w:pPr>
        <w:spacing w:after="0" w:line="240" w:lineRule="auto"/>
        <w:rPr>
          <w:rFonts w:cs="Times New Roman"/>
          <w:szCs w:val="24"/>
        </w:rPr>
      </w:pPr>
      <w:r>
        <w:rPr>
          <w:rFonts w:cs="Times New Roman"/>
          <w:i/>
          <w:iCs/>
          <w:szCs w:val="24"/>
        </w:rPr>
        <w:t>Lawman Law Chambers</w:t>
      </w:r>
      <w:r w:rsidR="006C36B3" w:rsidRPr="00D55BA2">
        <w:rPr>
          <w:rFonts w:cs="Times New Roman"/>
          <w:szCs w:val="24"/>
        </w:rPr>
        <w:t xml:space="preserve">, </w:t>
      </w:r>
      <w:r w:rsidR="00161C50">
        <w:rPr>
          <w:rFonts w:cs="Times New Roman"/>
          <w:szCs w:val="24"/>
        </w:rPr>
        <w:t>app</w:t>
      </w:r>
      <w:r>
        <w:rPr>
          <w:rFonts w:cs="Times New Roman"/>
          <w:szCs w:val="24"/>
        </w:rPr>
        <w:t>ella</w:t>
      </w:r>
      <w:r w:rsidR="00161C50">
        <w:rPr>
          <w:rFonts w:cs="Times New Roman"/>
          <w:szCs w:val="24"/>
        </w:rPr>
        <w:t>nt</w:t>
      </w:r>
      <w:r w:rsidR="006C36B3" w:rsidRPr="00D55BA2">
        <w:rPr>
          <w:rFonts w:cs="Times New Roman"/>
          <w:szCs w:val="24"/>
        </w:rPr>
        <w:t>’s legal practitioners</w:t>
      </w:r>
    </w:p>
    <w:p w14:paraId="3C2D36D1" w14:textId="355CB8CD" w:rsidR="006C36B3" w:rsidRPr="00D55BA2" w:rsidRDefault="00092EB4" w:rsidP="006C36B3">
      <w:pPr>
        <w:spacing w:after="0" w:line="240" w:lineRule="auto"/>
        <w:rPr>
          <w:rFonts w:cs="Times New Roman"/>
          <w:szCs w:val="24"/>
        </w:rPr>
      </w:pPr>
      <w:r>
        <w:rPr>
          <w:rFonts w:cs="Times New Roman"/>
          <w:i/>
          <w:iCs/>
          <w:szCs w:val="24"/>
        </w:rPr>
        <w:t xml:space="preserve">Lindah &amp; Ashely </w:t>
      </w:r>
      <w:r w:rsidR="00E3079B">
        <w:rPr>
          <w:rFonts w:cs="Times New Roman"/>
          <w:i/>
          <w:iCs/>
          <w:szCs w:val="24"/>
        </w:rPr>
        <w:t>Attorneys</w:t>
      </w:r>
      <w:r w:rsidR="00B21947">
        <w:rPr>
          <w:rFonts w:cs="Times New Roman"/>
          <w:szCs w:val="24"/>
        </w:rPr>
        <w:t xml:space="preserve"> </w:t>
      </w:r>
      <w:r w:rsidR="00161C50">
        <w:rPr>
          <w:rFonts w:cs="Times New Roman"/>
          <w:szCs w:val="24"/>
        </w:rPr>
        <w:t>respondent</w:t>
      </w:r>
      <w:r w:rsidR="00E3079B">
        <w:rPr>
          <w:rFonts w:cs="Times New Roman"/>
          <w:szCs w:val="24"/>
        </w:rPr>
        <w:t>’s</w:t>
      </w:r>
      <w:r w:rsidR="00860916" w:rsidRPr="00D55BA2">
        <w:rPr>
          <w:rFonts w:cs="Times New Roman"/>
          <w:szCs w:val="24"/>
        </w:rPr>
        <w:t xml:space="preserve"> leg</w:t>
      </w:r>
      <w:r w:rsidR="00161C50">
        <w:rPr>
          <w:rFonts w:cs="Times New Roman"/>
          <w:szCs w:val="24"/>
        </w:rPr>
        <w:t>al</w:t>
      </w:r>
      <w:r w:rsidR="00860916" w:rsidRPr="00D55BA2">
        <w:rPr>
          <w:rFonts w:cs="Times New Roman"/>
          <w:szCs w:val="24"/>
        </w:rPr>
        <w:t xml:space="preserve"> practitioners</w:t>
      </w:r>
    </w:p>
    <w:p w14:paraId="354A8338" w14:textId="77777777" w:rsidR="0050061B" w:rsidRDefault="0050061B">
      <w:pPr>
        <w:rPr>
          <w:lang w:val="en-ZW"/>
        </w:rPr>
      </w:pPr>
    </w:p>
    <w:p w14:paraId="56FB1745" w14:textId="77777777" w:rsidR="00B82660" w:rsidRPr="00221185" w:rsidRDefault="00B82660">
      <w:pPr>
        <w:rPr>
          <w:lang w:val="en-ZW"/>
        </w:rPr>
      </w:pPr>
    </w:p>
    <w:sectPr w:rsidR="00B82660" w:rsidRPr="00221185">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C86F4" w14:textId="77777777" w:rsidR="00EF699B" w:rsidRPr="00D55BA2" w:rsidRDefault="00EF699B" w:rsidP="0050061B">
      <w:pPr>
        <w:spacing w:after="0" w:line="240" w:lineRule="auto"/>
      </w:pPr>
      <w:r w:rsidRPr="00D55BA2">
        <w:separator/>
      </w:r>
    </w:p>
  </w:endnote>
  <w:endnote w:type="continuationSeparator" w:id="0">
    <w:p w14:paraId="47A0FF99" w14:textId="77777777" w:rsidR="00EF699B" w:rsidRPr="00D55BA2" w:rsidRDefault="00EF699B" w:rsidP="0050061B">
      <w:pPr>
        <w:spacing w:after="0" w:line="240" w:lineRule="auto"/>
      </w:pPr>
      <w:r w:rsidRPr="00D55B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6A0" w:firstRow="1" w:lastRow="0" w:firstColumn="1" w:lastColumn="0" w:noHBand="1" w:noVBand="1"/>
    </w:tblPr>
    <w:tblGrid>
      <w:gridCol w:w="3120"/>
      <w:gridCol w:w="3120"/>
      <w:gridCol w:w="3120"/>
    </w:tblGrid>
    <w:tr w:rsidR="535E327C" w14:paraId="2A08D33E" w14:textId="77777777" w:rsidTr="535E327C">
      <w:trPr>
        <w:trHeight w:val="300"/>
      </w:trPr>
      <w:tc>
        <w:tcPr>
          <w:tcW w:w="3120" w:type="dxa"/>
        </w:tcPr>
        <w:p w14:paraId="62E77D50" w14:textId="0B03E8AD" w:rsidR="535E327C" w:rsidRDefault="535E327C" w:rsidP="535E327C">
          <w:pPr>
            <w:pStyle w:val="Header"/>
            <w:ind w:left="-115"/>
            <w:jc w:val="left"/>
          </w:pPr>
        </w:p>
      </w:tc>
      <w:tc>
        <w:tcPr>
          <w:tcW w:w="3120" w:type="dxa"/>
        </w:tcPr>
        <w:p w14:paraId="61E604BE" w14:textId="2E961AD0" w:rsidR="535E327C" w:rsidRDefault="535E327C" w:rsidP="535E327C">
          <w:pPr>
            <w:pStyle w:val="Header"/>
            <w:jc w:val="center"/>
          </w:pPr>
        </w:p>
      </w:tc>
      <w:tc>
        <w:tcPr>
          <w:tcW w:w="3120" w:type="dxa"/>
        </w:tcPr>
        <w:p w14:paraId="48CAE8A4" w14:textId="6DB44167" w:rsidR="535E327C" w:rsidRDefault="535E327C" w:rsidP="535E327C">
          <w:pPr>
            <w:pStyle w:val="Header"/>
            <w:ind w:right="-115"/>
            <w:jc w:val="right"/>
          </w:pPr>
        </w:p>
      </w:tc>
    </w:tr>
  </w:tbl>
  <w:p w14:paraId="51A66A8A" w14:textId="32575A36" w:rsidR="535E327C" w:rsidRDefault="535E327C" w:rsidP="535E32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C3AB66" w14:textId="77777777" w:rsidR="00EF699B" w:rsidRPr="00D55BA2" w:rsidRDefault="00EF699B" w:rsidP="0050061B">
      <w:pPr>
        <w:spacing w:after="0" w:line="240" w:lineRule="auto"/>
      </w:pPr>
      <w:r w:rsidRPr="00D55BA2">
        <w:separator/>
      </w:r>
    </w:p>
  </w:footnote>
  <w:footnote w:type="continuationSeparator" w:id="0">
    <w:p w14:paraId="0437582E" w14:textId="77777777" w:rsidR="00EF699B" w:rsidRPr="00D55BA2" w:rsidRDefault="00EF699B" w:rsidP="0050061B">
      <w:pPr>
        <w:spacing w:after="0" w:line="240" w:lineRule="auto"/>
      </w:pPr>
      <w:r w:rsidRPr="00D55BA2">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475316"/>
      <w:docPartObj>
        <w:docPartGallery w:val="Page Numbers (Top of Page)"/>
        <w:docPartUnique/>
      </w:docPartObj>
    </w:sdtPr>
    <w:sdtEndPr/>
    <w:sdtContent>
      <w:p w14:paraId="23AFBDC0" w14:textId="222FF7E4" w:rsidR="0050061B" w:rsidRPr="00D55BA2" w:rsidRDefault="0050061B">
        <w:pPr>
          <w:pStyle w:val="Header"/>
          <w:jc w:val="right"/>
        </w:pPr>
        <w:r w:rsidRPr="00D55BA2">
          <w:fldChar w:fldCharType="begin"/>
        </w:r>
        <w:r w:rsidRPr="00D55BA2">
          <w:instrText xml:space="preserve"> PAGE   \* MERGEFORMAT </w:instrText>
        </w:r>
        <w:r w:rsidRPr="00D55BA2">
          <w:fldChar w:fldCharType="separate"/>
        </w:r>
        <w:r w:rsidR="004A715A">
          <w:rPr>
            <w:noProof/>
          </w:rPr>
          <w:t>1</w:t>
        </w:r>
        <w:r w:rsidRPr="00D55BA2">
          <w:fldChar w:fldCharType="end"/>
        </w:r>
      </w:p>
      <w:p w14:paraId="13FB4644" w14:textId="25D68D68" w:rsidR="0050061B" w:rsidRPr="00D55BA2" w:rsidRDefault="0050061B">
        <w:pPr>
          <w:pStyle w:val="Header"/>
          <w:jc w:val="right"/>
        </w:pPr>
        <w:r w:rsidRPr="00D55BA2">
          <w:t>HH</w:t>
        </w:r>
        <w:r w:rsidR="00684661">
          <w:t xml:space="preserve"> 442</w:t>
        </w:r>
        <w:r w:rsidR="007226BD">
          <w:t xml:space="preserve"> </w:t>
        </w:r>
        <w:r w:rsidR="008C31E5" w:rsidRPr="00D55BA2">
          <w:t>/2</w:t>
        </w:r>
        <w:r w:rsidR="005A4B57">
          <w:t>6</w:t>
        </w:r>
        <w:r w:rsidR="00C67540" w:rsidRPr="00D55BA2">
          <w:t xml:space="preserve"> </w:t>
        </w:r>
      </w:p>
      <w:p w14:paraId="1C56E07F" w14:textId="40D80580" w:rsidR="0050061B" w:rsidRPr="00D55BA2" w:rsidRDefault="0050061B" w:rsidP="00092EB4">
        <w:pPr>
          <w:pStyle w:val="Header"/>
          <w:jc w:val="right"/>
        </w:pPr>
        <w:r w:rsidRPr="00D55BA2">
          <w:t>HCH</w:t>
        </w:r>
        <w:r w:rsidR="00F347E7" w:rsidRPr="00D55BA2">
          <w:t xml:space="preserve">C </w:t>
        </w:r>
        <w:r w:rsidR="00092EB4">
          <w:t>482</w:t>
        </w:r>
        <w:r w:rsidR="00F347E7" w:rsidRPr="00D55BA2">
          <w:t>/25</w:t>
        </w:r>
      </w:p>
    </w:sdtContent>
  </w:sdt>
  <w:p w14:paraId="45CCDEA2" w14:textId="77777777" w:rsidR="0050061B" w:rsidRPr="00D55BA2" w:rsidRDefault="0050061B">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TldEv1M1" int2:invalidationBookmarkName="" int2:hashCode="7Fjj1UCNOWCG15" int2:id="ELDEPc1c">
      <int2:state int2:value="Rejected" int2:type="gram"/>
    </int2:bookmark>
    <int2:bookmark int2:bookmarkName="_Int_8CrUUHqu" int2:invalidationBookmarkName="" int2:hashCode="yIxiwsoLtgKuGw" int2:id="08PymOyG">
      <int2:state int2:value="Rejected" int2:type="style"/>
    </int2:bookmark>
  </int2:observations>
  <int2:intelligenceSettings/>
  <int2:onDemandWorkflow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7422D"/>
    <w:multiLevelType w:val="hybridMultilevel"/>
    <w:tmpl w:val="0DC6EAD4"/>
    <w:lvl w:ilvl="0" w:tplc="E7BE213A">
      <w:start w:val="1"/>
      <w:numFmt w:val="lowerLetter"/>
      <w:lvlText w:val="%1."/>
      <w:lvlJc w:val="left"/>
      <w:pPr>
        <w:ind w:left="2007" w:hanging="360"/>
      </w:pPr>
      <w:rPr>
        <w:rFonts w:hint="default"/>
      </w:rPr>
    </w:lvl>
    <w:lvl w:ilvl="1" w:tplc="30090019" w:tentative="1">
      <w:start w:val="1"/>
      <w:numFmt w:val="lowerLetter"/>
      <w:lvlText w:val="%2."/>
      <w:lvlJc w:val="left"/>
      <w:pPr>
        <w:ind w:left="2727" w:hanging="360"/>
      </w:pPr>
    </w:lvl>
    <w:lvl w:ilvl="2" w:tplc="3009001B" w:tentative="1">
      <w:start w:val="1"/>
      <w:numFmt w:val="lowerRoman"/>
      <w:lvlText w:val="%3."/>
      <w:lvlJc w:val="right"/>
      <w:pPr>
        <w:ind w:left="3447" w:hanging="180"/>
      </w:pPr>
    </w:lvl>
    <w:lvl w:ilvl="3" w:tplc="3009000F" w:tentative="1">
      <w:start w:val="1"/>
      <w:numFmt w:val="decimal"/>
      <w:lvlText w:val="%4."/>
      <w:lvlJc w:val="left"/>
      <w:pPr>
        <w:ind w:left="4167" w:hanging="360"/>
      </w:pPr>
    </w:lvl>
    <w:lvl w:ilvl="4" w:tplc="30090019" w:tentative="1">
      <w:start w:val="1"/>
      <w:numFmt w:val="lowerLetter"/>
      <w:lvlText w:val="%5."/>
      <w:lvlJc w:val="left"/>
      <w:pPr>
        <w:ind w:left="4887" w:hanging="360"/>
      </w:pPr>
    </w:lvl>
    <w:lvl w:ilvl="5" w:tplc="3009001B" w:tentative="1">
      <w:start w:val="1"/>
      <w:numFmt w:val="lowerRoman"/>
      <w:lvlText w:val="%6."/>
      <w:lvlJc w:val="right"/>
      <w:pPr>
        <w:ind w:left="5607" w:hanging="180"/>
      </w:pPr>
    </w:lvl>
    <w:lvl w:ilvl="6" w:tplc="3009000F" w:tentative="1">
      <w:start w:val="1"/>
      <w:numFmt w:val="decimal"/>
      <w:lvlText w:val="%7."/>
      <w:lvlJc w:val="left"/>
      <w:pPr>
        <w:ind w:left="6327" w:hanging="360"/>
      </w:pPr>
    </w:lvl>
    <w:lvl w:ilvl="7" w:tplc="30090019" w:tentative="1">
      <w:start w:val="1"/>
      <w:numFmt w:val="lowerLetter"/>
      <w:lvlText w:val="%8."/>
      <w:lvlJc w:val="left"/>
      <w:pPr>
        <w:ind w:left="7047" w:hanging="360"/>
      </w:pPr>
    </w:lvl>
    <w:lvl w:ilvl="8" w:tplc="3009001B" w:tentative="1">
      <w:start w:val="1"/>
      <w:numFmt w:val="lowerRoman"/>
      <w:lvlText w:val="%9."/>
      <w:lvlJc w:val="right"/>
      <w:pPr>
        <w:ind w:left="7767" w:hanging="180"/>
      </w:pPr>
    </w:lvl>
  </w:abstractNum>
  <w:abstractNum w:abstractNumId="1">
    <w:nsid w:val="12F97E5D"/>
    <w:multiLevelType w:val="hybridMultilevel"/>
    <w:tmpl w:val="1DF25252"/>
    <w:lvl w:ilvl="0" w:tplc="30090019">
      <w:start w:val="1"/>
      <w:numFmt w:val="lowerLetter"/>
      <w:lvlText w:val="%1."/>
      <w:lvlJc w:val="left"/>
      <w:pPr>
        <w:ind w:left="927" w:hanging="360"/>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2">
    <w:nsid w:val="16CA0293"/>
    <w:multiLevelType w:val="hybridMultilevel"/>
    <w:tmpl w:val="9AA886B8"/>
    <w:lvl w:ilvl="0" w:tplc="FFFFFFFF">
      <w:start w:val="1"/>
      <w:numFmt w:val="decimal"/>
      <w:lvlText w:val="[%1]"/>
      <w:lvlJc w:val="left"/>
      <w:pPr>
        <w:ind w:left="502" w:hanging="360"/>
      </w:pPr>
      <w:rPr>
        <w:rFonts w:hint="default"/>
        <w:b w:val="0"/>
        <w:bCs w:val="0"/>
        <w:i w:val="0"/>
        <w:iCs w:val="0"/>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nsid w:val="1DC8472D"/>
    <w:multiLevelType w:val="hybridMultilevel"/>
    <w:tmpl w:val="1AD249C8"/>
    <w:lvl w:ilvl="0" w:tplc="CF12A100">
      <w:start w:val="1"/>
      <w:numFmt w:val="lowerRoman"/>
      <w:lvlText w:val="%1."/>
      <w:lvlJc w:val="left"/>
      <w:pPr>
        <w:ind w:left="1647" w:hanging="720"/>
      </w:pPr>
      <w:rPr>
        <w:rFonts w:hint="default"/>
        <w:b w:val="0"/>
        <w:u w:val="none"/>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4">
    <w:nsid w:val="27FC1DE5"/>
    <w:multiLevelType w:val="hybridMultilevel"/>
    <w:tmpl w:val="612064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29640A07"/>
    <w:multiLevelType w:val="multilevel"/>
    <w:tmpl w:val="29640A07"/>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EFF3BCF"/>
    <w:multiLevelType w:val="hybridMultilevel"/>
    <w:tmpl w:val="338E3E62"/>
    <w:lvl w:ilvl="0" w:tplc="E598BA5E">
      <w:start w:val="1"/>
      <w:numFmt w:val="decimal"/>
      <w:lvlText w:val="%1."/>
      <w:lvlJc w:val="left"/>
      <w:pPr>
        <w:ind w:left="927" w:hanging="360"/>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7">
    <w:nsid w:val="375D1E44"/>
    <w:multiLevelType w:val="hybridMultilevel"/>
    <w:tmpl w:val="0D62C104"/>
    <w:lvl w:ilvl="0" w:tplc="3009001B">
      <w:start w:val="1"/>
      <w:numFmt w:val="lowerRoman"/>
      <w:lvlText w:val="%1."/>
      <w:lvlJc w:val="right"/>
      <w:pPr>
        <w:ind w:left="1440" w:hanging="360"/>
      </w:pPr>
      <w:rPr>
        <w:rFonts w:hint="default"/>
        <w:b w:val="0"/>
        <w:u w:val="none"/>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8">
    <w:nsid w:val="3DD60C1D"/>
    <w:multiLevelType w:val="hybridMultilevel"/>
    <w:tmpl w:val="485414CC"/>
    <w:lvl w:ilvl="0" w:tplc="437A2ED4">
      <w:start w:val="1"/>
      <w:numFmt w:val="decimal"/>
      <w:lvlText w:val="[%1]"/>
      <w:lvlJc w:val="left"/>
      <w:pPr>
        <w:ind w:left="360" w:hanging="360"/>
      </w:pPr>
      <w:rPr>
        <w:rFonts w:ascii="Times New Roman" w:hAnsi="Times New Roman" w:cs="Times New Roman" w:hint="default"/>
        <w:b w:val="0"/>
        <w:i w:val="0"/>
        <w:color w:val="auto"/>
        <w:sz w:val="24"/>
        <w:szCs w:val="24"/>
      </w:rPr>
    </w:lvl>
    <w:lvl w:ilvl="1" w:tplc="30090019">
      <w:start w:val="1"/>
      <w:numFmt w:val="lowerLetter"/>
      <w:lvlText w:val="%2."/>
      <w:lvlJc w:val="left"/>
      <w:pPr>
        <w:ind w:left="731" w:hanging="360"/>
      </w:pPr>
    </w:lvl>
    <w:lvl w:ilvl="2" w:tplc="3009001B" w:tentative="1">
      <w:start w:val="1"/>
      <w:numFmt w:val="lowerRoman"/>
      <w:lvlText w:val="%3."/>
      <w:lvlJc w:val="right"/>
      <w:pPr>
        <w:ind w:left="1451" w:hanging="180"/>
      </w:pPr>
    </w:lvl>
    <w:lvl w:ilvl="3" w:tplc="3009000F" w:tentative="1">
      <w:start w:val="1"/>
      <w:numFmt w:val="decimal"/>
      <w:lvlText w:val="%4."/>
      <w:lvlJc w:val="left"/>
      <w:pPr>
        <w:ind w:left="2171" w:hanging="360"/>
      </w:pPr>
    </w:lvl>
    <w:lvl w:ilvl="4" w:tplc="30090019" w:tentative="1">
      <w:start w:val="1"/>
      <w:numFmt w:val="lowerLetter"/>
      <w:lvlText w:val="%5."/>
      <w:lvlJc w:val="left"/>
      <w:pPr>
        <w:ind w:left="2891" w:hanging="360"/>
      </w:pPr>
    </w:lvl>
    <w:lvl w:ilvl="5" w:tplc="3009001B" w:tentative="1">
      <w:start w:val="1"/>
      <w:numFmt w:val="lowerRoman"/>
      <w:lvlText w:val="%6."/>
      <w:lvlJc w:val="right"/>
      <w:pPr>
        <w:ind w:left="3611" w:hanging="180"/>
      </w:pPr>
    </w:lvl>
    <w:lvl w:ilvl="6" w:tplc="3009000F" w:tentative="1">
      <w:start w:val="1"/>
      <w:numFmt w:val="decimal"/>
      <w:lvlText w:val="%7."/>
      <w:lvlJc w:val="left"/>
      <w:pPr>
        <w:ind w:left="4331" w:hanging="360"/>
      </w:pPr>
    </w:lvl>
    <w:lvl w:ilvl="7" w:tplc="30090019" w:tentative="1">
      <w:start w:val="1"/>
      <w:numFmt w:val="lowerLetter"/>
      <w:lvlText w:val="%8."/>
      <w:lvlJc w:val="left"/>
      <w:pPr>
        <w:ind w:left="5051" w:hanging="360"/>
      </w:pPr>
    </w:lvl>
    <w:lvl w:ilvl="8" w:tplc="3009001B" w:tentative="1">
      <w:start w:val="1"/>
      <w:numFmt w:val="lowerRoman"/>
      <w:lvlText w:val="%9."/>
      <w:lvlJc w:val="right"/>
      <w:pPr>
        <w:ind w:left="5771" w:hanging="180"/>
      </w:pPr>
    </w:lvl>
  </w:abstractNum>
  <w:abstractNum w:abstractNumId="9">
    <w:nsid w:val="49BF65CE"/>
    <w:multiLevelType w:val="hybridMultilevel"/>
    <w:tmpl w:val="B4B62DF6"/>
    <w:lvl w:ilvl="0" w:tplc="74BCC48E">
      <w:start w:val="1"/>
      <w:numFmt w:val="decimal"/>
      <w:lvlText w:val="[%1]"/>
      <w:lvlJc w:val="left"/>
      <w:pPr>
        <w:ind w:left="502" w:hanging="360"/>
      </w:pPr>
      <w:rPr>
        <w:rFonts w:hint="default"/>
        <w:b w:val="0"/>
        <w:bCs w:val="0"/>
        <w:i w:val="0"/>
        <w:iCs w:val="0"/>
        <w:sz w:val="24"/>
        <w:szCs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9"/>
  </w:num>
  <w:num w:numId="2">
    <w:abstractNumId w:val="4"/>
  </w:num>
  <w:num w:numId="3">
    <w:abstractNumId w:val="6"/>
  </w:num>
  <w:num w:numId="4">
    <w:abstractNumId w:val="3"/>
  </w:num>
  <w:num w:numId="5">
    <w:abstractNumId w:val="0"/>
  </w:num>
  <w:num w:numId="6">
    <w:abstractNumId w:val="7"/>
  </w:num>
  <w:num w:numId="7">
    <w:abstractNumId w:val="8"/>
  </w:num>
  <w:num w:numId="8">
    <w:abstractNumId w:val="1"/>
  </w:num>
  <w:num w:numId="9">
    <w:abstractNumId w:val="5"/>
  </w:num>
  <w:num w:numId="1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1B"/>
    <w:rsid w:val="000048D9"/>
    <w:rsid w:val="00007D43"/>
    <w:rsid w:val="00013926"/>
    <w:rsid w:val="00013EF9"/>
    <w:rsid w:val="00015178"/>
    <w:rsid w:val="00016E13"/>
    <w:rsid w:val="0002765D"/>
    <w:rsid w:val="000306C6"/>
    <w:rsid w:val="00031B93"/>
    <w:rsid w:val="00034FD1"/>
    <w:rsid w:val="000364D6"/>
    <w:rsid w:val="00036F86"/>
    <w:rsid w:val="00036FAF"/>
    <w:rsid w:val="0004184A"/>
    <w:rsid w:val="00043079"/>
    <w:rsid w:val="0004410C"/>
    <w:rsid w:val="000464F3"/>
    <w:rsid w:val="000477FC"/>
    <w:rsid w:val="00047C97"/>
    <w:rsid w:val="00062491"/>
    <w:rsid w:val="00062645"/>
    <w:rsid w:val="00065E06"/>
    <w:rsid w:val="00066B11"/>
    <w:rsid w:val="000670A3"/>
    <w:rsid w:val="00067CF6"/>
    <w:rsid w:val="00070A29"/>
    <w:rsid w:val="00073694"/>
    <w:rsid w:val="00080BF6"/>
    <w:rsid w:val="00082590"/>
    <w:rsid w:val="00082FDA"/>
    <w:rsid w:val="0008328F"/>
    <w:rsid w:val="00085315"/>
    <w:rsid w:val="00086325"/>
    <w:rsid w:val="00092EB4"/>
    <w:rsid w:val="0009387F"/>
    <w:rsid w:val="0009569E"/>
    <w:rsid w:val="00095E70"/>
    <w:rsid w:val="000A115C"/>
    <w:rsid w:val="000A332D"/>
    <w:rsid w:val="000A3418"/>
    <w:rsid w:val="000A66D6"/>
    <w:rsid w:val="000B0762"/>
    <w:rsid w:val="000B0D57"/>
    <w:rsid w:val="000B1500"/>
    <w:rsid w:val="000B41EC"/>
    <w:rsid w:val="000B747D"/>
    <w:rsid w:val="000C126C"/>
    <w:rsid w:val="000C4EB4"/>
    <w:rsid w:val="000C65BC"/>
    <w:rsid w:val="000C75CB"/>
    <w:rsid w:val="000C77EB"/>
    <w:rsid w:val="000D0653"/>
    <w:rsid w:val="000D33FF"/>
    <w:rsid w:val="000D4128"/>
    <w:rsid w:val="000E0E49"/>
    <w:rsid w:val="000E539B"/>
    <w:rsid w:val="000E59F6"/>
    <w:rsid w:val="000E5A34"/>
    <w:rsid w:val="000E6DC8"/>
    <w:rsid w:val="000F5844"/>
    <w:rsid w:val="000F691D"/>
    <w:rsid w:val="00103862"/>
    <w:rsid w:val="0011036B"/>
    <w:rsid w:val="001152C0"/>
    <w:rsid w:val="00117154"/>
    <w:rsid w:val="00122917"/>
    <w:rsid w:val="00126000"/>
    <w:rsid w:val="00130CD2"/>
    <w:rsid w:val="00133196"/>
    <w:rsid w:val="00136D03"/>
    <w:rsid w:val="00137FEC"/>
    <w:rsid w:val="001449D2"/>
    <w:rsid w:val="00144A6B"/>
    <w:rsid w:val="00146EB9"/>
    <w:rsid w:val="001470B7"/>
    <w:rsid w:val="00153DB4"/>
    <w:rsid w:val="0015535F"/>
    <w:rsid w:val="001557F7"/>
    <w:rsid w:val="0015766D"/>
    <w:rsid w:val="0015779C"/>
    <w:rsid w:val="00161C50"/>
    <w:rsid w:val="00163A00"/>
    <w:rsid w:val="00166D7E"/>
    <w:rsid w:val="00171128"/>
    <w:rsid w:val="001726A0"/>
    <w:rsid w:val="00174ACB"/>
    <w:rsid w:val="00175350"/>
    <w:rsid w:val="00177BCB"/>
    <w:rsid w:val="001849BD"/>
    <w:rsid w:val="001866B4"/>
    <w:rsid w:val="001904A7"/>
    <w:rsid w:val="0019157B"/>
    <w:rsid w:val="0019274A"/>
    <w:rsid w:val="00193342"/>
    <w:rsid w:val="00194ACB"/>
    <w:rsid w:val="00197DBF"/>
    <w:rsid w:val="001A06E5"/>
    <w:rsid w:val="001A2261"/>
    <w:rsid w:val="001A26FF"/>
    <w:rsid w:val="001B3E8D"/>
    <w:rsid w:val="001B659D"/>
    <w:rsid w:val="001B67A3"/>
    <w:rsid w:val="001C0155"/>
    <w:rsid w:val="001C7019"/>
    <w:rsid w:val="001D04DA"/>
    <w:rsid w:val="001D65B7"/>
    <w:rsid w:val="001D766F"/>
    <w:rsid w:val="001E729A"/>
    <w:rsid w:val="001F48ED"/>
    <w:rsid w:val="001F4ABD"/>
    <w:rsid w:val="001F7F91"/>
    <w:rsid w:val="00202B01"/>
    <w:rsid w:val="00203141"/>
    <w:rsid w:val="00204600"/>
    <w:rsid w:val="00207A3D"/>
    <w:rsid w:val="002123E9"/>
    <w:rsid w:val="002139CB"/>
    <w:rsid w:val="0021406C"/>
    <w:rsid w:val="002147FE"/>
    <w:rsid w:val="00216489"/>
    <w:rsid w:val="00216A53"/>
    <w:rsid w:val="00221185"/>
    <w:rsid w:val="0022203C"/>
    <w:rsid w:val="00223083"/>
    <w:rsid w:val="00223BF1"/>
    <w:rsid w:val="00224C8A"/>
    <w:rsid w:val="0022522D"/>
    <w:rsid w:val="00227843"/>
    <w:rsid w:val="00231437"/>
    <w:rsid w:val="00233517"/>
    <w:rsid w:val="0023397B"/>
    <w:rsid w:val="00235887"/>
    <w:rsid w:val="00236238"/>
    <w:rsid w:val="00240A7A"/>
    <w:rsid w:val="00243CEE"/>
    <w:rsid w:val="0024738A"/>
    <w:rsid w:val="00250D24"/>
    <w:rsid w:val="00252C65"/>
    <w:rsid w:val="00252E4B"/>
    <w:rsid w:val="00252EC6"/>
    <w:rsid w:val="002539C3"/>
    <w:rsid w:val="00256BC0"/>
    <w:rsid w:val="002624D2"/>
    <w:rsid w:val="00263695"/>
    <w:rsid w:val="00264A48"/>
    <w:rsid w:val="002662D6"/>
    <w:rsid w:val="00277EBB"/>
    <w:rsid w:val="00277EDA"/>
    <w:rsid w:val="002825C4"/>
    <w:rsid w:val="00282FDE"/>
    <w:rsid w:val="00283AAE"/>
    <w:rsid w:val="00285ABA"/>
    <w:rsid w:val="00286A63"/>
    <w:rsid w:val="00287AD4"/>
    <w:rsid w:val="00287DE2"/>
    <w:rsid w:val="00290123"/>
    <w:rsid w:val="00296D0F"/>
    <w:rsid w:val="00297552"/>
    <w:rsid w:val="002A0214"/>
    <w:rsid w:val="002A2964"/>
    <w:rsid w:val="002A4337"/>
    <w:rsid w:val="002B08EA"/>
    <w:rsid w:val="002B10C8"/>
    <w:rsid w:val="002B1A49"/>
    <w:rsid w:val="002B2FC6"/>
    <w:rsid w:val="002B3DA9"/>
    <w:rsid w:val="002B56DC"/>
    <w:rsid w:val="002B63E5"/>
    <w:rsid w:val="002B7E93"/>
    <w:rsid w:val="002C12C5"/>
    <w:rsid w:val="002C5A01"/>
    <w:rsid w:val="002C5A64"/>
    <w:rsid w:val="002D115C"/>
    <w:rsid w:val="002D1560"/>
    <w:rsid w:val="002D47F5"/>
    <w:rsid w:val="002D4B1F"/>
    <w:rsid w:val="002D7994"/>
    <w:rsid w:val="002E370D"/>
    <w:rsid w:val="002E611A"/>
    <w:rsid w:val="002F0D7C"/>
    <w:rsid w:val="002F392E"/>
    <w:rsid w:val="002F4EAC"/>
    <w:rsid w:val="002F65E9"/>
    <w:rsid w:val="002F71E2"/>
    <w:rsid w:val="002F7CF6"/>
    <w:rsid w:val="0030695B"/>
    <w:rsid w:val="00306BCC"/>
    <w:rsid w:val="00306F12"/>
    <w:rsid w:val="00307C61"/>
    <w:rsid w:val="00310306"/>
    <w:rsid w:val="00313602"/>
    <w:rsid w:val="003139A0"/>
    <w:rsid w:val="003142CA"/>
    <w:rsid w:val="00314C4C"/>
    <w:rsid w:val="00322821"/>
    <w:rsid w:val="003228EE"/>
    <w:rsid w:val="003277C9"/>
    <w:rsid w:val="003303EA"/>
    <w:rsid w:val="00330BE1"/>
    <w:rsid w:val="00336654"/>
    <w:rsid w:val="00336899"/>
    <w:rsid w:val="00336E42"/>
    <w:rsid w:val="00341A06"/>
    <w:rsid w:val="00346109"/>
    <w:rsid w:val="00347BCF"/>
    <w:rsid w:val="00350A6C"/>
    <w:rsid w:val="00354B53"/>
    <w:rsid w:val="0036068B"/>
    <w:rsid w:val="00361C13"/>
    <w:rsid w:val="00363A66"/>
    <w:rsid w:val="00363FCB"/>
    <w:rsid w:val="00367339"/>
    <w:rsid w:val="00367522"/>
    <w:rsid w:val="00372A84"/>
    <w:rsid w:val="003742D2"/>
    <w:rsid w:val="00380E7C"/>
    <w:rsid w:val="003852F7"/>
    <w:rsid w:val="00385806"/>
    <w:rsid w:val="00386500"/>
    <w:rsid w:val="00387198"/>
    <w:rsid w:val="00391288"/>
    <w:rsid w:val="00392035"/>
    <w:rsid w:val="0039234D"/>
    <w:rsid w:val="0039415C"/>
    <w:rsid w:val="00394A91"/>
    <w:rsid w:val="003960CE"/>
    <w:rsid w:val="003A036A"/>
    <w:rsid w:val="003A11FC"/>
    <w:rsid w:val="003A1A33"/>
    <w:rsid w:val="003A1AD4"/>
    <w:rsid w:val="003A561E"/>
    <w:rsid w:val="003A62FE"/>
    <w:rsid w:val="003A6BA2"/>
    <w:rsid w:val="003A7108"/>
    <w:rsid w:val="003A764D"/>
    <w:rsid w:val="003B561A"/>
    <w:rsid w:val="003C17E4"/>
    <w:rsid w:val="003C4388"/>
    <w:rsid w:val="003C459D"/>
    <w:rsid w:val="003D3F46"/>
    <w:rsid w:val="003D5D70"/>
    <w:rsid w:val="003E1EFC"/>
    <w:rsid w:val="003E265A"/>
    <w:rsid w:val="003E43A9"/>
    <w:rsid w:val="003E655B"/>
    <w:rsid w:val="003E6665"/>
    <w:rsid w:val="003E79C2"/>
    <w:rsid w:val="003F0F21"/>
    <w:rsid w:val="003F1262"/>
    <w:rsid w:val="00400D75"/>
    <w:rsid w:val="004023BB"/>
    <w:rsid w:val="00402674"/>
    <w:rsid w:val="00402C3E"/>
    <w:rsid w:val="004033CC"/>
    <w:rsid w:val="00412EA8"/>
    <w:rsid w:val="00412FB4"/>
    <w:rsid w:val="00413720"/>
    <w:rsid w:val="00414885"/>
    <w:rsid w:val="004174E3"/>
    <w:rsid w:val="0042333A"/>
    <w:rsid w:val="00423972"/>
    <w:rsid w:val="00423EDF"/>
    <w:rsid w:val="004240B4"/>
    <w:rsid w:val="00424ED8"/>
    <w:rsid w:val="00427D9B"/>
    <w:rsid w:val="0043143E"/>
    <w:rsid w:val="004413C0"/>
    <w:rsid w:val="0044143D"/>
    <w:rsid w:val="0044258B"/>
    <w:rsid w:val="00446E82"/>
    <w:rsid w:val="00446ED3"/>
    <w:rsid w:val="00447A72"/>
    <w:rsid w:val="00447E80"/>
    <w:rsid w:val="00451A88"/>
    <w:rsid w:val="0045719D"/>
    <w:rsid w:val="00457437"/>
    <w:rsid w:val="00464239"/>
    <w:rsid w:val="00464A5F"/>
    <w:rsid w:val="00464BEE"/>
    <w:rsid w:val="00465642"/>
    <w:rsid w:val="00465740"/>
    <w:rsid w:val="00470C5C"/>
    <w:rsid w:val="0047483D"/>
    <w:rsid w:val="00475E81"/>
    <w:rsid w:val="004762F4"/>
    <w:rsid w:val="00477A6A"/>
    <w:rsid w:val="00477B0D"/>
    <w:rsid w:val="0048356E"/>
    <w:rsid w:val="00487561"/>
    <w:rsid w:val="0049038F"/>
    <w:rsid w:val="0049051E"/>
    <w:rsid w:val="0049080C"/>
    <w:rsid w:val="00490BE1"/>
    <w:rsid w:val="00492CEA"/>
    <w:rsid w:val="00496BCE"/>
    <w:rsid w:val="00496F72"/>
    <w:rsid w:val="00497E65"/>
    <w:rsid w:val="004A013F"/>
    <w:rsid w:val="004A1D96"/>
    <w:rsid w:val="004A224C"/>
    <w:rsid w:val="004A22A8"/>
    <w:rsid w:val="004A6B2D"/>
    <w:rsid w:val="004A715A"/>
    <w:rsid w:val="004A79B9"/>
    <w:rsid w:val="004B6680"/>
    <w:rsid w:val="004C27F1"/>
    <w:rsid w:val="004C36B5"/>
    <w:rsid w:val="004C58EE"/>
    <w:rsid w:val="004D120C"/>
    <w:rsid w:val="004D2E95"/>
    <w:rsid w:val="004D469B"/>
    <w:rsid w:val="004D5659"/>
    <w:rsid w:val="004D79D1"/>
    <w:rsid w:val="004E1991"/>
    <w:rsid w:val="004E413F"/>
    <w:rsid w:val="004E505C"/>
    <w:rsid w:val="004F31AF"/>
    <w:rsid w:val="004F3BC9"/>
    <w:rsid w:val="004F6C10"/>
    <w:rsid w:val="0050061B"/>
    <w:rsid w:val="00500E0F"/>
    <w:rsid w:val="0050162C"/>
    <w:rsid w:val="005021B9"/>
    <w:rsid w:val="005042A5"/>
    <w:rsid w:val="005077D9"/>
    <w:rsid w:val="00507E1B"/>
    <w:rsid w:val="00510609"/>
    <w:rsid w:val="00515C93"/>
    <w:rsid w:val="005171DA"/>
    <w:rsid w:val="00521DEB"/>
    <w:rsid w:val="00525218"/>
    <w:rsid w:val="0052561E"/>
    <w:rsid w:val="005262C9"/>
    <w:rsid w:val="0052727F"/>
    <w:rsid w:val="005322F1"/>
    <w:rsid w:val="00534FA3"/>
    <w:rsid w:val="00541646"/>
    <w:rsid w:val="0054302D"/>
    <w:rsid w:val="00543BF3"/>
    <w:rsid w:val="0054540B"/>
    <w:rsid w:val="00545B92"/>
    <w:rsid w:val="005462A0"/>
    <w:rsid w:val="005478F5"/>
    <w:rsid w:val="00553BD6"/>
    <w:rsid w:val="00557124"/>
    <w:rsid w:val="00561421"/>
    <w:rsid w:val="00561FF4"/>
    <w:rsid w:val="0056218B"/>
    <w:rsid w:val="00563CDD"/>
    <w:rsid w:val="005652D6"/>
    <w:rsid w:val="00572CCB"/>
    <w:rsid w:val="00573CCA"/>
    <w:rsid w:val="00577CC7"/>
    <w:rsid w:val="00580816"/>
    <w:rsid w:val="00580C04"/>
    <w:rsid w:val="00582A77"/>
    <w:rsid w:val="0058304B"/>
    <w:rsid w:val="005841D0"/>
    <w:rsid w:val="00586BFA"/>
    <w:rsid w:val="00587A1B"/>
    <w:rsid w:val="00587DC1"/>
    <w:rsid w:val="00590365"/>
    <w:rsid w:val="00592FAC"/>
    <w:rsid w:val="005A077F"/>
    <w:rsid w:val="005A190F"/>
    <w:rsid w:val="005A4B57"/>
    <w:rsid w:val="005A6530"/>
    <w:rsid w:val="005A7662"/>
    <w:rsid w:val="005A7BB2"/>
    <w:rsid w:val="005B131D"/>
    <w:rsid w:val="005B532B"/>
    <w:rsid w:val="005B618F"/>
    <w:rsid w:val="005C02ED"/>
    <w:rsid w:val="005C11B1"/>
    <w:rsid w:val="005C5A62"/>
    <w:rsid w:val="005C6737"/>
    <w:rsid w:val="005D5CEB"/>
    <w:rsid w:val="005D7FBE"/>
    <w:rsid w:val="005E2724"/>
    <w:rsid w:val="005E3D71"/>
    <w:rsid w:val="005F1EB1"/>
    <w:rsid w:val="005F21AC"/>
    <w:rsid w:val="005F245B"/>
    <w:rsid w:val="005F518D"/>
    <w:rsid w:val="005F620A"/>
    <w:rsid w:val="005F75B1"/>
    <w:rsid w:val="00605E5C"/>
    <w:rsid w:val="00606BD1"/>
    <w:rsid w:val="00610A1F"/>
    <w:rsid w:val="00610AA0"/>
    <w:rsid w:val="0061329D"/>
    <w:rsid w:val="0062187E"/>
    <w:rsid w:val="0062325F"/>
    <w:rsid w:val="006232AE"/>
    <w:rsid w:val="00627134"/>
    <w:rsid w:val="006317B1"/>
    <w:rsid w:val="0063709E"/>
    <w:rsid w:val="006377C6"/>
    <w:rsid w:val="00637EEA"/>
    <w:rsid w:val="006418C0"/>
    <w:rsid w:val="00642887"/>
    <w:rsid w:val="00643AAA"/>
    <w:rsid w:val="00644D55"/>
    <w:rsid w:val="00652AFD"/>
    <w:rsid w:val="00653478"/>
    <w:rsid w:val="00653A46"/>
    <w:rsid w:val="006542F1"/>
    <w:rsid w:val="00657D56"/>
    <w:rsid w:val="0066069F"/>
    <w:rsid w:val="006606DA"/>
    <w:rsid w:val="0066130D"/>
    <w:rsid w:val="006619A9"/>
    <w:rsid w:val="006636E9"/>
    <w:rsid w:val="00665E98"/>
    <w:rsid w:val="006676D2"/>
    <w:rsid w:val="0067507F"/>
    <w:rsid w:val="00675AE6"/>
    <w:rsid w:val="00676F1F"/>
    <w:rsid w:val="0067764B"/>
    <w:rsid w:val="00684661"/>
    <w:rsid w:val="00687A6F"/>
    <w:rsid w:val="00693DEA"/>
    <w:rsid w:val="006A3007"/>
    <w:rsid w:val="006A41C3"/>
    <w:rsid w:val="006A45C8"/>
    <w:rsid w:val="006A4BE7"/>
    <w:rsid w:val="006B1655"/>
    <w:rsid w:val="006B20E7"/>
    <w:rsid w:val="006B405D"/>
    <w:rsid w:val="006C00EA"/>
    <w:rsid w:val="006C0B6E"/>
    <w:rsid w:val="006C36B3"/>
    <w:rsid w:val="006C4411"/>
    <w:rsid w:val="006C4A7E"/>
    <w:rsid w:val="006D093E"/>
    <w:rsid w:val="006D24E9"/>
    <w:rsid w:val="006D3330"/>
    <w:rsid w:val="006D366A"/>
    <w:rsid w:val="006E18EC"/>
    <w:rsid w:val="006E2DA3"/>
    <w:rsid w:val="006E3F58"/>
    <w:rsid w:val="006E40E2"/>
    <w:rsid w:val="006E6815"/>
    <w:rsid w:val="006F48ED"/>
    <w:rsid w:val="006F5433"/>
    <w:rsid w:val="006F5F96"/>
    <w:rsid w:val="007000B8"/>
    <w:rsid w:val="00703483"/>
    <w:rsid w:val="00704294"/>
    <w:rsid w:val="0070471B"/>
    <w:rsid w:val="00705EDC"/>
    <w:rsid w:val="007063A0"/>
    <w:rsid w:val="00707680"/>
    <w:rsid w:val="00712C00"/>
    <w:rsid w:val="007226BD"/>
    <w:rsid w:val="007230D4"/>
    <w:rsid w:val="0072397D"/>
    <w:rsid w:val="00724CD2"/>
    <w:rsid w:val="00724D95"/>
    <w:rsid w:val="00725827"/>
    <w:rsid w:val="00725E9A"/>
    <w:rsid w:val="00726957"/>
    <w:rsid w:val="0072701F"/>
    <w:rsid w:val="007306E6"/>
    <w:rsid w:val="00737EBF"/>
    <w:rsid w:val="007408F4"/>
    <w:rsid w:val="00753FBD"/>
    <w:rsid w:val="007623BE"/>
    <w:rsid w:val="00763143"/>
    <w:rsid w:val="0076634B"/>
    <w:rsid w:val="00766C46"/>
    <w:rsid w:val="007673BA"/>
    <w:rsid w:val="00767DE1"/>
    <w:rsid w:val="007718F3"/>
    <w:rsid w:val="00774524"/>
    <w:rsid w:val="00776582"/>
    <w:rsid w:val="00776AD8"/>
    <w:rsid w:val="0078079B"/>
    <w:rsid w:val="00781D2E"/>
    <w:rsid w:val="00782044"/>
    <w:rsid w:val="00783719"/>
    <w:rsid w:val="00783965"/>
    <w:rsid w:val="00784AF9"/>
    <w:rsid w:val="00785DE1"/>
    <w:rsid w:val="00785F09"/>
    <w:rsid w:val="0078716A"/>
    <w:rsid w:val="0079187E"/>
    <w:rsid w:val="00792E9E"/>
    <w:rsid w:val="00795046"/>
    <w:rsid w:val="0079741F"/>
    <w:rsid w:val="007A4068"/>
    <w:rsid w:val="007A4132"/>
    <w:rsid w:val="007A4467"/>
    <w:rsid w:val="007A5214"/>
    <w:rsid w:val="007B0F3C"/>
    <w:rsid w:val="007B2498"/>
    <w:rsid w:val="007B30A2"/>
    <w:rsid w:val="007B35E7"/>
    <w:rsid w:val="007B423E"/>
    <w:rsid w:val="007B67EE"/>
    <w:rsid w:val="007B7DE1"/>
    <w:rsid w:val="007C05D9"/>
    <w:rsid w:val="007C16F9"/>
    <w:rsid w:val="007C46BA"/>
    <w:rsid w:val="007C5C55"/>
    <w:rsid w:val="007C6411"/>
    <w:rsid w:val="007D0A4E"/>
    <w:rsid w:val="007D28BB"/>
    <w:rsid w:val="007D29CE"/>
    <w:rsid w:val="007D2C39"/>
    <w:rsid w:val="007D67BC"/>
    <w:rsid w:val="007E06C4"/>
    <w:rsid w:val="007E309F"/>
    <w:rsid w:val="007E58B8"/>
    <w:rsid w:val="007E59AD"/>
    <w:rsid w:val="007E7038"/>
    <w:rsid w:val="007E7CFC"/>
    <w:rsid w:val="007F2C12"/>
    <w:rsid w:val="007F33DF"/>
    <w:rsid w:val="007F3B17"/>
    <w:rsid w:val="007F3F2A"/>
    <w:rsid w:val="007F782D"/>
    <w:rsid w:val="007F7A64"/>
    <w:rsid w:val="00803575"/>
    <w:rsid w:val="008035F0"/>
    <w:rsid w:val="008036AC"/>
    <w:rsid w:val="00803976"/>
    <w:rsid w:val="00804059"/>
    <w:rsid w:val="00806573"/>
    <w:rsid w:val="00807774"/>
    <w:rsid w:val="00810294"/>
    <w:rsid w:val="0081062C"/>
    <w:rsid w:val="00812D6B"/>
    <w:rsid w:val="00813F7D"/>
    <w:rsid w:val="00816F2E"/>
    <w:rsid w:val="00820FCC"/>
    <w:rsid w:val="00821E37"/>
    <w:rsid w:val="00822092"/>
    <w:rsid w:val="008233D2"/>
    <w:rsid w:val="00824988"/>
    <w:rsid w:val="00826EB2"/>
    <w:rsid w:val="008304A4"/>
    <w:rsid w:val="00831018"/>
    <w:rsid w:val="008316D2"/>
    <w:rsid w:val="00832A5A"/>
    <w:rsid w:val="00833671"/>
    <w:rsid w:val="00833C66"/>
    <w:rsid w:val="00834AB2"/>
    <w:rsid w:val="00835755"/>
    <w:rsid w:val="00836276"/>
    <w:rsid w:val="00840E81"/>
    <w:rsid w:val="00841535"/>
    <w:rsid w:val="0084301D"/>
    <w:rsid w:val="00843135"/>
    <w:rsid w:val="008440F7"/>
    <w:rsid w:val="008458A3"/>
    <w:rsid w:val="00847400"/>
    <w:rsid w:val="00847C4C"/>
    <w:rsid w:val="008500CF"/>
    <w:rsid w:val="008502E5"/>
    <w:rsid w:val="008543EF"/>
    <w:rsid w:val="00854644"/>
    <w:rsid w:val="00854706"/>
    <w:rsid w:val="008569D5"/>
    <w:rsid w:val="00856D2C"/>
    <w:rsid w:val="00860916"/>
    <w:rsid w:val="00860B7A"/>
    <w:rsid w:val="00861459"/>
    <w:rsid w:val="00861EFA"/>
    <w:rsid w:val="008630FB"/>
    <w:rsid w:val="008642C5"/>
    <w:rsid w:val="0087140F"/>
    <w:rsid w:val="008750A8"/>
    <w:rsid w:val="0088159B"/>
    <w:rsid w:val="00882432"/>
    <w:rsid w:val="008848CD"/>
    <w:rsid w:val="00884C2F"/>
    <w:rsid w:val="00892C93"/>
    <w:rsid w:val="0089383D"/>
    <w:rsid w:val="00894405"/>
    <w:rsid w:val="00894F47"/>
    <w:rsid w:val="008953D9"/>
    <w:rsid w:val="00895916"/>
    <w:rsid w:val="008A6CF1"/>
    <w:rsid w:val="008B05B7"/>
    <w:rsid w:val="008B2768"/>
    <w:rsid w:val="008B524F"/>
    <w:rsid w:val="008B569C"/>
    <w:rsid w:val="008B667B"/>
    <w:rsid w:val="008C03CE"/>
    <w:rsid w:val="008C31E5"/>
    <w:rsid w:val="008C509B"/>
    <w:rsid w:val="008C72AC"/>
    <w:rsid w:val="008C76D1"/>
    <w:rsid w:val="008D09E2"/>
    <w:rsid w:val="008D1122"/>
    <w:rsid w:val="008D24A7"/>
    <w:rsid w:val="008D25FB"/>
    <w:rsid w:val="008D266C"/>
    <w:rsid w:val="008D2CA0"/>
    <w:rsid w:val="008D6B07"/>
    <w:rsid w:val="008E0174"/>
    <w:rsid w:val="008E02AB"/>
    <w:rsid w:val="008E33FC"/>
    <w:rsid w:val="008E3EB7"/>
    <w:rsid w:val="008E711A"/>
    <w:rsid w:val="008F246E"/>
    <w:rsid w:val="008F3854"/>
    <w:rsid w:val="008F5392"/>
    <w:rsid w:val="008F551C"/>
    <w:rsid w:val="008F5AA0"/>
    <w:rsid w:val="00902AF1"/>
    <w:rsid w:val="0090347A"/>
    <w:rsid w:val="009035A0"/>
    <w:rsid w:val="009068BC"/>
    <w:rsid w:val="00911732"/>
    <w:rsid w:val="00913903"/>
    <w:rsid w:val="0091567E"/>
    <w:rsid w:val="0092053D"/>
    <w:rsid w:val="009252D6"/>
    <w:rsid w:val="009340F3"/>
    <w:rsid w:val="00936A21"/>
    <w:rsid w:val="00936E21"/>
    <w:rsid w:val="009374D3"/>
    <w:rsid w:val="0094163C"/>
    <w:rsid w:val="009449DD"/>
    <w:rsid w:val="00945952"/>
    <w:rsid w:val="00951D11"/>
    <w:rsid w:val="0095283C"/>
    <w:rsid w:val="0095335B"/>
    <w:rsid w:val="00956BC3"/>
    <w:rsid w:val="0096579C"/>
    <w:rsid w:val="00965D4A"/>
    <w:rsid w:val="0097534B"/>
    <w:rsid w:val="00975D1A"/>
    <w:rsid w:val="00976DE3"/>
    <w:rsid w:val="00981F85"/>
    <w:rsid w:val="00983CF0"/>
    <w:rsid w:val="00985DF4"/>
    <w:rsid w:val="009864AB"/>
    <w:rsid w:val="0099312E"/>
    <w:rsid w:val="00995E40"/>
    <w:rsid w:val="009977D5"/>
    <w:rsid w:val="009A309A"/>
    <w:rsid w:val="009B065A"/>
    <w:rsid w:val="009B0AD2"/>
    <w:rsid w:val="009B1D9C"/>
    <w:rsid w:val="009B1EAB"/>
    <w:rsid w:val="009B23B7"/>
    <w:rsid w:val="009B2B2E"/>
    <w:rsid w:val="009B42CF"/>
    <w:rsid w:val="009B6A5F"/>
    <w:rsid w:val="009B6BAB"/>
    <w:rsid w:val="009C4AF0"/>
    <w:rsid w:val="009C777F"/>
    <w:rsid w:val="009C798D"/>
    <w:rsid w:val="009C7E7D"/>
    <w:rsid w:val="009D025B"/>
    <w:rsid w:val="009D67E9"/>
    <w:rsid w:val="009D6BD9"/>
    <w:rsid w:val="009F1C35"/>
    <w:rsid w:val="009F4317"/>
    <w:rsid w:val="009F46A3"/>
    <w:rsid w:val="009F5836"/>
    <w:rsid w:val="00A02359"/>
    <w:rsid w:val="00A04535"/>
    <w:rsid w:val="00A058F4"/>
    <w:rsid w:val="00A05971"/>
    <w:rsid w:val="00A0653E"/>
    <w:rsid w:val="00A07615"/>
    <w:rsid w:val="00A11F05"/>
    <w:rsid w:val="00A11FFE"/>
    <w:rsid w:val="00A133F2"/>
    <w:rsid w:val="00A152C2"/>
    <w:rsid w:val="00A17BD0"/>
    <w:rsid w:val="00A17F24"/>
    <w:rsid w:val="00A20C16"/>
    <w:rsid w:val="00A27247"/>
    <w:rsid w:val="00A272D3"/>
    <w:rsid w:val="00A31895"/>
    <w:rsid w:val="00A32CA6"/>
    <w:rsid w:val="00A33900"/>
    <w:rsid w:val="00A41C65"/>
    <w:rsid w:val="00A4279A"/>
    <w:rsid w:val="00A4578C"/>
    <w:rsid w:val="00A462C5"/>
    <w:rsid w:val="00A46B45"/>
    <w:rsid w:val="00A46F63"/>
    <w:rsid w:val="00A50138"/>
    <w:rsid w:val="00A504CA"/>
    <w:rsid w:val="00A52543"/>
    <w:rsid w:val="00A525DE"/>
    <w:rsid w:val="00A5420B"/>
    <w:rsid w:val="00A54C2F"/>
    <w:rsid w:val="00A62E77"/>
    <w:rsid w:val="00A62F3D"/>
    <w:rsid w:val="00A65A92"/>
    <w:rsid w:val="00A65CFD"/>
    <w:rsid w:val="00A67852"/>
    <w:rsid w:val="00A67D09"/>
    <w:rsid w:val="00A701A0"/>
    <w:rsid w:val="00A727CF"/>
    <w:rsid w:val="00A73524"/>
    <w:rsid w:val="00A73CD4"/>
    <w:rsid w:val="00A8251A"/>
    <w:rsid w:val="00A82C90"/>
    <w:rsid w:val="00A82D92"/>
    <w:rsid w:val="00A8432D"/>
    <w:rsid w:val="00A848AF"/>
    <w:rsid w:val="00A84C34"/>
    <w:rsid w:val="00A90358"/>
    <w:rsid w:val="00A95459"/>
    <w:rsid w:val="00A9660E"/>
    <w:rsid w:val="00AA6276"/>
    <w:rsid w:val="00AB0FA9"/>
    <w:rsid w:val="00AB1DBC"/>
    <w:rsid w:val="00AB587C"/>
    <w:rsid w:val="00AB5D11"/>
    <w:rsid w:val="00AB67DD"/>
    <w:rsid w:val="00AB75F4"/>
    <w:rsid w:val="00AC148E"/>
    <w:rsid w:val="00AC788C"/>
    <w:rsid w:val="00AD0401"/>
    <w:rsid w:val="00AD088A"/>
    <w:rsid w:val="00AD26BD"/>
    <w:rsid w:val="00AD4D30"/>
    <w:rsid w:val="00AD523F"/>
    <w:rsid w:val="00AD6876"/>
    <w:rsid w:val="00AD743F"/>
    <w:rsid w:val="00AD7B84"/>
    <w:rsid w:val="00AE160D"/>
    <w:rsid w:val="00AE4841"/>
    <w:rsid w:val="00AE628F"/>
    <w:rsid w:val="00AE6390"/>
    <w:rsid w:val="00AF214D"/>
    <w:rsid w:val="00AF2999"/>
    <w:rsid w:val="00AF2A7D"/>
    <w:rsid w:val="00AF2AFC"/>
    <w:rsid w:val="00AF2DF9"/>
    <w:rsid w:val="00AF4647"/>
    <w:rsid w:val="00B01BFD"/>
    <w:rsid w:val="00B022FF"/>
    <w:rsid w:val="00B02C27"/>
    <w:rsid w:val="00B05048"/>
    <w:rsid w:val="00B10CEB"/>
    <w:rsid w:val="00B21947"/>
    <w:rsid w:val="00B31421"/>
    <w:rsid w:val="00B32D28"/>
    <w:rsid w:val="00B33764"/>
    <w:rsid w:val="00B36ACA"/>
    <w:rsid w:val="00B41316"/>
    <w:rsid w:val="00B46485"/>
    <w:rsid w:val="00B46BA4"/>
    <w:rsid w:val="00B47337"/>
    <w:rsid w:val="00B5096A"/>
    <w:rsid w:val="00B53844"/>
    <w:rsid w:val="00B5630D"/>
    <w:rsid w:val="00B56381"/>
    <w:rsid w:val="00B56DCF"/>
    <w:rsid w:val="00B60B9C"/>
    <w:rsid w:val="00B63605"/>
    <w:rsid w:val="00B639F8"/>
    <w:rsid w:val="00B6655B"/>
    <w:rsid w:val="00B67DEB"/>
    <w:rsid w:val="00B70556"/>
    <w:rsid w:val="00B7306E"/>
    <w:rsid w:val="00B73CBE"/>
    <w:rsid w:val="00B7488A"/>
    <w:rsid w:val="00B77032"/>
    <w:rsid w:val="00B81626"/>
    <w:rsid w:val="00B825B0"/>
    <w:rsid w:val="00B82660"/>
    <w:rsid w:val="00B829C5"/>
    <w:rsid w:val="00B8486A"/>
    <w:rsid w:val="00B855E8"/>
    <w:rsid w:val="00B95689"/>
    <w:rsid w:val="00B960F5"/>
    <w:rsid w:val="00B9726B"/>
    <w:rsid w:val="00B97585"/>
    <w:rsid w:val="00BA0ECE"/>
    <w:rsid w:val="00BA21BC"/>
    <w:rsid w:val="00BB0611"/>
    <w:rsid w:val="00BB1DE5"/>
    <w:rsid w:val="00BB7D71"/>
    <w:rsid w:val="00BC09C1"/>
    <w:rsid w:val="00BC3268"/>
    <w:rsid w:val="00BC5465"/>
    <w:rsid w:val="00BD3330"/>
    <w:rsid w:val="00BD509C"/>
    <w:rsid w:val="00BD6E74"/>
    <w:rsid w:val="00BE33A3"/>
    <w:rsid w:val="00BE75D0"/>
    <w:rsid w:val="00BF00F7"/>
    <w:rsid w:val="00BF6300"/>
    <w:rsid w:val="00BF6BE8"/>
    <w:rsid w:val="00C00012"/>
    <w:rsid w:val="00C02099"/>
    <w:rsid w:val="00C036BE"/>
    <w:rsid w:val="00C03AE3"/>
    <w:rsid w:val="00C052D0"/>
    <w:rsid w:val="00C078AA"/>
    <w:rsid w:val="00C1070F"/>
    <w:rsid w:val="00C1272F"/>
    <w:rsid w:val="00C1526C"/>
    <w:rsid w:val="00C153B6"/>
    <w:rsid w:val="00C17038"/>
    <w:rsid w:val="00C1706B"/>
    <w:rsid w:val="00C21E19"/>
    <w:rsid w:val="00C26150"/>
    <w:rsid w:val="00C264E8"/>
    <w:rsid w:val="00C351AC"/>
    <w:rsid w:val="00C377DB"/>
    <w:rsid w:val="00C37C27"/>
    <w:rsid w:val="00C47A33"/>
    <w:rsid w:val="00C5155E"/>
    <w:rsid w:val="00C5270F"/>
    <w:rsid w:val="00C5297D"/>
    <w:rsid w:val="00C52993"/>
    <w:rsid w:val="00C52FC5"/>
    <w:rsid w:val="00C53911"/>
    <w:rsid w:val="00C5547C"/>
    <w:rsid w:val="00C56E16"/>
    <w:rsid w:val="00C56EE6"/>
    <w:rsid w:val="00C57BB4"/>
    <w:rsid w:val="00C62277"/>
    <w:rsid w:val="00C625E4"/>
    <w:rsid w:val="00C63064"/>
    <w:rsid w:val="00C634E8"/>
    <w:rsid w:val="00C650C3"/>
    <w:rsid w:val="00C65158"/>
    <w:rsid w:val="00C659B6"/>
    <w:rsid w:val="00C66267"/>
    <w:rsid w:val="00C67540"/>
    <w:rsid w:val="00C67F51"/>
    <w:rsid w:val="00C70D0C"/>
    <w:rsid w:val="00C72055"/>
    <w:rsid w:val="00C816FB"/>
    <w:rsid w:val="00C81D86"/>
    <w:rsid w:val="00C85528"/>
    <w:rsid w:val="00C8685F"/>
    <w:rsid w:val="00C92AB4"/>
    <w:rsid w:val="00C92D52"/>
    <w:rsid w:val="00CA24F3"/>
    <w:rsid w:val="00CA2CDB"/>
    <w:rsid w:val="00CA3CFC"/>
    <w:rsid w:val="00CA4C6A"/>
    <w:rsid w:val="00CA4E81"/>
    <w:rsid w:val="00CA54E4"/>
    <w:rsid w:val="00CA74D9"/>
    <w:rsid w:val="00CB09C3"/>
    <w:rsid w:val="00CB3C73"/>
    <w:rsid w:val="00CB5BC3"/>
    <w:rsid w:val="00CB5EA1"/>
    <w:rsid w:val="00CB6226"/>
    <w:rsid w:val="00CB685D"/>
    <w:rsid w:val="00CC1EDE"/>
    <w:rsid w:val="00CC50EE"/>
    <w:rsid w:val="00CC5377"/>
    <w:rsid w:val="00CC74E5"/>
    <w:rsid w:val="00CD2739"/>
    <w:rsid w:val="00CD3E75"/>
    <w:rsid w:val="00CD65D7"/>
    <w:rsid w:val="00CE2BF6"/>
    <w:rsid w:val="00CE32CD"/>
    <w:rsid w:val="00CE6359"/>
    <w:rsid w:val="00CF0ADC"/>
    <w:rsid w:val="00CF13E3"/>
    <w:rsid w:val="00CF157C"/>
    <w:rsid w:val="00CF173F"/>
    <w:rsid w:val="00CF27DE"/>
    <w:rsid w:val="00CF666B"/>
    <w:rsid w:val="00D04164"/>
    <w:rsid w:val="00D065D2"/>
    <w:rsid w:val="00D23243"/>
    <w:rsid w:val="00D2562A"/>
    <w:rsid w:val="00D25ACF"/>
    <w:rsid w:val="00D27E92"/>
    <w:rsid w:val="00D3052E"/>
    <w:rsid w:val="00D3374C"/>
    <w:rsid w:val="00D420EB"/>
    <w:rsid w:val="00D443D6"/>
    <w:rsid w:val="00D47177"/>
    <w:rsid w:val="00D517A3"/>
    <w:rsid w:val="00D55BA2"/>
    <w:rsid w:val="00D56598"/>
    <w:rsid w:val="00D6015E"/>
    <w:rsid w:val="00D61DEE"/>
    <w:rsid w:val="00D63E9C"/>
    <w:rsid w:val="00D664F9"/>
    <w:rsid w:val="00D66A0C"/>
    <w:rsid w:val="00D66E2E"/>
    <w:rsid w:val="00D72F8A"/>
    <w:rsid w:val="00D74508"/>
    <w:rsid w:val="00D77B2E"/>
    <w:rsid w:val="00D8012C"/>
    <w:rsid w:val="00D80E23"/>
    <w:rsid w:val="00D851DA"/>
    <w:rsid w:val="00D86855"/>
    <w:rsid w:val="00D91680"/>
    <w:rsid w:val="00D9205F"/>
    <w:rsid w:val="00D927D4"/>
    <w:rsid w:val="00D95066"/>
    <w:rsid w:val="00D95C5D"/>
    <w:rsid w:val="00D97683"/>
    <w:rsid w:val="00DA217A"/>
    <w:rsid w:val="00DA24C6"/>
    <w:rsid w:val="00DA2780"/>
    <w:rsid w:val="00DA2FB5"/>
    <w:rsid w:val="00DA6760"/>
    <w:rsid w:val="00DB3E90"/>
    <w:rsid w:val="00DB6C4C"/>
    <w:rsid w:val="00DB7FE2"/>
    <w:rsid w:val="00DC3D60"/>
    <w:rsid w:val="00DC4157"/>
    <w:rsid w:val="00DC5B9F"/>
    <w:rsid w:val="00DC681D"/>
    <w:rsid w:val="00DC6843"/>
    <w:rsid w:val="00DC6E95"/>
    <w:rsid w:val="00DD1418"/>
    <w:rsid w:val="00DD19DB"/>
    <w:rsid w:val="00DD425F"/>
    <w:rsid w:val="00DD56DF"/>
    <w:rsid w:val="00DD6E17"/>
    <w:rsid w:val="00DE08C2"/>
    <w:rsid w:val="00DE1884"/>
    <w:rsid w:val="00DF2338"/>
    <w:rsid w:val="00DF2576"/>
    <w:rsid w:val="00DF2ECC"/>
    <w:rsid w:val="00DF6598"/>
    <w:rsid w:val="00DF71F1"/>
    <w:rsid w:val="00DF7654"/>
    <w:rsid w:val="00E0512C"/>
    <w:rsid w:val="00E062C4"/>
    <w:rsid w:val="00E06426"/>
    <w:rsid w:val="00E07B2C"/>
    <w:rsid w:val="00E105C8"/>
    <w:rsid w:val="00E117FE"/>
    <w:rsid w:val="00E13197"/>
    <w:rsid w:val="00E14458"/>
    <w:rsid w:val="00E17F53"/>
    <w:rsid w:val="00E22143"/>
    <w:rsid w:val="00E235FA"/>
    <w:rsid w:val="00E3079B"/>
    <w:rsid w:val="00E329E2"/>
    <w:rsid w:val="00E32E5D"/>
    <w:rsid w:val="00E350D9"/>
    <w:rsid w:val="00E40055"/>
    <w:rsid w:val="00E507BA"/>
    <w:rsid w:val="00E5206D"/>
    <w:rsid w:val="00E5433A"/>
    <w:rsid w:val="00E57AA2"/>
    <w:rsid w:val="00E60B88"/>
    <w:rsid w:val="00E60C32"/>
    <w:rsid w:val="00E62E6B"/>
    <w:rsid w:val="00E63543"/>
    <w:rsid w:val="00E656C4"/>
    <w:rsid w:val="00E664F4"/>
    <w:rsid w:val="00E676B5"/>
    <w:rsid w:val="00E67DDE"/>
    <w:rsid w:val="00E72252"/>
    <w:rsid w:val="00E73F93"/>
    <w:rsid w:val="00E825B1"/>
    <w:rsid w:val="00E86895"/>
    <w:rsid w:val="00E94294"/>
    <w:rsid w:val="00E94F73"/>
    <w:rsid w:val="00EA0A5F"/>
    <w:rsid w:val="00EA0CA4"/>
    <w:rsid w:val="00EA1D37"/>
    <w:rsid w:val="00EA65B9"/>
    <w:rsid w:val="00EA7CBB"/>
    <w:rsid w:val="00EB6BE0"/>
    <w:rsid w:val="00EC6194"/>
    <w:rsid w:val="00ED0A00"/>
    <w:rsid w:val="00ED0DF4"/>
    <w:rsid w:val="00ED1B2E"/>
    <w:rsid w:val="00ED472C"/>
    <w:rsid w:val="00ED514C"/>
    <w:rsid w:val="00ED6706"/>
    <w:rsid w:val="00ED7948"/>
    <w:rsid w:val="00ED7E89"/>
    <w:rsid w:val="00ED7FCE"/>
    <w:rsid w:val="00EF04CF"/>
    <w:rsid w:val="00EF1223"/>
    <w:rsid w:val="00EF1C24"/>
    <w:rsid w:val="00EF23F2"/>
    <w:rsid w:val="00EF2CD7"/>
    <w:rsid w:val="00EF4089"/>
    <w:rsid w:val="00EF5752"/>
    <w:rsid w:val="00EF58D4"/>
    <w:rsid w:val="00EF699B"/>
    <w:rsid w:val="00F005E4"/>
    <w:rsid w:val="00F00AB1"/>
    <w:rsid w:val="00F01F4D"/>
    <w:rsid w:val="00F029D2"/>
    <w:rsid w:val="00F02CB2"/>
    <w:rsid w:val="00F04003"/>
    <w:rsid w:val="00F07FD3"/>
    <w:rsid w:val="00F11EFD"/>
    <w:rsid w:val="00F12084"/>
    <w:rsid w:val="00F13195"/>
    <w:rsid w:val="00F15F29"/>
    <w:rsid w:val="00F17AAA"/>
    <w:rsid w:val="00F17E5D"/>
    <w:rsid w:val="00F205A0"/>
    <w:rsid w:val="00F20C84"/>
    <w:rsid w:val="00F23385"/>
    <w:rsid w:val="00F23943"/>
    <w:rsid w:val="00F27FC4"/>
    <w:rsid w:val="00F30651"/>
    <w:rsid w:val="00F310ED"/>
    <w:rsid w:val="00F31108"/>
    <w:rsid w:val="00F31E7E"/>
    <w:rsid w:val="00F347E7"/>
    <w:rsid w:val="00F37B41"/>
    <w:rsid w:val="00F41867"/>
    <w:rsid w:val="00F45B45"/>
    <w:rsid w:val="00F57530"/>
    <w:rsid w:val="00F61845"/>
    <w:rsid w:val="00F63046"/>
    <w:rsid w:val="00F64CBE"/>
    <w:rsid w:val="00F66404"/>
    <w:rsid w:val="00F679FF"/>
    <w:rsid w:val="00F71F96"/>
    <w:rsid w:val="00F73D6D"/>
    <w:rsid w:val="00F83ACB"/>
    <w:rsid w:val="00F840E0"/>
    <w:rsid w:val="00F84103"/>
    <w:rsid w:val="00F8431C"/>
    <w:rsid w:val="00F86C68"/>
    <w:rsid w:val="00F86E0D"/>
    <w:rsid w:val="00F91353"/>
    <w:rsid w:val="00FA1D61"/>
    <w:rsid w:val="00FA306D"/>
    <w:rsid w:val="00FA479F"/>
    <w:rsid w:val="00FA5139"/>
    <w:rsid w:val="00FA7C46"/>
    <w:rsid w:val="00FB2EB6"/>
    <w:rsid w:val="00FB4437"/>
    <w:rsid w:val="00FB58F4"/>
    <w:rsid w:val="00FC0BCD"/>
    <w:rsid w:val="00FC115C"/>
    <w:rsid w:val="00FC3051"/>
    <w:rsid w:val="00FC7880"/>
    <w:rsid w:val="00FD0420"/>
    <w:rsid w:val="00FD2BBD"/>
    <w:rsid w:val="00FD358D"/>
    <w:rsid w:val="00FD587B"/>
    <w:rsid w:val="00FD7559"/>
    <w:rsid w:val="00FE1F30"/>
    <w:rsid w:val="00FE1F44"/>
    <w:rsid w:val="00FE4C5A"/>
    <w:rsid w:val="00FE4FA6"/>
    <w:rsid w:val="00FE7FFD"/>
    <w:rsid w:val="00FF2CF7"/>
    <w:rsid w:val="00FF53FD"/>
    <w:rsid w:val="00FF70C0"/>
    <w:rsid w:val="053FC3CC"/>
    <w:rsid w:val="06C0409B"/>
    <w:rsid w:val="090857FB"/>
    <w:rsid w:val="13739D8B"/>
    <w:rsid w:val="1FDB7609"/>
    <w:rsid w:val="20683E46"/>
    <w:rsid w:val="252C2D1E"/>
    <w:rsid w:val="2AB3AC23"/>
    <w:rsid w:val="2B4D9733"/>
    <w:rsid w:val="2E2F78AD"/>
    <w:rsid w:val="2F518DC1"/>
    <w:rsid w:val="3489B418"/>
    <w:rsid w:val="36E65632"/>
    <w:rsid w:val="391D3DAB"/>
    <w:rsid w:val="398CD68A"/>
    <w:rsid w:val="3D852D66"/>
    <w:rsid w:val="420C7210"/>
    <w:rsid w:val="4455BD7E"/>
    <w:rsid w:val="44C074F0"/>
    <w:rsid w:val="4A767865"/>
    <w:rsid w:val="4AA0210D"/>
    <w:rsid w:val="4CDD14AC"/>
    <w:rsid w:val="504ECC70"/>
    <w:rsid w:val="52647BBC"/>
    <w:rsid w:val="535E327C"/>
    <w:rsid w:val="53C71066"/>
    <w:rsid w:val="586F594F"/>
    <w:rsid w:val="5A577BDF"/>
    <w:rsid w:val="5A785594"/>
    <w:rsid w:val="5E366A2F"/>
    <w:rsid w:val="607FBCB1"/>
    <w:rsid w:val="72FD4CFA"/>
    <w:rsid w:val="74910F0B"/>
    <w:rsid w:val="78DF02FC"/>
    <w:rsid w:val="7AC26249"/>
    <w:rsid w:val="7D7F0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8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20/10/relationships/intelligence" Target="intelligence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36762-556D-49CB-975C-189F4AD93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3860</Words>
  <Characters>22007</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Mushure</dc:creator>
  <cp:lastModifiedBy>JSC</cp:lastModifiedBy>
  <cp:revision>2</cp:revision>
  <cp:lastPrinted>2026-02-27T12:42:00Z</cp:lastPrinted>
  <dcterms:created xsi:type="dcterms:W3CDTF">2026-06-18T12:05:00Z</dcterms:created>
  <dcterms:modified xsi:type="dcterms:W3CDTF">2026-06-18T12:05:00Z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8d3b3ed7-2aa1-4f88-a08e-f3681ab17c77</vt:lpwstr>
  </property>
</Properties>
</file>