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DC5" w:rsidRPr="00320BA9" w:rsidRDefault="00D03DC5" w:rsidP="004F2E87">
      <w:pPr>
        <w:spacing w:after="0" w:line="240" w:lineRule="auto"/>
        <w:rPr>
          <w:rFonts w:ascii="Times New Roman" w:hAnsi="Times New Roman" w:cs="Times New Roman"/>
          <w:sz w:val="24"/>
          <w:szCs w:val="24"/>
          <w:lang w:val="en-US"/>
        </w:rPr>
      </w:pPr>
      <w:bookmarkStart w:id="0" w:name="_GoBack"/>
      <w:bookmarkEnd w:id="0"/>
      <w:r w:rsidRPr="00320BA9">
        <w:rPr>
          <w:rFonts w:ascii="Times New Roman" w:hAnsi="Times New Roman" w:cs="Times New Roman"/>
          <w:sz w:val="24"/>
          <w:szCs w:val="24"/>
          <w:lang w:val="en-US"/>
        </w:rPr>
        <w:t>THE STATE</w:t>
      </w:r>
    </w:p>
    <w:p w:rsidR="00D03DC5" w:rsidRPr="00320BA9" w:rsidRDefault="004F2E87" w:rsidP="004F2E8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r w:rsidR="00D03DC5" w:rsidRPr="00320BA9">
        <w:rPr>
          <w:rFonts w:ascii="Times New Roman" w:hAnsi="Times New Roman" w:cs="Times New Roman"/>
          <w:sz w:val="24"/>
          <w:szCs w:val="24"/>
          <w:lang w:val="en-US"/>
        </w:rPr>
        <w:t xml:space="preserve"> </w:t>
      </w:r>
    </w:p>
    <w:p w:rsidR="00D03DC5" w:rsidRPr="00320BA9" w:rsidRDefault="00D03DC5" w:rsidP="004F2E8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LEEROY MHUNZA</w:t>
      </w:r>
    </w:p>
    <w:p w:rsidR="00D03DC5" w:rsidRPr="00320BA9" w:rsidRDefault="00D03DC5" w:rsidP="004F2E87">
      <w:pPr>
        <w:pStyle w:val="Default"/>
      </w:pPr>
    </w:p>
    <w:p w:rsidR="004F2E87" w:rsidRDefault="004F2E87" w:rsidP="004F2E87">
      <w:pPr>
        <w:pStyle w:val="Default"/>
      </w:pPr>
    </w:p>
    <w:p w:rsidR="00D03DC5" w:rsidRPr="00320BA9" w:rsidRDefault="00D03DC5" w:rsidP="004F2E87">
      <w:pPr>
        <w:pStyle w:val="Default"/>
      </w:pPr>
      <w:r w:rsidRPr="00320BA9">
        <w:t xml:space="preserve">HIGH COURT OF ZIMBABWE </w:t>
      </w:r>
    </w:p>
    <w:p w:rsidR="00D03DC5" w:rsidRPr="00320BA9" w:rsidRDefault="00D03DC5" w:rsidP="004F2E87">
      <w:pPr>
        <w:pStyle w:val="Default"/>
      </w:pPr>
      <w:r w:rsidRPr="00320BA9">
        <w:t xml:space="preserve">MUTEVEDZI J </w:t>
      </w:r>
    </w:p>
    <w:p w:rsidR="00D03DC5" w:rsidRPr="00320BA9" w:rsidRDefault="00D03DC5" w:rsidP="004F2E87">
      <w:pPr>
        <w:pStyle w:val="Default"/>
      </w:pPr>
      <w:r>
        <w:t>HA</w:t>
      </w:r>
      <w:r w:rsidR="00EE42C6">
        <w:t xml:space="preserve">RARE </w:t>
      </w:r>
      <w:r>
        <w:t>22 S</w:t>
      </w:r>
      <w:r w:rsidR="004F2E87">
        <w:t>eptember</w:t>
      </w:r>
      <w:r>
        <w:t xml:space="preserve"> 2022</w:t>
      </w:r>
      <w:r w:rsidR="00EE42C6">
        <w:t xml:space="preserve"> </w:t>
      </w:r>
      <w:r w:rsidR="004F2E87">
        <w:t>&amp;</w:t>
      </w:r>
      <w:r w:rsidR="00EE42C6">
        <w:t xml:space="preserve"> 16 M</w:t>
      </w:r>
      <w:r w:rsidR="004F2E87">
        <w:t>ay</w:t>
      </w:r>
      <w:r w:rsidR="00EE42C6">
        <w:t xml:space="preserve"> 2023</w:t>
      </w:r>
    </w:p>
    <w:p w:rsidR="004F2E87" w:rsidRDefault="004F2E87" w:rsidP="004F2E87">
      <w:pPr>
        <w:pStyle w:val="Default"/>
        <w:rPr>
          <w:b/>
          <w:bCs/>
        </w:rPr>
      </w:pPr>
    </w:p>
    <w:p w:rsidR="004F2E87" w:rsidRDefault="004F2E87" w:rsidP="004F2E87">
      <w:pPr>
        <w:pStyle w:val="Default"/>
        <w:rPr>
          <w:b/>
          <w:bCs/>
        </w:rPr>
      </w:pPr>
    </w:p>
    <w:p w:rsidR="004F2E87" w:rsidRDefault="004F2E87" w:rsidP="004F2E87">
      <w:pPr>
        <w:pStyle w:val="Default"/>
        <w:rPr>
          <w:b/>
          <w:bCs/>
        </w:rPr>
      </w:pPr>
    </w:p>
    <w:p w:rsidR="00D03DC5" w:rsidRPr="00320BA9" w:rsidRDefault="004F2E87" w:rsidP="004F2E87">
      <w:pPr>
        <w:pStyle w:val="Default"/>
      </w:pPr>
      <w:r>
        <w:rPr>
          <w:b/>
          <w:bCs/>
        </w:rPr>
        <w:t>Assessors:</w:t>
      </w:r>
      <w:r>
        <w:rPr>
          <w:b/>
          <w:bCs/>
        </w:rPr>
        <w:tab/>
      </w:r>
      <w:r w:rsidR="005E746D">
        <w:t>Mr Mpofu</w:t>
      </w:r>
    </w:p>
    <w:p w:rsidR="00D03DC5" w:rsidRPr="00320BA9" w:rsidRDefault="005E746D" w:rsidP="004F2E87">
      <w:pPr>
        <w:pStyle w:val="Default"/>
        <w:ind w:left="1440"/>
      </w:pPr>
      <w:r>
        <w:t>Mrs Chitsiga</w:t>
      </w:r>
      <w:r w:rsidR="00D03DC5" w:rsidRPr="00320BA9">
        <w:t xml:space="preserve"> </w:t>
      </w:r>
    </w:p>
    <w:p w:rsidR="00D03DC5" w:rsidRPr="00320BA9" w:rsidRDefault="00D03DC5" w:rsidP="004F2E87">
      <w:pPr>
        <w:pStyle w:val="Default"/>
        <w:rPr>
          <w:b/>
          <w:bCs/>
        </w:rPr>
      </w:pPr>
    </w:p>
    <w:p w:rsidR="004F2E87" w:rsidRDefault="004F2E87" w:rsidP="004F2E87">
      <w:pPr>
        <w:pStyle w:val="Default"/>
        <w:rPr>
          <w:b/>
          <w:bCs/>
        </w:rPr>
      </w:pPr>
    </w:p>
    <w:p w:rsidR="00A732F8" w:rsidRDefault="00A732F8" w:rsidP="004F2E87">
      <w:pPr>
        <w:pStyle w:val="Default"/>
        <w:rPr>
          <w:b/>
          <w:bCs/>
        </w:rPr>
      </w:pPr>
    </w:p>
    <w:p w:rsidR="00D03DC5" w:rsidRPr="00320BA9" w:rsidRDefault="00D03DC5" w:rsidP="004F2E87">
      <w:pPr>
        <w:pStyle w:val="Default"/>
        <w:rPr>
          <w:b/>
          <w:bCs/>
        </w:rPr>
      </w:pPr>
      <w:r w:rsidRPr="00320BA9">
        <w:rPr>
          <w:b/>
          <w:bCs/>
        </w:rPr>
        <w:t xml:space="preserve">Criminal Trial </w:t>
      </w:r>
    </w:p>
    <w:p w:rsidR="004F2E87" w:rsidRDefault="00D03DC5" w:rsidP="004F2E87">
      <w:pPr>
        <w:pStyle w:val="Default"/>
        <w:rPr>
          <w:bCs/>
          <w:i/>
        </w:rPr>
      </w:pPr>
      <w:r>
        <w:rPr>
          <w:bCs/>
          <w:i/>
        </w:rPr>
        <w:t xml:space="preserve"> </w:t>
      </w:r>
    </w:p>
    <w:p w:rsidR="004F2E87" w:rsidRDefault="004F2E87" w:rsidP="004F2E87">
      <w:pPr>
        <w:pStyle w:val="Default"/>
        <w:rPr>
          <w:bCs/>
          <w:i/>
        </w:rPr>
      </w:pPr>
    </w:p>
    <w:p w:rsidR="00A732F8" w:rsidRDefault="00A732F8" w:rsidP="004F2E87">
      <w:pPr>
        <w:pStyle w:val="Default"/>
        <w:rPr>
          <w:bCs/>
          <w:i/>
        </w:rPr>
      </w:pPr>
    </w:p>
    <w:p w:rsidR="00D03DC5" w:rsidRPr="00320BA9" w:rsidRDefault="00E5117C" w:rsidP="004F2E87">
      <w:pPr>
        <w:pStyle w:val="Default"/>
        <w:rPr>
          <w:bCs/>
          <w:i/>
        </w:rPr>
      </w:pPr>
      <w:r>
        <w:rPr>
          <w:bCs/>
          <w:i/>
        </w:rPr>
        <w:t>T</w:t>
      </w:r>
      <w:r w:rsidR="004F2E87">
        <w:rPr>
          <w:bCs/>
          <w:i/>
        </w:rPr>
        <w:t xml:space="preserve"> </w:t>
      </w:r>
      <w:r>
        <w:rPr>
          <w:bCs/>
          <w:i/>
        </w:rPr>
        <w:t>M</w:t>
      </w:r>
      <w:r w:rsidR="004F2E87">
        <w:rPr>
          <w:bCs/>
          <w:i/>
        </w:rPr>
        <w:t xml:space="preserve"> </w:t>
      </w:r>
      <w:r>
        <w:rPr>
          <w:bCs/>
          <w:i/>
        </w:rPr>
        <w:t>Havazvidi</w:t>
      </w:r>
      <w:r w:rsidR="004F2E87">
        <w:rPr>
          <w:bCs/>
          <w:i/>
        </w:rPr>
        <w:t>,</w:t>
      </w:r>
      <w:r>
        <w:rPr>
          <w:bCs/>
          <w:i/>
        </w:rPr>
        <w:t xml:space="preserve"> </w:t>
      </w:r>
      <w:r w:rsidR="00D03DC5" w:rsidRPr="004F2E87">
        <w:rPr>
          <w:bCs/>
        </w:rPr>
        <w:t>for the State</w:t>
      </w:r>
    </w:p>
    <w:p w:rsidR="00D03DC5" w:rsidRPr="00320BA9" w:rsidRDefault="00D03DC5" w:rsidP="004F2E87">
      <w:pPr>
        <w:pStyle w:val="Default"/>
        <w:rPr>
          <w:bCs/>
          <w:i/>
        </w:rPr>
      </w:pPr>
      <w:r w:rsidRPr="00320BA9">
        <w:rPr>
          <w:bCs/>
          <w:i/>
        </w:rPr>
        <w:t xml:space="preserve"> </w:t>
      </w:r>
      <w:r w:rsidR="0035424F">
        <w:rPr>
          <w:bCs/>
          <w:i/>
        </w:rPr>
        <w:t>R J T Kadani,</w:t>
      </w:r>
      <w:r w:rsidRPr="004F2E87">
        <w:rPr>
          <w:bCs/>
        </w:rPr>
        <w:t>for the accused</w:t>
      </w:r>
    </w:p>
    <w:p w:rsidR="00D03DC5" w:rsidRPr="00320BA9" w:rsidRDefault="00D03DC5" w:rsidP="00D03DC5">
      <w:pPr>
        <w:pStyle w:val="Default"/>
        <w:spacing w:line="360" w:lineRule="auto"/>
        <w:jc w:val="both"/>
        <w:rPr>
          <w:bCs/>
          <w:i/>
        </w:rPr>
      </w:pPr>
    </w:p>
    <w:p w:rsidR="00D03DC5" w:rsidRPr="00412902" w:rsidRDefault="00D03DC5"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
          <w:bCs/>
          <w:sz w:val="24"/>
          <w:szCs w:val="24"/>
        </w:rPr>
        <w:t xml:space="preserve">MUTEVEDZI J: </w:t>
      </w:r>
      <w:r w:rsidRPr="00412902">
        <w:rPr>
          <w:rFonts w:ascii="Times New Roman" w:hAnsi="Times New Roman" w:cs="Times New Roman"/>
          <w:bCs/>
          <w:sz w:val="24"/>
          <w:szCs w:val="24"/>
        </w:rPr>
        <w:t>Porinah Nyamayaro</w:t>
      </w:r>
      <w:r w:rsidR="00E0455C" w:rsidRPr="00412902">
        <w:rPr>
          <w:rFonts w:ascii="Times New Roman" w:hAnsi="Times New Roman" w:cs="Times New Roman"/>
          <w:bCs/>
          <w:sz w:val="24"/>
          <w:szCs w:val="24"/>
        </w:rPr>
        <w:t xml:space="preserve"> (the deceased), a septuagenarian</w:t>
      </w:r>
      <w:r w:rsidRPr="00412902">
        <w:rPr>
          <w:rFonts w:ascii="Times New Roman" w:hAnsi="Times New Roman" w:cs="Times New Roman"/>
          <w:bCs/>
          <w:sz w:val="24"/>
          <w:szCs w:val="24"/>
        </w:rPr>
        <w:t xml:space="preserve"> lived in complete peace </w:t>
      </w:r>
      <w:r w:rsidR="00E0455C" w:rsidRPr="00412902">
        <w:rPr>
          <w:rFonts w:ascii="Times New Roman" w:hAnsi="Times New Roman" w:cs="Times New Roman"/>
          <w:bCs/>
          <w:sz w:val="24"/>
          <w:szCs w:val="24"/>
        </w:rPr>
        <w:t xml:space="preserve">and relative comfort </w:t>
      </w:r>
      <w:r w:rsidRPr="00412902">
        <w:rPr>
          <w:rFonts w:ascii="Times New Roman" w:hAnsi="Times New Roman" w:cs="Times New Roman"/>
          <w:bCs/>
          <w:sz w:val="24"/>
          <w:szCs w:val="24"/>
        </w:rPr>
        <w:t xml:space="preserve">at her modest </w:t>
      </w:r>
      <w:r w:rsidR="00F84301">
        <w:rPr>
          <w:rFonts w:ascii="Times New Roman" w:hAnsi="Times New Roman" w:cs="Times New Roman"/>
          <w:bCs/>
          <w:sz w:val="24"/>
          <w:szCs w:val="24"/>
        </w:rPr>
        <w:t xml:space="preserve">rural </w:t>
      </w:r>
      <w:r w:rsidRPr="00412902">
        <w:rPr>
          <w:rFonts w:ascii="Times New Roman" w:hAnsi="Times New Roman" w:cs="Times New Roman"/>
          <w:bCs/>
          <w:sz w:val="24"/>
          <w:szCs w:val="24"/>
        </w:rPr>
        <w:t xml:space="preserve">homestead. Ironically she died a violent death at the hands of an assailant who attacked her at night after she had disturbed him from stealing her property. Leeroy Mhunza (the accused), was apprehended on the same night that the deceased was </w:t>
      </w:r>
      <w:r w:rsidR="00F84301">
        <w:rPr>
          <w:rFonts w:ascii="Times New Roman" w:hAnsi="Times New Roman" w:cs="Times New Roman"/>
          <w:bCs/>
          <w:sz w:val="24"/>
          <w:szCs w:val="24"/>
        </w:rPr>
        <w:t xml:space="preserve">assaulted and </w:t>
      </w:r>
      <w:r w:rsidRPr="00412902">
        <w:rPr>
          <w:rFonts w:ascii="Times New Roman" w:hAnsi="Times New Roman" w:cs="Times New Roman"/>
          <w:bCs/>
          <w:sz w:val="24"/>
          <w:szCs w:val="24"/>
        </w:rPr>
        <w:t>left for dead. He was charged with the crime of murder as defined in s 47 (1) of the Criminal Law (Codification and Reform) Act [</w:t>
      </w:r>
      <w:r w:rsidRPr="004F2E87">
        <w:rPr>
          <w:rFonts w:ascii="Times New Roman" w:hAnsi="Times New Roman" w:cs="Times New Roman"/>
          <w:bCs/>
          <w:i/>
          <w:sz w:val="24"/>
          <w:szCs w:val="24"/>
        </w:rPr>
        <w:t>Chapter 9: 23</w:t>
      </w:r>
      <w:r w:rsidRPr="00412902">
        <w:rPr>
          <w:rFonts w:ascii="Times New Roman" w:hAnsi="Times New Roman" w:cs="Times New Roman"/>
          <w:bCs/>
          <w:sz w:val="24"/>
          <w:szCs w:val="24"/>
        </w:rPr>
        <w:t xml:space="preserve">] (the Criminal Law Code). It was alleged that on 7 February 2022 at Kagande Village, Chief Masembura, Bindura he unlawfully and with intent to kill or realising that there was a real risk or possibility that that his conduct could lead to death and continuing to engage in that conduct despite the realisation of the risk or possibility, caused the death of the deceased by hitting her with a walking stick all over her body and striking her with stones and bricks several times on the head and the body. The attack caused serious injuries from which the deceased died. </w:t>
      </w:r>
    </w:p>
    <w:p w:rsidR="00D03DC5" w:rsidRPr="00412902" w:rsidRDefault="00D03DC5"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The accused denied the charge. He said he knew nothing about the death of the deceased. He was never at the deceased’s homestead at the material time. He did not enter her homestead as alleged. He only knew the deceased as a member of the community in which he lived. The deceased also knew him such that if he had been the perpetrator, the deceased ought to have mentioned him by name.  He further explained that on the night in question, he was </w:t>
      </w:r>
      <w:r w:rsidRPr="00412902">
        <w:rPr>
          <w:rFonts w:ascii="Times New Roman" w:hAnsi="Times New Roman" w:cs="Times New Roman"/>
          <w:bCs/>
          <w:sz w:val="24"/>
          <w:szCs w:val="24"/>
        </w:rPr>
        <w:lastRenderedPageBreak/>
        <w:t xml:space="preserve">returning from a beer drink at the local township when he was apprehended whilst walking home by people who accused him of having murdered the deceased. His captors beat him. He was later handed over to the police who </w:t>
      </w:r>
      <w:r w:rsidR="00986299">
        <w:rPr>
          <w:rFonts w:ascii="Times New Roman" w:hAnsi="Times New Roman" w:cs="Times New Roman"/>
          <w:bCs/>
          <w:sz w:val="24"/>
          <w:szCs w:val="24"/>
        </w:rPr>
        <w:t xml:space="preserve">also </w:t>
      </w:r>
      <w:r w:rsidRPr="00412902">
        <w:rPr>
          <w:rFonts w:ascii="Times New Roman" w:hAnsi="Times New Roman" w:cs="Times New Roman"/>
          <w:bCs/>
          <w:sz w:val="24"/>
          <w:szCs w:val="24"/>
        </w:rPr>
        <w:t xml:space="preserve">beat him and forced him to make indications at the crime scene. He prayed for his acquittal. </w:t>
      </w:r>
    </w:p>
    <w:p w:rsidR="006B0527" w:rsidRPr="00412902" w:rsidRDefault="00D03DC5"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 xml:space="preserve">State case  </w:t>
      </w:r>
    </w:p>
    <w:p w:rsidR="002D4509" w:rsidRPr="00412902" w:rsidRDefault="00D03DC5"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At the commencement of the case for the prosecution, the state sought the </w:t>
      </w:r>
      <w:r w:rsidR="00986299">
        <w:rPr>
          <w:rFonts w:ascii="Times New Roman" w:hAnsi="Times New Roman" w:cs="Times New Roman"/>
          <w:bCs/>
          <w:sz w:val="24"/>
          <w:szCs w:val="24"/>
        </w:rPr>
        <w:t>formal admission into</w:t>
      </w:r>
      <w:r w:rsidRPr="00412902">
        <w:rPr>
          <w:rFonts w:ascii="Times New Roman" w:hAnsi="Times New Roman" w:cs="Times New Roman"/>
          <w:bCs/>
          <w:sz w:val="24"/>
          <w:szCs w:val="24"/>
        </w:rPr>
        <w:t xml:space="preserve"> the evidence of several witness</w:t>
      </w:r>
      <w:r w:rsidR="00986299">
        <w:rPr>
          <w:rFonts w:ascii="Times New Roman" w:hAnsi="Times New Roman" w:cs="Times New Roman"/>
          <w:bCs/>
          <w:sz w:val="24"/>
          <w:szCs w:val="24"/>
        </w:rPr>
        <w:t>es’ testimonies</w:t>
      </w:r>
      <w:r w:rsidRPr="00412902">
        <w:rPr>
          <w:rFonts w:ascii="Times New Roman" w:hAnsi="Times New Roman" w:cs="Times New Roman"/>
          <w:bCs/>
          <w:sz w:val="24"/>
          <w:szCs w:val="24"/>
        </w:rPr>
        <w:t xml:space="preserve"> in terms of s 314 of the Criminal Procedure and Evidence Act [</w:t>
      </w:r>
      <w:r w:rsidR="004F2E87" w:rsidRPr="004F2E87">
        <w:rPr>
          <w:rFonts w:ascii="Times New Roman" w:hAnsi="Times New Roman" w:cs="Times New Roman"/>
          <w:bCs/>
          <w:i/>
          <w:sz w:val="24"/>
          <w:szCs w:val="24"/>
        </w:rPr>
        <w:t>C</w:t>
      </w:r>
      <w:r w:rsidRPr="004F2E87">
        <w:rPr>
          <w:rFonts w:ascii="Times New Roman" w:hAnsi="Times New Roman" w:cs="Times New Roman"/>
          <w:bCs/>
          <w:i/>
          <w:sz w:val="24"/>
          <w:szCs w:val="24"/>
        </w:rPr>
        <w:t>hapter 9:07</w:t>
      </w:r>
      <w:r w:rsidRPr="00412902">
        <w:rPr>
          <w:rFonts w:ascii="Times New Roman" w:hAnsi="Times New Roman" w:cs="Times New Roman"/>
          <w:bCs/>
          <w:sz w:val="24"/>
          <w:szCs w:val="24"/>
        </w:rPr>
        <w:t xml:space="preserve">] (the CP &amp;E Act). The defence did not oppose the application. The evidence of witnesses Sylvester Mandizvidza </w:t>
      </w:r>
      <w:r w:rsidR="002D4509" w:rsidRPr="00412902">
        <w:rPr>
          <w:rFonts w:ascii="Times New Roman" w:hAnsi="Times New Roman" w:cs="Times New Roman"/>
          <w:bCs/>
          <w:sz w:val="24"/>
          <w:szCs w:val="24"/>
        </w:rPr>
        <w:t>Mhunza, Ben Chinyanga and Cuthbert</w:t>
      </w:r>
      <w:r w:rsidRPr="00412902">
        <w:rPr>
          <w:rFonts w:ascii="Times New Roman" w:hAnsi="Times New Roman" w:cs="Times New Roman"/>
          <w:bCs/>
          <w:sz w:val="24"/>
          <w:szCs w:val="24"/>
        </w:rPr>
        <w:t xml:space="preserve"> Mukombwe was formally admitted into evidence as it appeared on the summary of the state’s evidence in terms of s 314. </w:t>
      </w:r>
      <w:r w:rsidR="002D4509" w:rsidRPr="00412902">
        <w:rPr>
          <w:rFonts w:ascii="Times New Roman" w:hAnsi="Times New Roman" w:cs="Times New Roman"/>
          <w:bCs/>
          <w:sz w:val="24"/>
          <w:szCs w:val="24"/>
        </w:rPr>
        <w:t xml:space="preserve"> The important aspects of each of the witnesses’ testimonies is as stated below.</w:t>
      </w:r>
    </w:p>
    <w:p w:rsidR="002D4509" w:rsidRPr="00412902" w:rsidRDefault="002D4509"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 xml:space="preserve">Sylvester Mandizvidza Mhunza </w:t>
      </w:r>
    </w:p>
    <w:p w:rsidR="002D4509" w:rsidRPr="00412902" w:rsidRDefault="002D4509"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He passed close to the deceased’s homestead on the material date and time. He heard </w:t>
      </w:r>
      <w:r w:rsidR="00986299">
        <w:rPr>
          <w:rFonts w:ascii="Times New Roman" w:hAnsi="Times New Roman" w:cs="Times New Roman"/>
          <w:bCs/>
          <w:sz w:val="24"/>
          <w:szCs w:val="24"/>
        </w:rPr>
        <w:t xml:space="preserve">the deceased person’s hue and cry. </w:t>
      </w:r>
      <w:r w:rsidRPr="00412902">
        <w:rPr>
          <w:rFonts w:ascii="Times New Roman" w:hAnsi="Times New Roman" w:cs="Times New Roman"/>
          <w:bCs/>
          <w:sz w:val="24"/>
          <w:szCs w:val="24"/>
        </w:rPr>
        <w:t xml:space="preserve"> She was shout</w:t>
      </w:r>
      <w:r w:rsidR="00986299">
        <w:rPr>
          <w:rFonts w:ascii="Times New Roman" w:hAnsi="Times New Roman" w:cs="Times New Roman"/>
          <w:bCs/>
          <w:sz w:val="24"/>
          <w:szCs w:val="24"/>
        </w:rPr>
        <w:t>ing that someone was killing her</w:t>
      </w:r>
      <w:r w:rsidRPr="00412902">
        <w:rPr>
          <w:rFonts w:ascii="Times New Roman" w:hAnsi="Times New Roman" w:cs="Times New Roman"/>
          <w:bCs/>
          <w:sz w:val="24"/>
          <w:szCs w:val="24"/>
        </w:rPr>
        <w:t>. He rushed to the nearest shopping centre where he informed two men called Norest and Kupukai about the attack. Together with those men, they rushed to the deceased’s homestead. They found her badly injured.</w:t>
      </w:r>
    </w:p>
    <w:p w:rsidR="002D4509" w:rsidRPr="00412902" w:rsidRDefault="002D4509"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Ben Chinyanga</w:t>
      </w:r>
    </w:p>
    <w:p w:rsidR="002D4509" w:rsidRPr="00412902" w:rsidRDefault="002D4509"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He proceeded to the deceased’s homestead after being informed of the incident. His major role was that he assisted in ferrying the deceased to hospital with the assistance of one Lloyd. </w:t>
      </w:r>
    </w:p>
    <w:p w:rsidR="002D4509" w:rsidRPr="00412902" w:rsidRDefault="002D4509"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Cuthbert Mukombwe</w:t>
      </w:r>
    </w:p>
    <w:p w:rsidR="002D4509" w:rsidRPr="00412902" w:rsidRDefault="002D4509"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He is a nurse at Chiriseri Clinic</w:t>
      </w:r>
      <w:r w:rsidR="00524E04" w:rsidRPr="00412902">
        <w:rPr>
          <w:rFonts w:ascii="Times New Roman" w:hAnsi="Times New Roman" w:cs="Times New Roman"/>
          <w:bCs/>
          <w:sz w:val="24"/>
          <w:szCs w:val="24"/>
        </w:rPr>
        <w:t xml:space="preserve">. He was on duty when the deceased was brought to the clinic injured. She advised him that she had been attacked by the accused. The injuries he observed were a deep cut on the forehead, lacerations on both hands and legs. She was also bleeding from the head and was vomiting. He assisted her. </w:t>
      </w:r>
    </w:p>
    <w:p w:rsidR="00524E04" w:rsidRPr="00412902" w:rsidRDefault="00986299" w:rsidP="004F2E87">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In addition to the above evidence</w:t>
      </w:r>
      <w:r w:rsidR="00524E04" w:rsidRPr="00412902">
        <w:rPr>
          <w:rFonts w:ascii="Times New Roman" w:hAnsi="Times New Roman" w:cs="Times New Roman"/>
          <w:bCs/>
          <w:sz w:val="24"/>
          <w:szCs w:val="24"/>
        </w:rPr>
        <w:t xml:space="preserve"> the prosecutor also applied to tender the post mortem report compiled by the pathologist who examined the deceased’s remains. His conclusion was that death was due to severe head trauma. The cause of the deceased’s death was not contentious. Several other exhibits were also admitted with the consent of the defence. These included the weapons allegedly used during the attack. They comprised of </w:t>
      </w:r>
      <w:r>
        <w:rPr>
          <w:rFonts w:ascii="Times New Roman" w:hAnsi="Times New Roman" w:cs="Times New Roman"/>
          <w:bCs/>
          <w:sz w:val="24"/>
          <w:szCs w:val="24"/>
        </w:rPr>
        <w:t xml:space="preserve">a </w:t>
      </w:r>
      <w:r w:rsidR="00524E04" w:rsidRPr="00412902">
        <w:rPr>
          <w:rFonts w:ascii="Times New Roman" w:hAnsi="Times New Roman" w:cs="Times New Roman"/>
          <w:bCs/>
          <w:sz w:val="24"/>
          <w:szCs w:val="24"/>
        </w:rPr>
        <w:t xml:space="preserve">log which weighed </w:t>
      </w:r>
      <w:r w:rsidR="00524E04" w:rsidRPr="00412902">
        <w:rPr>
          <w:rFonts w:ascii="Times New Roman" w:hAnsi="Times New Roman" w:cs="Times New Roman"/>
          <w:bCs/>
          <w:sz w:val="24"/>
          <w:szCs w:val="24"/>
        </w:rPr>
        <w:lastRenderedPageBreak/>
        <w:t xml:space="preserve">about 300 grams, a half brick with a weight of 1.1 kilograms and three pieces of stone with a combined weight of 7.1 kilograms. </w:t>
      </w:r>
    </w:p>
    <w:p w:rsidR="00524E04" w:rsidRPr="00412902" w:rsidRDefault="00524E04" w:rsidP="004F2E87">
      <w:pPr>
        <w:spacing w:after="0" w:line="360" w:lineRule="auto"/>
        <w:jc w:val="both"/>
        <w:rPr>
          <w:rFonts w:ascii="Times New Roman" w:hAnsi="Times New Roman" w:cs="Times New Roman"/>
          <w:bCs/>
          <w:sz w:val="24"/>
          <w:szCs w:val="24"/>
        </w:rPr>
      </w:pPr>
      <w:r w:rsidRPr="00412902">
        <w:rPr>
          <w:rFonts w:ascii="Times New Roman" w:hAnsi="Times New Roman" w:cs="Times New Roman"/>
          <w:bCs/>
          <w:sz w:val="24"/>
          <w:szCs w:val="24"/>
        </w:rPr>
        <w:t xml:space="preserve">Thereafter, the prosecutor led oral evidence from a number of witnesses. Below we deal with that evidence.  </w:t>
      </w:r>
    </w:p>
    <w:p w:rsidR="002D4509" w:rsidRPr="00412902" w:rsidRDefault="00524E04"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Ivy Masvosva</w:t>
      </w:r>
      <w:r w:rsidR="00B922BC" w:rsidRPr="00412902">
        <w:rPr>
          <w:rFonts w:ascii="Times New Roman" w:hAnsi="Times New Roman" w:cs="Times New Roman"/>
          <w:b/>
          <w:bCs/>
          <w:sz w:val="24"/>
          <w:szCs w:val="24"/>
        </w:rPr>
        <w:t>( Ivy)</w:t>
      </w:r>
      <w:r w:rsidRPr="00412902">
        <w:rPr>
          <w:rFonts w:ascii="Times New Roman" w:hAnsi="Times New Roman" w:cs="Times New Roman"/>
          <w:b/>
          <w:bCs/>
          <w:sz w:val="24"/>
          <w:szCs w:val="24"/>
        </w:rPr>
        <w:t xml:space="preserve"> </w:t>
      </w:r>
    </w:p>
    <w:p w:rsidR="00DA69F1" w:rsidRPr="00412902" w:rsidRDefault="00524E04"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She was a neighbour to the deceased. </w:t>
      </w:r>
      <w:r w:rsidR="00B922BC" w:rsidRPr="00412902">
        <w:rPr>
          <w:rFonts w:ascii="Times New Roman" w:hAnsi="Times New Roman" w:cs="Times New Roman"/>
          <w:bCs/>
          <w:sz w:val="24"/>
          <w:szCs w:val="24"/>
        </w:rPr>
        <w:t>The important part of her evidence was that her</w:t>
      </w:r>
      <w:r w:rsidRPr="00412902">
        <w:rPr>
          <w:rFonts w:ascii="Times New Roman" w:hAnsi="Times New Roman" w:cs="Times New Roman"/>
          <w:bCs/>
          <w:sz w:val="24"/>
          <w:szCs w:val="24"/>
        </w:rPr>
        <w:t xml:space="preserve"> residence is roughly two hundred metres from that of the deceased. On the fateful night she heard the deceased </w:t>
      </w:r>
      <w:r w:rsidR="00B922BC" w:rsidRPr="00412902">
        <w:rPr>
          <w:rFonts w:ascii="Times New Roman" w:hAnsi="Times New Roman" w:cs="Times New Roman"/>
          <w:bCs/>
          <w:sz w:val="24"/>
          <w:szCs w:val="24"/>
        </w:rPr>
        <w:t>shouting that there was a thief and she needed help!</w:t>
      </w:r>
      <w:r w:rsidRPr="00412902">
        <w:rPr>
          <w:rFonts w:ascii="Times New Roman" w:hAnsi="Times New Roman" w:cs="Times New Roman"/>
          <w:bCs/>
          <w:sz w:val="24"/>
          <w:szCs w:val="24"/>
        </w:rPr>
        <w:t xml:space="preserve"> Accompanied by her uncle Earnest Masvosva, they rushed to the deceased’s homestead. They found her </w:t>
      </w:r>
      <w:r w:rsidR="00B922BC" w:rsidRPr="00412902">
        <w:rPr>
          <w:rFonts w:ascii="Times New Roman" w:hAnsi="Times New Roman" w:cs="Times New Roman"/>
          <w:bCs/>
          <w:sz w:val="24"/>
          <w:szCs w:val="24"/>
        </w:rPr>
        <w:t xml:space="preserve">seated but </w:t>
      </w:r>
      <w:r w:rsidRPr="00412902">
        <w:rPr>
          <w:rFonts w:ascii="Times New Roman" w:hAnsi="Times New Roman" w:cs="Times New Roman"/>
          <w:bCs/>
          <w:sz w:val="24"/>
          <w:szCs w:val="24"/>
        </w:rPr>
        <w:t xml:space="preserve">injured. She was bleeding from the head. She could still talk. She described </w:t>
      </w:r>
      <w:r w:rsidR="00B922BC" w:rsidRPr="00412902">
        <w:rPr>
          <w:rFonts w:ascii="Times New Roman" w:hAnsi="Times New Roman" w:cs="Times New Roman"/>
          <w:bCs/>
          <w:sz w:val="24"/>
          <w:szCs w:val="24"/>
        </w:rPr>
        <w:t xml:space="preserve">to Ivy and her uncle, </w:t>
      </w:r>
      <w:r w:rsidRPr="00412902">
        <w:rPr>
          <w:rFonts w:ascii="Times New Roman" w:hAnsi="Times New Roman" w:cs="Times New Roman"/>
          <w:bCs/>
          <w:sz w:val="24"/>
          <w:szCs w:val="24"/>
        </w:rPr>
        <w:t xml:space="preserve">the person who had attacked her. </w:t>
      </w:r>
      <w:r w:rsidR="00B922BC" w:rsidRPr="00412902">
        <w:rPr>
          <w:rFonts w:ascii="Times New Roman" w:hAnsi="Times New Roman" w:cs="Times New Roman"/>
          <w:bCs/>
          <w:sz w:val="24"/>
          <w:szCs w:val="24"/>
        </w:rPr>
        <w:t xml:space="preserve">In her own words </w:t>
      </w:r>
      <w:r w:rsidR="00B922BC" w:rsidRPr="00412902">
        <w:rPr>
          <w:rFonts w:ascii="Times New Roman" w:hAnsi="Times New Roman" w:cs="Times New Roman"/>
          <w:bCs/>
          <w:i/>
          <w:sz w:val="24"/>
          <w:szCs w:val="24"/>
        </w:rPr>
        <w:t>“</w:t>
      </w:r>
      <w:r w:rsidR="00752F11" w:rsidRPr="00412902">
        <w:rPr>
          <w:rFonts w:ascii="Times New Roman" w:hAnsi="Times New Roman" w:cs="Times New Roman"/>
          <w:bCs/>
          <w:i/>
          <w:sz w:val="24"/>
          <w:szCs w:val="24"/>
        </w:rPr>
        <w:t xml:space="preserve">The assailant was a young male, </w:t>
      </w:r>
      <w:r w:rsidRPr="00412902">
        <w:rPr>
          <w:rFonts w:ascii="Times New Roman" w:hAnsi="Times New Roman" w:cs="Times New Roman"/>
          <w:bCs/>
          <w:i/>
          <w:sz w:val="24"/>
          <w:szCs w:val="24"/>
        </w:rPr>
        <w:t xml:space="preserve">had tinted hair, had a torch </w:t>
      </w:r>
      <w:r w:rsidR="00752F11" w:rsidRPr="00412902">
        <w:rPr>
          <w:rFonts w:ascii="Times New Roman" w:hAnsi="Times New Roman" w:cs="Times New Roman"/>
          <w:bCs/>
          <w:i/>
          <w:sz w:val="24"/>
          <w:szCs w:val="24"/>
        </w:rPr>
        <w:t>on the forehead and was</w:t>
      </w:r>
      <w:r w:rsidRPr="00412902">
        <w:rPr>
          <w:rFonts w:ascii="Times New Roman" w:hAnsi="Times New Roman" w:cs="Times New Roman"/>
          <w:bCs/>
          <w:i/>
          <w:sz w:val="24"/>
          <w:szCs w:val="24"/>
        </w:rPr>
        <w:t xml:space="preserve"> wearing a black vest</w:t>
      </w:r>
      <w:r w:rsidR="00752F11" w:rsidRPr="00412902">
        <w:rPr>
          <w:rFonts w:ascii="Times New Roman" w:hAnsi="Times New Roman" w:cs="Times New Roman"/>
          <w:bCs/>
          <w:i/>
          <w:sz w:val="24"/>
          <w:szCs w:val="24"/>
        </w:rPr>
        <w:t xml:space="preserve"> with some yellow inscriptions and a pair of shorts</w:t>
      </w:r>
      <w:r w:rsidRPr="00412902">
        <w:rPr>
          <w:rFonts w:ascii="Times New Roman" w:hAnsi="Times New Roman" w:cs="Times New Roman"/>
          <w:bCs/>
          <w:i/>
          <w:sz w:val="24"/>
          <w:szCs w:val="24"/>
        </w:rPr>
        <w:t>.</w:t>
      </w:r>
      <w:r w:rsidR="00B922BC" w:rsidRPr="00412902">
        <w:rPr>
          <w:rFonts w:ascii="Times New Roman" w:hAnsi="Times New Roman" w:cs="Times New Roman"/>
          <w:bCs/>
          <w:i/>
          <w:sz w:val="24"/>
          <w:szCs w:val="24"/>
        </w:rPr>
        <w:t xml:space="preserve">” </w:t>
      </w:r>
      <w:r w:rsidR="00B922BC" w:rsidRPr="00412902">
        <w:rPr>
          <w:rFonts w:ascii="Times New Roman" w:hAnsi="Times New Roman" w:cs="Times New Roman"/>
          <w:bCs/>
          <w:sz w:val="24"/>
          <w:szCs w:val="24"/>
        </w:rPr>
        <w:t>The witness said the deceased did</w:t>
      </w:r>
      <w:r w:rsidRPr="00412902">
        <w:rPr>
          <w:rFonts w:ascii="Times New Roman" w:hAnsi="Times New Roman" w:cs="Times New Roman"/>
          <w:bCs/>
          <w:sz w:val="24"/>
          <w:szCs w:val="24"/>
        </w:rPr>
        <w:t xml:space="preserve"> </w:t>
      </w:r>
      <w:r w:rsidR="00B922BC" w:rsidRPr="00412902">
        <w:rPr>
          <w:rFonts w:ascii="Times New Roman" w:hAnsi="Times New Roman" w:cs="Times New Roman"/>
          <w:bCs/>
          <w:sz w:val="24"/>
          <w:szCs w:val="24"/>
        </w:rPr>
        <w:t xml:space="preserve">not however </w:t>
      </w:r>
      <w:r w:rsidRPr="00412902">
        <w:rPr>
          <w:rFonts w:ascii="Times New Roman" w:hAnsi="Times New Roman" w:cs="Times New Roman"/>
          <w:bCs/>
          <w:sz w:val="24"/>
          <w:szCs w:val="24"/>
        </w:rPr>
        <w:t>specifically incriminate the accused</w:t>
      </w:r>
      <w:r w:rsidR="00B922BC" w:rsidRPr="00412902">
        <w:rPr>
          <w:rFonts w:ascii="Times New Roman" w:hAnsi="Times New Roman" w:cs="Times New Roman"/>
          <w:bCs/>
          <w:sz w:val="24"/>
          <w:szCs w:val="24"/>
        </w:rPr>
        <w:t xml:space="preserve"> as in mentioning him by name</w:t>
      </w:r>
      <w:r w:rsidRPr="00412902">
        <w:rPr>
          <w:rFonts w:ascii="Times New Roman" w:hAnsi="Times New Roman" w:cs="Times New Roman"/>
          <w:bCs/>
          <w:sz w:val="24"/>
          <w:szCs w:val="24"/>
        </w:rPr>
        <w:t>.</w:t>
      </w:r>
    </w:p>
    <w:p w:rsidR="00524E04" w:rsidRPr="00412902" w:rsidRDefault="00DA69F1"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What struck the court was that the prosecutor seemed oblivious of the imperfections of the above testimony. </w:t>
      </w:r>
      <w:r w:rsidR="00524E04" w:rsidRPr="00412902">
        <w:rPr>
          <w:rFonts w:ascii="Times New Roman" w:hAnsi="Times New Roman" w:cs="Times New Roman"/>
          <w:bCs/>
          <w:sz w:val="24"/>
          <w:szCs w:val="24"/>
        </w:rPr>
        <w:t xml:space="preserve"> </w:t>
      </w:r>
      <w:r w:rsidRPr="00412902">
        <w:rPr>
          <w:rFonts w:ascii="Times New Roman" w:hAnsi="Times New Roman" w:cs="Times New Roman"/>
          <w:bCs/>
          <w:sz w:val="24"/>
          <w:szCs w:val="24"/>
        </w:rPr>
        <w:t xml:space="preserve">Evidence of what the witness was told by the deceased is all hearsay evidence and is generally inadmissible. As will be illustrated later, it can only be admitted if it qualifies as one of the several exceptions to the rule against hearsay. </w:t>
      </w:r>
    </w:p>
    <w:p w:rsidR="00752F11" w:rsidRPr="00412902" w:rsidRDefault="00752F11"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Tendai Nyamayaro</w:t>
      </w:r>
    </w:p>
    <w:p w:rsidR="00752F11" w:rsidRPr="00412902" w:rsidRDefault="00752F11"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He is the deceased’s son. He saw the deceased when she was already at the clinic. Besides what the deceased had already told the other witnesses, she added to this witness that the assailant had a bag around his waist. She also did not mention the accused by name. </w:t>
      </w:r>
    </w:p>
    <w:p w:rsidR="00752F11" w:rsidRPr="00412902" w:rsidRDefault="00752F11"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Vincent Marunya</w:t>
      </w:r>
    </w:p>
    <w:p w:rsidR="009E528A" w:rsidRPr="00412902" w:rsidRDefault="00752F11"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He is the investigating officer. His evidence was immaterial. At times we are left wondering whether prosecutors think that it is</w:t>
      </w:r>
      <w:r w:rsidR="0048716C">
        <w:rPr>
          <w:rFonts w:ascii="Times New Roman" w:hAnsi="Times New Roman" w:cs="Times New Roman"/>
          <w:bCs/>
          <w:sz w:val="24"/>
          <w:szCs w:val="24"/>
        </w:rPr>
        <w:t xml:space="preserve"> a</w:t>
      </w:r>
      <w:r w:rsidRPr="00412902">
        <w:rPr>
          <w:rFonts w:ascii="Times New Roman" w:hAnsi="Times New Roman" w:cs="Times New Roman"/>
          <w:bCs/>
          <w:sz w:val="24"/>
          <w:szCs w:val="24"/>
        </w:rPr>
        <w:t xml:space="preserve"> requirement that investigating officers must always testify. It is not. When they have nothin</w:t>
      </w:r>
      <w:r w:rsidR="0048716C">
        <w:rPr>
          <w:rFonts w:ascii="Times New Roman" w:hAnsi="Times New Roman" w:cs="Times New Roman"/>
          <w:bCs/>
          <w:sz w:val="24"/>
          <w:szCs w:val="24"/>
        </w:rPr>
        <w:t>g independent from what they were</w:t>
      </w:r>
      <w:r w:rsidRPr="00412902">
        <w:rPr>
          <w:rFonts w:ascii="Times New Roman" w:hAnsi="Times New Roman" w:cs="Times New Roman"/>
          <w:bCs/>
          <w:sz w:val="24"/>
          <w:szCs w:val="24"/>
        </w:rPr>
        <w:t xml:space="preserve"> told by </w:t>
      </w:r>
      <w:r w:rsidR="0048716C">
        <w:rPr>
          <w:rFonts w:ascii="Times New Roman" w:hAnsi="Times New Roman" w:cs="Times New Roman"/>
          <w:bCs/>
          <w:sz w:val="24"/>
          <w:szCs w:val="24"/>
        </w:rPr>
        <w:t>witnesses</w:t>
      </w:r>
      <w:r w:rsidRPr="00412902">
        <w:rPr>
          <w:rFonts w:ascii="Times New Roman" w:hAnsi="Times New Roman" w:cs="Times New Roman"/>
          <w:bCs/>
          <w:sz w:val="24"/>
          <w:szCs w:val="24"/>
        </w:rPr>
        <w:t xml:space="preserve"> </w:t>
      </w:r>
      <w:r w:rsidR="009E528A" w:rsidRPr="00412902">
        <w:rPr>
          <w:rFonts w:ascii="Times New Roman" w:hAnsi="Times New Roman" w:cs="Times New Roman"/>
          <w:bCs/>
          <w:sz w:val="24"/>
          <w:szCs w:val="24"/>
        </w:rPr>
        <w:t>which</w:t>
      </w:r>
      <w:r w:rsidRPr="00412902">
        <w:rPr>
          <w:rFonts w:ascii="Times New Roman" w:hAnsi="Times New Roman" w:cs="Times New Roman"/>
          <w:bCs/>
          <w:sz w:val="24"/>
          <w:szCs w:val="24"/>
        </w:rPr>
        <w:t xml:space="preserve"> could possibly add value to the state’s case, there is no reason why they should be called to court. To appear in court and simply parrot the testimonies of witnesses </w:t>
      </w:r>
      <w:r w:rsidR="009E528A" w:rsidRPr="00412902">
        <w:rPr>
          <w:rFonts w:ascii="Times New Roman" w:hAnsi="Times New Roman" w:cs="Times New Roman"/>
          <w:bCs/>
          <w:sz w:val="24"/>
          <w:szCs w:val="24"/>
        </w:rPr>
        <w:t xml:space="preserve">adds no value. The danger it poses </w:t>
      </w:r>
      <w:r w:rsidRPr="00412902">
        <w:rPr>
          <w:rFonts w:ascii="Times New Roman" w:hAnsi="Times New Roman" w:cs="Times New Roman"/>
          <w:bCs/>
          <w:sz w:val="24"/>
          <w:szCs w:val="24"/>
        </w:rPr>
        <w:t>is apparent. Prosecutors seek to introduce hearsay ev</w:t>
      </w:r>
      <w:r w:rsidR="009E528A" w:rsidRPr="00412902">
        <w:rPr>
          <w:rFonts w:ascii="Times New Roman" w:hAnsi="Times New Roman" w:cs="Times New Roman"/>
          <w:bCs/>
          <w:sz w:val="24"/>
          <w:szCs w:val="24"/>
        </w:rPr>
        <w:t xml:space="preserve">idence via the backdoor. It equally results in a lot of haggling about introduction of extra curial statements without following the prescribed procedures. </w:t>
      </w:r>
    </w:p>
    <w:p w:rsidR="00752F11" w:rsidRPr="00412902" w:rsidRDefault="009E528A"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Samuel Makonese</w:t>
      </w:r>
      <w:r w:rsidR="00752F11" w:rsidRPr="00412902">
        <w:rPr>
          <w:rFonts w:ascii="Times New Roman" w:hAnsi="Times New Roman" w:cs="Times New Roman"/>
          <w:b/>
          <w:bCs/>
          <w:sz w:val="24"/>
          <w:szCs w:val="24"/>
        </w:rPr>
        <w:t xml:space="preserve">  </w:t>
      </w:r>
    </w:p>
    <w:p w:rsidR="002D4509" w:rsidRPr="00412902" w:rsidRDefault="009E528A"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lastRenderedPageBreak/>
        <w:t xml:space="preserve">He is the police officer who recorded the deceased person’s statement. </w:t>
      </w:r>
      <w:r w:rsidR="0048716C">
        <w:rPr>
          <w:rFonts w:ascii="Times New Roman" w:hAnsi="Times New Roman" w:cs="Times New Roman"/>
          <w:bCs/>
          <w:sz w:val="24"/>
          <w:szCs w:val="24"/>
        </w:rPr>
        <w:t xml:space="preserve">The officer alleges that </w:t>
      </w:r>
      <w:r w:rsidR="0048716C" w:rsidRPr="00412902">
        <w:rPr>
          <w:rFonts w:ascii="Times New Roman" w:hAnsi="Times New Roman" w:cs="Times New Roman"/>
          <w:bCs/>
          <w:sz w:val="24"/>
          <w:szCs w:val="24"/>
        </w:rPr>
        <w:t>in</w:t>
      </w:r>
      <w:r w:rsidRPr="00412902">
        <w:rPr>
          <w:rFonts w:ascii="Times New Roman" w:hAnsi="Times New Roman" w:cs="Times New Roman"/>
          <w:bCs/>
          <w:sz w:val="24"/>
          <w:szCs w:val="24"/>
        </w:rPr>
        <w:t xml:space="preserve"> it and in addition to the earlier descriptions, the deceased specifically mentioned that the person who had attacked her was the accused. </w:t>
      </w:r>
    </w:p>
    <w:p w:rsidR="004F2E87" w:rsidRDefault="004F2E87" w:rsidP="00412902">
      <w:pPr>
        <w:spacing w:line="360" w:lineRule="auto"/>
        <w:jc w:val="both"/>
        <w:rPr>
          <w:rFonts w:ascii="Times New Roman" w:hAnsi="Times New Roman" w:cs="Times New Roman"/>
          <w:b/>
          <w:bCs/>
          <w:sz w:val="24"/>
          <w:szCs w:val="24"/>
        </w:rPr>
      </w:pPr>
    </w:p>
    <w:p w:rsidR="00827F90" w:rsidRPr="00412902" w:rsidRDefault="00827F90"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Francis Karape</w:t>
      </w:r>
    </w:p>
    <w:p w:rsidR="00827F90" w:rsidRPr="00412902" w:rsidRDefault="00827F90"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On the night in question the witness heard the information that </w:t>
      </w:r>
      <w:r w:rsidR="006262B7" w:rsidRPr="00412902">
        <w:rPr>
          <w:rFonts w:ascii="Times New Roman" w:hAnsi="Times New Roman" w:cs="Times New Roman"/>
          <w:bCs/>
          <w:sz w:val="24"/>
          <w:szCs w:val="24"/>
        </w:rPr>
        <w:t xml:space="preserve">someone had stolen from </w:t>
      </w:r>
      <w:r w:rsidRPr="00412902">
        <w:rPr>
          <w:rFonts w:ascii="Times New Roman" w:hAnsi="Times New Roman" w:cs="Times New Roman"/>
          <w:bCs/>
          <w:sz w:val="24"/>
          <w:szCs w:val="24"/>
        </w:rPr>
        <w:t>the d</w:t>
      </w:r>
      <w:r w:rsidR="006262B7" w:rsidRPr="00412902">
        <w:rPr>
          <w:rFonts w:ascii="Times New Roman" w:hAnsi="Times New Roman" w:cs="Times New Roman"/>
          <w:bCs/>
          <w:sz w:val="24"/>
          <w:szCs w:val="24"/>
        </w:rPr>
        <w:t>eceased’s</w:t>
      </w:r>
      <w:r w:rsidRPr="00412902">
        <w:rPr>
          <w:rFonts w:ascii="Times New Roman" w:hAnsi="Times New Roman" w:cs="Times New Roman"/>
          <w:bCs/>
          <w:sz w:val="24"/>
          <w:szCs w:val="24"/>
        </w:rPr>
        <w:t xml:space="preserve"> homestead. He was at his residence and preparing to take a bath. His wi</w:t>
      </w:r>
      <w:r w:rsidR="0048716C">
        <w:rPr>
          <w:rFonts w:ascii="Times New Roman" w:hAnsi="Times New Roman" w:cs="Times New Roman"/>
          <w:bCs/>
          <w:sz w:val="24"/>
          <w:szCs w:val="24"/>
        </w:rPr>
        <w:t>fe advised him that there was</w:t>
      </w:r>
      <w:r w:rsidRPr="00412902">
        <w:rPr>
          <w:rFonts w:ascii="Times New Roman" w:hAnsi="Times New Roman" w:cs="Times New Roman"/>
          <w:bCs/>
          <w:sz w:val="24"/>
          <w:szCs w:val="24"/>
        </w:rPr>
        <w:t xml:space="preserve"> someone with a torch </w:t>
      </w:r>
      <w:r w:rsidR="0048716C">
        <w:rPr>
          <w:rFonts w:ascii="Times New Roman" w:hAnsi="Times New Roman" w:cs="Times New Roman"/>
          <w:bCs/>
          <w:sz w:val="24"/>
          <w:szCs w:val="24"/>
        </w:rPr>
        <w:t xml:space="preserve">who was </w:t>
      </w:r>
      <w:r w:rsidRPr="00412902">
        <w:rPr>
          <w:rFonts w:ascii="Times New Roman" w:hAnsi="Times New Roman" w:cs="Times New Roman"/>
          <w:bCs/>
          <w:sz w:val="24"/>
          <w:szCs w:val="24"/>
        </w:rPr>
        <w:t>approaching</w:t>
      </w:r>
      <w:r w:rsidR="0048716C">
        <w:rPr>
          <w:rFonts w:ascii="Times New Roman" w:hAnsi="Times New Roman" w:cs="Times New Roman"/>
          <w:bCs/>
          <w:sz w:val="24"/>
          <w:szCs w:val="24"/>
        </w:rPr>
        <w:t xml:space="preserve"> their homestead</w:t>
      </w:r>
      <w:r w:rsidRPr="00412902">
        <w:rPr>
          <w:rFonts w:ascii="Times New Roman" w:hAnsi="Times New Roman" w:cs="Times New Roman"/>
          <w:bCs/>
          <w:sz w:val="24"/>
          <w:szCs w:val="24"/>
        </w:rPr>
        <w:t>. He checked and saw the light. The person who bore the torch light heard their voices and suddenly stopped. The witness then inquired who the stranger was. Instead of answering</w:t>
      </w:r>
      <w:r w:rsidR="0048716C">
        <w:rPr>
          <w:rFonts w:ascii="Times New Roman" w:hAnsi="Times New Roman" w:cs="Times New Roman"/>
          <w:bCs/>
          <w:sz w:val="24"/>
          <w:szCs w:val="24"/>
        </w:rPr>
        <w:t>,</w:t>
      </w:r>
      <w:r w:rsidRPr="00412902">
        <w:rPr>
          <w:rFonts w:ascii="Times New Roman" w:hAnsi="Times New Roman" w:cs="Times New Roman"/>
          <w:bCs/>
          <w:sz w:val="24"/>
          <w:szCs w:val="24"/>
        </w:rPr>
        <w:t xml:space="preserve"> the person hid be</w:t>
      </w:r>
      <w:r w:rsidR="0048716C">
        <w:rPr>
          <w:rFonts w:ascii="Times New Roman" w:hAnsi="Times New Roman" w:cs="Times New Roman"/>
          <w:bCs/>
          <w:sz w:val="24"/>
          <w:szCs w:val="24"/>
        </w:rPr>
        <w:t>hind a bush. The torch light unfortunately still illuminated the bush and was visible</w:t>
      </w:r>
      <w:r w:rsidRPr="00412902">
        <w:rPr>
          <w:rFonts w:ascii="Times New Roman" w:hAnsi="Times New Roman" w:cs="Times New Roman"/>
          <w:bCs/>
          <w:sz w:val="24"/>
          <w:szCs w:val="24"/>
        </w:rPr>
        <w:t xml:space="preserve">. </w:t>
      </w:r>
      <w:r w:rsidR="006262B7" w:rsidRPr="00412902">
        <w:rPr>
          <w:rFonts w:ascii="Times New Roman" w:hAnsi="Times New Roman" w:cs="Times New Roman"/>
          <w:bCs/>
          <w:sz w:val="24"/>
          <w:szCs w:val="24"/>
        </w:rPr>
        <w:t>The witness drew closer to the bush where he threw stones towards it</w:t>
      </w:r>
      <w:r w:rsidRPr="00412902">
        <w:rPr>
          <w:rFonts w:ascii="Times New Roman" w:hAnsi="Times New Roman" w:cs="Times New Roman"/>
          <w:bCs/>
          <w:sz w:val="24"/>
          <w:szCs w:val="24"/>
        </w:rPr>
        <w:t xml:space="preserve">. The person took off. He pursued </w:t>
      </w:r>
      <w:r w:rsidR="006262B7" w:rsidRPr="00412902">
        <w:rPr>
          <w:rFonts w:ascii="Times New Roman" w:hAnsi="Times New Roman" w:cs="Times New Roman"/>
          <w:bCs/>
          <w:sz w:val="24"/>
          <w:szCs w:val="24"/>
        </w:rPr>
        <w:t xml:space="preserve">him. Dogs at homesteads around the area started barking. </w:t>
      </w:r>
      <w:r w:rsidRPr="00412902">
        <w:rPr>
          <w:rFonts w:ascii="Times New Roman" w:hAnsi="Times New Roman" w:cs="Times New Roman"/>
          <w:bCs/>
          <w:sz w:val="24"/>
          <w:szCs w:val="24"/>
        </w:rPr>
        <w:t xml:space="preserve">During that time the witness said he </w:t>
      </w:r>
      <w:r w:rsidR="006262B7" w:rsidRPr="00412902">
        <w:rPr>
          <w:rFonts w:ascii="Times New Roman" w:hAnsi="Times New Roman" w:cs="Times New Roman"/>
          <w:bCs/>
          <w:sz w:val="24"/>
          <w:szCs w:val="24"/>
        </w:rPr>
        <w:t xml:space="preserve">then </w:t>
      </w:r>
      <w:r w:rsidRPr="00412902">
        <w:rPr>
          <w:rFonts w:ascii="Times New Roman" w:hAnsi="Times New Roman" w:cs="Times New Roman"/>
          <w:bCs/>
          <w:sz w:val="24"/>
          <w:szCs w:val="24"/>
        </w:rPr>
        <w:t>called the aid of his friend called</w:t>
      </w:r>
      <w:r w:rsidRPr="0048716C">
        <w:rPr>
          <w:rFonts w:ascii="Times New Roman" w:hAnsi="Times New Roman" w:cs="Times New Roman"/>
          <w:bCs/>
          <w:i/>
          <w:sz w:val="24"/>
          <w:szCs w:val="24"/>
        </w:rPr>
        <w:t xml:space="preserve"> Shingirai</w:t>
      </w:r>
      <w:r w:rsidR="006262B7" w:rsidRPr="00412902">
        <w:rPr>
          <w:rFonts w:ascii="Times New Roman" w:hAnsi="Times New Roman" w:cs="Times New Roman"/>
          <w:bCs/>
          <w:sz w:val="24"/>
          <w:szCs w:val="24"/>
        </w:rPr>
        <w:t xml:space="preserve"> who came out armed with a catapult. </w:t>
      </w:r>
      <w:r w:rsidRPr="00412902">
        <w:rPr>
          <w:rFonts w:ascii="Times New Roman" w:hAnsi="Times New Roman" w:cs="Times New Roman"/>
          <w:bCs/>
          <w:sz w:val="24"/>
          <w:szCs w:val="24"/>
        </w:rPr>
        <w:t xml:space="preserve">Together, they followed the light and went ahead of the person to ambush him. Oblivious of their presence ahead of him, the person then </w:t>
      </w:r>
      <w:r w:rsidR="006262B7" w:rsidRPr="00412902">
        <w:rPr>
          <w:rFonts w:ascii="Times New Roman" w:hAnsi="Times New Roman" w:cs="Times New Roman"/>
          <w:bCs/>
          <w:sz w:val="24"/>
          <w:szCs w:val="24"/>
        </w:rPr>
        <w:t xml:space="preserve">heard some sound from the bush. He </w:t>
      </w:r>
      <w:r w:rsidRPr="00412902">
        <w:rPr>
          <w:rFonts w:ascii="Times New Roman" w:hAnsi="Times New Roman" w:cs="Times New Roman"/>
          <w:bCs/>
          <w:sz w:val="24"/>
          <w:szCs w:val="24"/>
        </w:rPr>
        <w:t xml:space="preserve">increased the beam of his torch. The witness and </w:t>
      </w:r>
      <w:r w:rsidRPr="0048716C">
        <w:rPr>
          <w:rFonts w:ascii="Times New Roman" w:hAnsi="Times New Roman" w:cs="Times New Roman"/>
          <w:bCs/>
          <w:i/>
          <w:sz w:val="24"/>
          <w:szCs w:val="24"/>
        </w:rPr>
        <w:t xml:space="preserve">Shingirai </w:t>
      </w:r>
      <w:r w:rsidRPr="00412902">
        <w:rPr>
          <w:rFonts w:ascii="Times New Roman" w:hAnsi="Times New Roman" w:cs="Times New Roman"/>
          <w:bCs/>
          <w:sz w:val="24"/>
          <w:szCs w:val="24"/>
        </w:rPr>
        <w:t xml:space="preserve">got the opportunity to jump out </w:t>
      </w:r>
      <w:r w:rsidR="006262B7" w:rsidRPr="00412902">
        <w:rPr>
          <w:rFonts w:ascii="Times New Roman" w:hAnsi="Times New Roman" w:cs="Times New Roman"/>
          <w:bCs/>
          <w:sz w:val="24"/>
          <w:szCs w:val="24"/>
        </w:rPr>
        <w:t xml:space="preserve">from </w:t>
      </w:r>
      <w:r w:rsidRPr="00412902">
        <w:rPr>
          <w:rFonts w:ascii="Times New Roman" w:hAnsi="Times New Roman" w:cs="Times New Roman"/>
          <w:bCs/>
          <w:sz w:val="24"/>
          <w:szCs w:val="24"/>
        </w:rPr>
        <w:t>their hiding place and apprehended the person</w:t>
      </w:r>
      <w:r w:rsidR="0048716C">
        <w:rPr>
          <w:rFonts w:ascii="Times New Roman" w:hAnsi="Times New Roman" w:cs="Times New Roman"/>
          <w:bCs/>
          <w:sz w:val="24"/>
          <w:szCs w:val="24"/>
        </w:rPr>
        <w:t>. He</w:t>
      </w:r>
      <w:r w:rsidRPr="00412902">
        <w:rPr>
          <w:rFonts w:ascii="Times New Roman" w:hAnsi="Times New Roman" w:cs="Times New Roman"/>
          <w:bCs/>
          <w:sz w:val="24"/>
          <w:szCs w:val="24"/>
        </w:rPr>
        <w:t xml:space="preserve"> turned out to be the accused. They knew him as a local resident. </w:t>
      </w:r>
      <w:r w:rsidR="0048716C">
        <w:rPr>
          <w:rFonts w:ascii="Times New Roman" w:hAnsi="Times New Roman" w:cs="Times New Roman"/>
          <w:bCs/>
          <w:sz w:val="24"/>
          <w:szCs w:val="24"/>
        </w:rPr>
        <w:t>There was a struggle</w:t>
      </w:r>
      <w:r w:rsidR="00F83F78">
        <w:rPr>
          <w:rFonts w:ascii="Times New Roman" w:hAnsi="Times New Roman" w:cs="Times New Roman"/>
          <w:bCs/>
          <w:sz w:val="24"/>
          <w:szCs w:val="24"/>
        </w:rPr>
        <w:t xml:space="preserve">. </w:t>
      </w:r>
      <w:r w:rsidR="00F83F78" w:rsidRPr="00412902">
        <w:rPr>
          <w:rFonts w:ascii="Times New Roman" w:hAnsi="Times New Roman" w:cs="Times New Roman"/>
          <w:bCs/>
          <w:sz w:val="24"/>
          <w:szCs w:val="24"/>
        </w:rPr>
        <w:t>At one time the accused actually grabbed the witness’s privates.</w:t>
      </w:r>
      <w:r w:rsidR="0048716C">
        <w:rPr>
          <w:rFonts w:ascii="Times New Roman" w:hAnsi="Times New Roman" w:cs="Times New Roman"/>
          <w:bCs/>
          <w:sz w:val="24"/>
          <w:szCs w:val="24"/>
        </w:rPr>
        <w:t xml:space="preserve">  </w:t>
      </w:r>
      <w:r w:rsidR="00F83F78">
        <w:rPr>
          <w:rFonts w:ascii="Times New Roman" w:hAnsi="Times New Roman" w:cs="Times New Roman"/>
          <w:bCs/>
          <w:sz w:val="24"/>
          <w:szCs w:val="24"/>
        </w:rPr>
        <w:t>They</w:t>
      </w:r>
      <w:r w:rsidR="0048716C">
        <w:rPr>
          <w:rFonts w:ascii="Times New Roman" w:hAnsi="Times New Roman" w:cs="Times New Roman"/>
          <w:bCs/>
          <w:sz w:val="24"/>
          <w:szCs w:val="24"/>
        </w:rPr>
        <w:t xml:space="preserve"> ultimately</w:t>
      </w:r>
      <w:r w:rsidR="006262B7" w:rsidRPr="00412902">
        <w:rPr>
          <w:rFonts w:ascii="Times New Roman" w:hAnsi="Times New Roman" w:cs="Times New Roman"/>
          <w:bCs/>
          <w:sz w:val="24"/>
          <w:szCs w:val="24"/>
        </w:rPr>
        <w:t xml:space="preserve"> subdue</w:t>
      </w:r>
      <w:r w:rsidR="0048716C">
        <w:rPr>
          <w:rFonts w:ascii="Times New Roman" w:hAnsi="Times New Roman" w:cs="Times New Roman"/>
          <w:bCs/>
          <w:sz w:val="24"/>
          <w:szCs w:val="24"/>
        </w:rPr>
        <w:t>d</w:t>
      </w:r>
      <w:r w:rsidR="006262B7" w:rsidRPr="00412902">
        <w:rPr>
          <w:rFonts w:ascii="Times New Roman" w:hAnsi="Times New Roman" w:cs="Times New Roman"/>
          <w:bCs/>
          <w:sz w:val="24"/>
          <w:szCs w:val="24"/>
        </w:rPr>
        <w:t xml:space="preserve"> him. </w:t>
      </w:r>
      <w:r w:rsidRPr="00412902">
        <w:rPr>
          <w:rFonts w:ascii="Times New Roman" w:hAnsi="Times New Roman" w:cs="Times New Roman"/>
          <w:bCs/>
          <w:sz w:val="24"/>
          <w:szCs w:val="24"/>
        </w:rPr>
        <w:t xml:space="preserve">What surprised them was that the accused was wearing clothes belonging to one of their </w:t>
      </w:r>
      <w:r w:rsidR="006262B7" w:rsidRPr="00412902">
        <w:rPr>
          <w:rFonts w:ascii="Times New Roman" w:hAnsi="Times New Roman" w:cs="Times New Roman"/>
          <w:bCs/>
          <w:sz w:val="24"/>
          <w:szCs w:val="24"/>
        </w:rPr>
        <w:t>neighbours on top of his own</w:t>
      </w:r>
      <w:r w:rsidRPr="00412902">
        <w:rPr>
          <w:rFonts w:ascii="Times New Roman" w:hAnsi="Times New Roman" w:cs="Times New Roman"/>
          <w:bCs/>
          <w:sz w:val="24"/>
          <w:szCs w:val="24"/>
        </w:rPr>
        <w:t>.</w:t>
      </w:r>
      <w:r w:rsidR="006262B7" w:rsidRPr="00412902">
        <w:rPr>
          <w:rFonts w:ascii="Times New Roman" w:hAnsi="Times New Roman" w:cs="Times New Roman"/>
          <w:bCs/>
          <w:sz w:val="24"/>
          <w:szCs w:val="24"/>
        </w:rPr>
        <w:t xml:space="preserve">  The witness described the clothes as</w:t>
      </w:r>
      <w:r w:rsidRPr="00412902">
        <w:rPr>
          <w:rFonts w:ascii="Times New Roman" w:hAnsi="Times New Roman" w:cs="Times New Roman"/>
          <w:bCs/>
          <w:sz w:val="24"/>
          <w:szCs w:val="24"/>
        </w:rPr>
        <w:t xml:space="preserve"> a white shirt, orange cap and a black trousers. He</w:t>
      </w:r>
      <w:r w:rsidR="006262B7" w:rsidRPr="00412902">
        <w:rPr>
          <w:rFonts w:ascii="Times New Roman" w:hAnsi="Times New Roman" w:cs="Times New Roman"/>
          <w:bCs/>
          <w:sz w:val="24"/>
          <w:szCs w:val="24"/>
        </w:rPr>
        <w:t xml:space="preserve"> had tinted hair. </w:t>
      </w:r>
      <w:r w:rsidRPr="00412902">
        <w:rPr>
          <w:rFonts w:ascii="Times New Roman" w:hAnsi="Times New Roman" w:cs="Times New Roman"/>
          <w:bCs/>
          <w:sz w:val="24"/>
          <w:szCs w:val="24"/>
        </w:rPr>
        <w:t xml:space="preserve">When they apprehended him, he was going in the direction opposite to where his homestead was. </w:t>
      </w:r>
      <w:r w:rsidR="006262B7" w:rsidRPr="00412902">
        <w:rPr>
          <w:rFonts w:ascii="Times New Roman" w:hAnsi="Times New Roman" w:cs="Times New Roman"/>
          <w:bCs/>
          <w:sz w:val="24"/>
          <w:szCs w:val="24"/>
        </w:rPr>
        <w:t xml:space="preserve">The point at which they apprehended him was about two kilometres from the accused’s homestead. They then took him </w:t>
      </w:r>
      <w:r w:rsidRPr="00412902">
        <w:rPr>
          <w:rFonts w:ascii="Times New Roman" w:hAnsi="Times New Roman" w:cs="Times New Roman"/>
          <w:bCs/>
          <w:sz w:val="24"/>
          <w:szCs w:val="24"/>
        </w:rPr>
        <w:t>to Chiris</w:t>
      </w:r>
      <w:r w:rsidR="00204287" w:rsidRPr="00412902">
        <w:rPr>
          <w:rFonts w:ascii="Times New Roman" w:hAnsi="Times New Roman" w:cs="Times New Roman"/>
          <w:bCs/>
          <w:sz w:val="24"/>
          <w:szCs w:val="24"/>
        </w:rPr>
        <w:t>eri clinic as narrated earlier.</w:t>
      </w:r>
      <w:r w:rsidR="006262B7" w:rsidRPr="00412902">
        <w:rPr>
          <w:rFonts w:ascii="Times New Roman" w:hAnsi="Times New Roman" w:cs="Times New Roman"/>
          <w:bCs/>
          <w:sz w:val="24"/>
          <w:szCs w:val="24"/>
        </w:rPr>
        <w:t xml:space="preserve"> Nothing material came out of the witness’s cross examination by accused’s counsel. The witness’s evidence remained largely intact. This was a witness who did not know what had transpired at the deceased’s homestead. He was not even aware that the deceased had been severely assaulted. All that he knew was that there was a thief who had stolen from that residence. He appeared very forthright. His demeanour depicted confidence in what he narrated to the court. He was honest not to delve into matters in which he had no knowledge. Even the accused himself could not allege any motive for the witness to falsely incriminate him. The court fully believed his testimony. It was credible. </w:t>
      </w:r>
    </w:p>
    <w:p w:rsidR="00204287" w:rsidRPr="00412902" w:rsidRDefault="00204287"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lastRenderedPageBreak/>
        <w:t>The defence case</w:t>
      </w:r>
    </w:p>
    <w:p w:rsidR="000F507B" w:rsidRPr="00412902" w:rsidRDefault="00204287"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The accused was the sole witness in his defence. He stood </w:t>
      </w:r>
      <w:r w:rsidR="009E6417" w:rsidRPr="00412902">
        <w:rPr>
          <w:rFonts w:ascii="Times New Roman" w:hAnsi="Times New Roman" w:cs="Times New Roman"/>
          <w:bCs/>
          <w:sz w:val="24"/>
          <w:szCs w:val="24"/>
        </w:rPr>
        <w:t>by his</w:t>
      </w:r>
      <w:r w:rsidRPr="00412902">
        <w:rPr>
          <w:rFonts w:ascii="Times New Roman" w:hAnsi="Times New Roman" w:cs="Times New Roman"/>
          <w:bCs/>
          <w:sz w:val="24"/>
          <w:szCs w:val="24"/>
        </w:rPr>
        <w:t xml:space="preserve"> defence outline. He added that his homestead is about two hundred metres away from that of the deceased. He actually referred to the deceased as his grandmother. He had known her for over two decades. On the fateful night he was drinking beer at Chiriseri nightclub a local drinking joint in the area. He left the beer hall with the intention to go home around 2000 hours. The usual road from the shopping centre to his homestead passes through the </w:t>
      </w:r>
      <w:r w:rsidR="004F2E87">
        <w:rPr>
          <w:rFonts w:ascii="Times New Roman" w:hAnsi="Times New Roman" w:cs="Times New Roman"/>
          <w:bCs/>
          <w:sz w:val="24"/>
          <w:szCs w:val="24"/>
        </w:rPr>
        <w:t>decease</w:t>
      </w:r>
      <w:r w:rsidRPr="00412902">
        <w:rPr>
          <w:rFonts w:ascii="Times New Roman" w:hAnsi="Times New Roman" w:cs="Times New Roman"/>
          <w:bCs/>
          <w:sz w:val="24"/>
          <w:szCs w:val="24"/>
        </w:rPr>
        <w:t xml:space="preserve">d’s residence. That evening he used a longer route which did not pass through the deceased’s homestead. His explanation for that detour was that he intended to see his workmates to discuss a job they wanted to undertake. It was when he was on his way to his colleague’s place that </w:t>
      </w:r>
      <w:r w:rsidRPr="00F83F78">
        <w:rPr>
          <w:rFonts w:ascii="Times New Roman" w:hAnsi="Times New Roman" w:cs="Times New Roman"/>
          <w:bCs/>
          <w:i/>
          <w:sz w:val="24"/>
          <w:szCs w:val="24"/>
        </w:rPr>
        <w:t>Francis Karape</w:t>
      </w:r>
      <w:r w:rsidRPr="00412902">
        <w:rPr>
          <w:rFonts w:ascii="Times New Roman" w:hAnsi="Times New Roman" w:cs="Times New Roman"/>
          <w:bCs/>
          <w:sz w:val="24"/>
          <w:szCs w:val="24"/>
        </w:rPr>
        <w:t xml:space="preserve"> and </w:t>
      </w:r>
      <w:r w:rsidRPr="00F83F78">
        <w:rPr>
          <w:rFonts w:ascii="Times New Roman" w:hAnsi="Times New Roman" w:cs="Times New Roman"/>
          <w:bCs/>
          <w:i/>
          <w:sz w:val="24"/>
          <w:szCs w:val="24"/>
        </w:rPr>
        <w:t xml:space="preserve">Shingirai </w:t>
      </w:r>
      <w:r w:rsidRPr="00412902">
        <w:rPr>
          <w:rFonts w:ascii="Times New Roman" w:hAnsi="Times New Roman" w:cs="Times New Roman"/>
          <w:bCs/>
          <w:sz w:val="24"/>
          <w:szCs w:val="24"/>
        </w:rPr>
        <w:t xml:space="preserve">apprehended him. Contrary to his captors’ testimony, he did not have any torch on his person at the time they apprehended him. He admitted however that he was wearing a black vest, a pair of trousers and that his hair was tinted. Francis and </w:t>
      </w:r>
      <w:r w:rsidRPr="00F83F78">
        <w:rPr>
          <w:rFonts w:ascii="Times New Roman" w:hAnsi="Times New Roman" w:cs="Times New Roman"/>
          <w:bCs/>
          <w:i/>
          <w:sz w:val="24"/>
          <w:szCs w:val="24"/>
        </w:rPr>
        <w:t xml:space="preserve">Shingirai </w:t>
      </w:r>
      <w:r w:rsidRPr="00412902">
        <w:rPr>
          <w:rFonts w:ascii="Times New Roman" w:hAnsi="Times New Roman" w:cs="Times New Roman"/>
          <w:bCs/>
          <w:sz w:val="24"/>
          <w:szCs w:val="24"/>
        </w:rPr>
        <w:t xml:space="preserve">took him to Chiriseri Clinic where he was assaulted by a mob which had gathered there. He was taken inside the clinic where the deceased was. She was still alive but did not mention that he was the assailant either by name or by identifying him. </w:t>
      </w:r>
      <w:r w:rsidR="00F83F78">
        <w:rPr>
          <w:rFonts w:ascii="Times New Roman" w:hAnsi="Times New Roman" w:cs="Times New Roman"/>
          <w:bCs/>
          <w:sz w:val="24"/>
          <w:szCs w:val="24"/>
        </w:rPr>
        <w:t xml:space="preserve">He then closed his case. </w:t>
      </w:r>
    </w:p>
    <w:p w:rsidR="00204287" w:rsidRPr="00412902" w:rsidRDefault="00F83F78" w:rsidP="004F2E87">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In her</w:t>
      </w:r>
      <w:r w:rsidR="000F507B" w:rsidRPr="00412902">
        <w:rPr>
          <w:rFonts w:ascii="Times New Roman" w:hAnsi="Times New Roman" w:cs="Times New Roman"/>
          <w:bCs/>
          <w:sz w:val="24"/>
          <w:szCs w:val="24"/>
        </w:rPr>
        <w:t xml:space="preserve"> closing submissions the prosecutor rightly pointed out that her case depended largely on circumstantial evidence. She further argued that the hearsay evidence she had adduced was admissible on the basis of the exception of dying decl</w:t>
      </w:r>
      <w:r>
        <w:rPr>
          <w:rFonts w:ascii="Times New Roman" w:hAnsi="Times New Roman" w:cs="Times New Roman"/>
          <w:bCs/>
          <w:sz w:val="24"/>
          <w:szCs w:val="24"/>
        </w:rPr>
        <w:t>arations as provided in</w:t>
      </w:r>
      <w:r w:rsidR="000F507B" w:rsidRPr="00412902">
        <w:rPr>
          <w:rFonts w:ascii="Times New Roman" w:hAnsi="Times New Roman" w:cs="Times New Roman"/>
          <w:bCs/>
          <w:sz w:val="24"/>
          <w:szCs w:val="24"/>
        </w:rPr>
        <w:t xml:space="preserve"> s 254 of the CP &amp; E Act. Counsel for the accused also agreed that resolution of the matter revolved around the sufficiency of the circumstantial </w:t>
      </w:r>
      <w:r>
        <w:rPr>
          <w:rFonts w:ascii="Times New Roman" w:hAnsi="Times New Roman" w:cs="Times New Roman"/>
          <w:bCs/>
          <w:sz w:val="24"/>
          <w:szCs w:val="24"/>
        </w:rPr>
        <w:t xml:space="preserve">evidence </w:t>
      </w:r>
      <w:r w:rsidR="000F507B" w:rsidRPr="00412902">
        <w:rPr>
          <w:rFonts w:ascii="Times New Roman" w:hAnsi="Times New Roman" w:cs="Times New Roman"/>
          <w:bCs/>
          <w:sz w:val="24"/>
          <w:szCs w:val="24"/>
        </w:rPr>
        <w:t xml:space="preserve">which was available. He made no submission in relation to the admissibility of the hearsay evidence on which the entire case is hinged. Both counsel referred the court to several authorities dealing with circumstantial evidence. The court is grateful for their assistance in that regard.   </w:t>
      </w:r>
      <w:r w:rsidR="00204287" w:rsidRPr="00412902">
        <w:rPr>
          <w:rFonts w:ascii="Times New Roman" w:hAnsi="Times New Roman" w:cs="Times New Roman"/>
          <w:bCs/>
          <w:sz w:val="24"/>
          <w:szCs w:val="24"/>
        </w:rPr>
        <w:t xml:space="preserve"> </w:t>
      </w:r>
    </w:p>
    <w:p w:rsidR="00204287" w:rsidRPr="00412902" w:rsidRDefault="00204287" w:rsidP="004F2E87">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The issues for determination</w:t>
      </w:r>
    </w:p>
    <w:p w:rsidR="00AC750B" w:rsidRPr="00412902" w:rsidRDefault="00AC750B"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    There are two issues which stand out for discussion in this case.  The first one relates to the admissibility of the hearsay evidence relating to what the deceased told </w:t>
      </w:r>
      <w:r w:rsidRPr="00F83F78">
        <w:rPr>
          <w:rFonts w:ascii="Times New Roman" w:hAnsi="Times New Roman" w:cs="Times New Roman"/>
          <w:bCs/>
          <w:i/>
          <w:sz w:val="24"/>
          <w:szCs w:val="24"/>
        </w:rPr>
        <w:t>Ivy Masvosva</w:t>
      </w:r>
      <w:r w:rsidRPr="00412902">
        <w:rPr>
          <w:rFonts w:ascii="Times New Roman" w:hAnsi="Times New Roman" w:cs="Times New Roman"/>
          <w:bCs/>
          <w:sz w:val="24"/>
          <w:szCs w:val="24"/>
        </w:rPr>
        <w:t xml:space="preserve"> and other witnesses concerning the description of the person who had attacked her. If that evidence is admissible the next issue is whether it was the accused who attacked the deceased on the night of 7 February 2022. </w:t>
      </w:r>
    </w:p>
    <w:p w:rsidR="00AC750B" w:rsidRPr="00E5117C" w:rsidRDefault="00AC750B" w:rsidP="004F2E87">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As already stated, the prosecutor argued that the hearsay evidence relating to the deceased’s description of her assailant to </w:t>
      </w:r>
      <w:r w:rsidRPr="00F83F78">
        <w:rPr>
          <w:rFonts w:ascii="Times New Roman" w:hAnsi="Times New Roman" w:cs="Times New Roman"/>
          <w:bCs/>
          <w:i/>
          <w:sz w:val="24"/>
          <w:szCs w:val="24"/>
        </w:rPr>
        <w:t>Ivy Masvosva</w:t>
      </w:r>
      <w:r w:rsidRPr="00412902">
        <w:rPr>
          <w:rFonts w:ascii="Times New Roman" w:hAnsi="Times New Roman" w:cs="Times New Roman"/>
          <w:bCs/>
          <w:sz w:val="24"/>
          <w:szCs w:val="24"/>
        </w:rPr>
        <w:t xml:space="preserve"> qualifies for admission under the exception of dying declarations. The court’s considered view is that it does not. She sought to </w:t>
      </w:r>
      <w:r w:rsidRPr="00412902">
        <w:rPr>
          <w:rFonts w:ascii="Times New Roman" w:hAnsi="Times New Roman" w:cs="Times New Roman"/>
          <w:bCs/>
          <w:sz w:val="24"/>
          <w:szCs w:val="24"/>
        </w:rPr>
        <w:lastRenderedPageBreak/>
        <w:t xml:space="preserve">rely on the case of </w:t>
      </w:r>
      <w:r w:rsidRPr="00412902">
        <w:rPr>
          <w:rFonts w:ascii="Times New Roman" w:hAnsi="Times New Roman" w:cs="Times New Roman"/>
          <w:bCs/>
          <w:i/>
          <w:sz w:val="24"/>
          <w:szCs w:val="24"/>
        </w:rPr>
        <w:t xml:space="preserve">S </w:t>
      </w:r>
      <w:r w:rsidRPr="004F2E87">
        <w:rPr>
          <w:rFonts w:ascii="Times New Roman" w:hAnsi="Times New Roman" w:cs="Times New Roman"/>
          <w:bCs/>
          <w:sz w:val="24"/>
          <w:szCs w:val="24"/>
        </w:rPr>
        <w:t>v</w:t>
      </w:r>
      <w:r w:rsidRPr="00412902">
        <w:rPr>
          <w:rFonts w:ascii="Times New Roman" w:hAnsi="Times New Roman" w:cs="Times New Roman"/>
          <w:bCs/>
          <w:i/>
          <w:sz w:val="24"/>
          <w:szCs w:val="24"/>
        </w:rPr>
        <w:t xml:space="preserve"> Julius Dhabeti</w:t>
      </w:r>
      <w:r w:rsidRPr="00412902">
        <w:rPr>
          <w:rFonts w:ascii="Times New Roman" w:hAnsi="Times New Roman" w:cs="Times New Roman"/>
          <w:bCs/>
          <w:sz w:val="24"/>
          <w:szCs w:val="24"/>
        </w:rPr>
        <w:t xml:space="preserve"> HMA 53/18 which outlined what is expected for a statement to qualify as a dying declaration. The first of those is that at the time the statement was made the declarant must have been dangerously ill, was suffering from an apprehension of death and had no hope of recovery. </w:t>
      </w:r>
      <w:r w:rsidRPr="00F83F78">
        <w:rPr>
          <w:rFonts w:ascii="Times New Roman" w:hAnsi="Times New Roman" w:cs="Times New Roman"/>
          <w:bCs/>
          <w:i/>
          <w:sz w:val="24"/>
          <w:szCs w:val="24"/>
        </w:rPr>
        <w:t>Ivy Masvosva</w:t>
      </w:r>
      <w:r w:rsidRPr="00412902">
        <w:rPr>
          <w:rFonts w:ascii="Times New Roman" w:hAnsi="Times New Roman" w:cs="Times New Roman"/>
          <w:bCs/>
          <w:sz w:val="24"/>
          <w:szCs w:val="24"/>
        </w:rPr>
        <w:t xml:space="preserve"> advised the court that at the time she arrived at her residence, the deceased was seated although she appeared badly injured. There was no time that the deceased expressed hopelessness of living. In fact she must have been very hopeful because she only passed on seven days after the incident. In most instances where statements are admitted as dying declarations the declarant would have specifically expressed his/her apprehension of death. Admittedly the hopelessness can be inferred from the declarant’s state of health. See the case of </w:t>
      </w:r>
      <w:r w:rsidRPr="00412902">
        <w:rPr>
          <w:rFonts w:ascii="Times New Roman" w:hAnsi="Times New Roman" w:cs="Times New Roman"/>
          <w:bCs/>
          <w:i/>
          <w:sz w:val="24"/>
          <w:szCs w:val="24"/>
        </w:rPr>
        <w:t xml:space="preserve">S </w:t>
      </w:r>
      <w:r w:rsidRPr="004F2E87">
        <w:rPr>
          <w:rFonts w:ascii="Times New Roman" w:hAnsi="Times New Roman" w:cs="Times New Roman"/>
          <w:bCs/>
          <w:sz w:val="24"/>
          <w:szCs w:val="24"/>
        </w:rPr>
        <w:t>v</w:t>
      </w:r>
      <w:r w:rsidRPr="00412902">
        <w:rPr>
          <w:rFonts w:ascii="Times New Roman" w:hAnsi="Times New Roman" w:cs="Times New Roman"/>
          <w:bCs/>
          <w:i/>
          <w:sz w:val="24"/>
          <w:szCs w:val="24"/>
        </w:rPr>
        <w:t xml:space="preserve"> Last Mbizi </w:t>
      </w:r>
      <w:r w:rsidRPr="00412902">
        <w:rPr>
          <w:rFonts w:ascii="Times New Roman" w:hAnsi="Times New Roman" w:cs="Times New Roman"/>
          <w:bCs/>
          <w:sz w:val="24"/>
          <w:szCs w:val="24"/>
        </w:rPr>
        <w:t xml:space="preserve">HH 453/22.  In this case however even the witness Ivy did not think that the old lady was not going to make it alive. It is difficult to see how the deceased’s description of her assailant would qualify as a dying declaration. For those reasons the court is convinced that the prosecutor identified the wrong exception under which the hearsay evidence would qualify for admission. Instead the statement can more properly be described as part of the </w:t>
      </w:r>
      <w:r w:rsidRPr="00412902">
        <w:rPr>
          <w:rFonts w:ascii="Times New Roman" w:hAnsi="Times New Roman" w:cs="Times New Roman"/>
          <w:bCs/>
          <w:i/>
          <w:sz w:val="24"/>
          <w:szCs w:val="24"/>
        </w:rPr>
        <w:t>res gestae</w:t>
      </w:r>
      <w:r w:rsidRPr="00412902">
        <w:rPr>
          <w:rFonts w:ascii="Times New Roman" w:hAnsi="Times New Roman" w:cs="Times New Roman"/>
          <w:bCs/>
          <w:sz w:val="24"/>
          <w:szCs w:val="24"/>
        </w:rPr>
        <w:t>.</w:t>
      </w:r>
    </w:p>
    <w:p w:rsidR="00AC750B" w:rsidRPr="00412902" w:rsidRDefault="00AC750B" w:rsidP="004F2E87">
      <w:pPr>
        <w:spacing w:after="0" w:line="360" w:lineRule="auto"/>
        <w:jc w:val="both"/>
        <w:rPr>
          <w:rFonts w:ascii="Times New Roman" w:hAnsi="Times New Roman" w:cs="Times New Roman"/>
          <w:bCs/>
          <w:sz w:val="24"/>
          <w:szCs w:val="24"/>
        </w:rPr>
      </w:pPr>
      <w:r w:rsidRPr="00412902">
        <w:rPr>
          <w:rFonts w:ascii="Times New Roman" w:hAnsi="Times New Roman" w:cs="Times New Roman"/>
          <w:b/>
          <w:bCs/>
          <w:sz w:val="24"/>
          <w:szCs w:val="24"/>
        </w:rPr>
        <w:t>The</w:t>
      </w:r>
      <w:r w:rsidR="009940DD" w:rsidRPr="00412902">
        <w:rPr>
          <w:rFonts w:ascii="Times New Roman" w:hAnsi="Times New Roman" w:cs="Times New Roman"/>
          <w:b/>
          <w:bCs/>
          <w:sz w:val="24"/>
          <w:szCs w:val="24"/>
        </w:rPr>
        <w:t xml:space="preserve"> doctrine of </w:t>
      </w:r>
      <w:r w:rsidR="009940DD" w:rsidRPr="00412902">
        <w:rPr>
          <w:rFonts w:ascii="Times New Roman" w:hAnsi="Times New Roman" w:cs="Times New Roman"/>
          <w:b/>
          <w:bCs/>
          <w:i/>
          <w:sz w:val="24"/>
          <w:szCs w:val="24"/>
        </w:rPr>
        <w:t>res gestae</w:t>
      </w:r>
      <w:r w:rsidR="009940DD" w:rsidRPr="00412902">
        <w:rPr>
          <w:rFonts w:ascii="Times New Roman" w:hAnsi="Times New Roman" w:cs="Times New Roman"/>
          <w:b/>
          <w:bCs/>
          <w:sz w:val="24"/>
          <w:szCs w:val="24"/>
        </w:rPr>
        <w:t xml:space="preserve"> </w:t>
      </w:r>
      <w:r w:rsidR="00204287" w:rsidRPr="00412902">
        <w:rPr>
          <w:rFonts w:ascii="Times New Roman" w:hAnsi="Times New Roman" w:cs="Times New Roman"/>
          <w:b/>
          <w:bCs/>
          <w:sz w:val="24"/>
          <w:szCs w:val="24"/>
        </w:rPr>
        <w:t xml:space="preserve"> </w:t>
      </w:r>
    </w:p>
    <w:p w:rsidR="009940DD" w:rsidRPr="004F2E87" w:rsidRDefault="009940DD" w:rsidP="004F2E87">
      <w:pPr>
        <w:spacing w:after="0" w:line="360" w:lineRule="auto"/>
        <w:jc w:val="both"/>
        <w:rPr>
          <w:rFonts w:ascii="Times New Roman" w:hAnsi="Times New Roman" w:cs="Times New Roman"/>
          <w:bCs/>
          <w:sz w:val="24"/>
          <w:szCs w:val="24"/>
        </w:rPr>
      </w:pPr>
      <w:r w:rsidRPr="00412902">
        <w:rPr>
          <w:rFonts w:ascii="Times New Roman" w:hAnsi="Times New Roman" w:cs="Times New Roman"/>
          <w:bCs/>
          <w:sz w:val="24"/>
          <w:szCs w:val="24"/>
        </w:rPr>
        <w:t>The requirement of the law is that hearsay evidence is not admissible. In other words a court must not admit as evidence</w:t>
      </w:r>
      <w:r w:rsidRPr="00412902">
        <w:rPr>
          <w:rFonts w:ascii="Times New Roman" w:hAnsi="Times New Roman" w:cs="Times New Roman"/>
          <w:color w:val="575757"/>
          <w:sz w:val="24"/>
          <w:szCs w:val="24"/>
          <w:shd w:val="clear" w:color="auto" w:fill="FFFFFF"/>
        </w:rPr>
        <w:t xml:space="preserve"> </w:t>
      </w:r>
      <w:r w:rsidRPr="004F2E87">
        <w:rPr>
          <w:rFonts w:ascii="Times New Roman" w:hAnsi="Times New Roman" w:cs="Times New Roman"/>
          <w:sz w:val="24"/>
          <w:szCs w:val="24"/>
          <w:shd w:val="clear" w:color="auto" w:fill="FFFFFF"/>
        </w:rPr>
        <w:t>statements that a witness says he or she heard another person say. </w:t>
      </w:r>
      <w:r w:rsidR="0057654C" w:rsidRPr="004F2E87">
        <w:rPr>
          <w:rFonts w:ascii="Times New Roman" w:hAnsi="Times New Roman" w:cs="Times New Roman"/>
          <w:sz w:val="24"/>
          <w:szCs w:val="24"/>
        </w:rPr>
        <w:t xml:space="preserve"> Hearsay evidence is testimony whose value is tied to the believability of another person other than the one testifying in court. </w:t>
      </w:r>
      <w:r w:rsidR="0057654C" w:rsidRPr="004F2E87">
        <w:rPr>
          <w:rFonts w:ascii="Times New Roman" w:hAnsi="Times New Roman" w:cs="Times New Roman"/>
          <w:i/>
          <w:iCs/>
          <w:sz w:val="24"/>
          <w:szCs w:val="24"/>
        </w:rPr>
        <w:t xml:space="preserve">See </w:t>
      </w:r>
      <w:r w:rsidR="0057654C" w:rsidRPr="004F2E87">
        <w:rPr>
          <w:rFonts w:ascii="Times New Roman" w:hAnsi="Times New Roman" w:cs="Times New Roman"/>
          <w:sz w:val="24"/>
          <w:szCs w:val="24"/>
        </w:rPr>
        <w:t xml:space="preserve">- Schwikkard P.J. &amp; Van der Merwe S.E. </w:t>
      </w:r>
      <w:r w:rsidR="0057654C" w:rsidRPr="004F2E87">
        <w:rPr>
          <w:rFonts w:ascii="Times New Roman" w:hAnsi="Times New Roman" w:cs="Times New Roman"/>
          <w:i/>
          <w:iCs/>
          <w:sz w:val="24"/>
          <w:szCs w:val="24"/>
        </w:rPr>
        <w:t xml:space="preserve">Principles of Evidence, </w:t>
      </w:r>
      <w:r w:rsidR="0057654C" w:rsidRPr="004F2E87">
        <w:rPr>
          <w:rFonts w:ascii="Times New Roman" w:hAnsi="Times New Roman" w:cs="Times New Roman"/>
          <w:sz w:val="24"/>
          <w:szCs w:val="24"/>
        </w:rPr>
        <w:t xml:space="preserve">3rd Edition, 2009, Juta at p 269. </w:t>
      </w:r>
      <w:r w:rsidRPr="004F2E87">
        <w:rPr>
          <w:rFonts w:ascii="Times New Roman" w:hAnsi="Times New Roman" w:cs="Times New Roman"/>
          <w:sz w:val="24"/>
          <w:szCs w:val="24"/>
          <w:shd w:val="clear" w:color="auto" w:fill="FFFFFF"/>
        </w:rPr>
        <w:t>In our law, the CP &amp;E Act specifically outlaws the admission of hearsay evidence. S</w:t>
      </w:r>
      <w:r w:rsidR="004F2E87">
        <w:rPr>
          <w:rFonts w:ascii="Times New Roman" w:hAnsi="Times New Roman" w:cs="Times New Roman"/>
          <w:sz w:val="24"/>
          <w:szCs w:val="24"/>
          <w:shd w:val="clear" w:color="auto" w:fill="FFFFFF"/>
        </w:rPr>
        <w:t>ection</w:t>
      </w:r>
      <w:r w:rsidRPr="004F2E87">
        <w:rPr>
          <w:rFonts w:ascii="Times New Roman" w:hAnsi="Times New Roman" w:cs="Times New Roman"/>
          <w:sz w:val="24"/>
          <w:szCs w:val="24"/>
          <w:shd w:val="clear" w:color="auto" w:fill="FFFFFF"/>
        </w:rPr>
        <w:t xml:space="preserve"> 253 thereof provides as follows:</w:t>
      </w:r>
    </w:p>
    <w:p w:rsidR="009940DD" w:rsidRPr="004F2E87" w:rsidRDefault="009940DD" w:rsidP="009940DD">
      <w:pPr>
        <w:autoSpaceDE w:val="0"/>
        <w:autoSpaceDN w:val="0"/>
        <w:adjustRightInd w:val="0"/>
        <w:spacing w:after="0" w:line="240" w:lineRule="auto"/>
        <w:ind w:left="720"/>
        <w:jc w:val="both"/>
        <w:rPr>
          <w:rFonts w:ascii="Times New Roman" w:hAnsi="Times New Roman" w:cs="Times New Roman"/>
        </w:rPr>
      </w:pPr>
      <w:r w:rsidRPr="004F2E87">
        <w:rPr>
          <w:rFonts w:ascii="Times New Roman" w:hAnsi="Times New Roman" w:cs="Times New Roman"/>
          <w:b/>
          <w:bCs/>
        </w:rPr>
        <w:t xml:space="preserve">253 Hearsay evidence </w:t>
      </w:r>
    </w:p>
    <w:p w:rsidR="009940DD" w:rsidRPr="004F2E87" w:rsidRDefault="009940DD" w:rsidP="009940DD">
      <w:pPr>
        <w:autoSpaceDE w:val="0"/>
        <w:autoSpaceDN w:val="0"/>
        <w:adjustRightInd w:val="0"/>
        <w:spacing w:after="0" w:line="240" w:lineRule="auto"/>
        <w:ind w:left="720"/>
        <w:jc w:val="both"/>
        <w:rPr>
          <w:rFonts w:ascii="Arial" w:hAnsi="Arial" w:cs="Arial"/>
        </w:rPr>
      </w:pPr>
      <w:r w:rsidRPr="004F2E87">
        <w:rPr>
          <w:rFonts w:ascii="Times New Roman" w:hAnsi="Times New Roman" w:cs="Times New Roman"/>
        </w:rPr>
        <w:t xml:space="preserve">(1) No evidence which is of the nature of hearsay evidence shall be admissible in any case in which such evidence would be inadmissible in any similar case depending in the Supreme Court of Judicature in England. </w:t>
      </w:r>
    </w:p>
    <w:p w:rsidR="00412902" w:rsidRPr="004F2E87" w:rsidRDefault="00412902" w:rsidP="00412902">
      <w:pPr>
        <w:pStyle w:val="Default"/>
        <w:ind w:firstLine="720"/>
        <w:rPr>
          <w:bCs/>
          <w:color w:val="auto"/>
        </w:rPr>
      </w:pPr>
    </w:p>
    <w:p w:rsidR="002150EB" w:rsidRPr="004F2E87" w:rsidRDefault="002150EB" w:rsidP="00412902">
      <w:pPr>
        <w:pStyle w:val="Default"/>
        <w:spacing w:line="360" w:lineRule="auto"/>
        <w:ind w:firstLine="720"/>
        <w:jc w:val="both"/>
        <w:rPr>
          <w:color w:val="auto"/>
        </w:rPr>
      </w:pPr>
      <w:r w:rsidRPr="004F2E87">
        <w:rPr>
          <w:bCs/>
          <w:color w:val="auto"/>
        </w:rPr>
        <w:t>As is evident from s 253, the application of this rule in Zimbabwean law is intrinsic to its operation in the Supreme Court of Judicature in England. In the case of S</w:t>
      </w:r>
      <w:r w:rsidRPr="004F2E87">
        <w:rPr>
          <w:i/>
          <w:iCs/>
          <w:color w:val="auto"/>
        </w:rPr>
        <w:t xml:space="preserve"> </w:t>
      </w:r>
      <w:r w:rsidRPr="004F2E87">
        <w:rPr>
          <w:color w:val="auto"/>
        </w:rPr>
        <w:t xml:space="preserve">v </w:t>
      </w:r>
      <w:r w:rsidRPr="004F2E87">
        <w:rPr>
          <w:i/>
          <w:iCs/>
          <w:color w:val="auto"/>
        </w:rPr>
        <w:t xml:space="preserve">Wellington Gurumombe </w:t>
      </w:r>
      <w:r w:rsidRPr="004F2E87">
        <w:rPr>
          <w:color w:val="auto"/>
        </w:rPr>
        <w:t xml:space="preserve">HH 405/22, I remarked, in relation to dying declarations, that the approach </w:t>
      </w:r>
      <w:r w:rsidR="00AC750B" w:rsidRPr="004F2E87">
        <w:rPr>
          <w:color w:val="auto"/>
        </w:rPr>
        <w:t xml:space="preserve">taken by the drafters of the CP &amp; E Act </w:t>
      </w:r>
      <w:r w:rsidRPr="004F2E87">
        <w:rPr>
          <w:color w:val="auto"/>
        </w:rPr>
        <w:t>of tying the law to the practices of other jurisdictions is unhelpful. The English common law relating to all the exceptions against hearsay evidence was overhauled and supplanted by the Criminal Justice Act, 2003.</w:t>
      </w:r>
      <w:r w:rsidRPr="004F2E87">
        <w:rPr>
          <w:rStyle w:val="FootnoteReference"/>
          <w:color w:val="auto"/>
        </w:rPr>
        <w:footnoteReference w:id="1"/>
      </w:r>
      <w:r w:rsidRPr="004F2E87">
        <w:rPr>
          <w:color w:val="auto"/>
        </w:rPr>
        <w:t xml:space="preserve">  It follows that the practice that </w:t>
      </w:r>
      <w:r w:rsidRPr="004F2E87">
        <w:rPr>
          <w:color w:val="auto"/>
        </w:rPr>
        <w:lastRenderedPageBreak/>
        <w:t xml:space="preserve">guided the Supreme Court of Judicature of England was discontinued. </w:t>
      </w:r>
      <w:r w:rsidR="00AC750B" w:rsidRPr="004F2E87">
        <w:rPr>
          <w:color w:val="auto"/>
        </w:rPr>
        <w:t>By virtue of s 318 of the CP &amp; E Act following the</w:t>
      </w:r>
      <w:r w:rsidRPr="004F2E87">
        <w:rPr>
          <w:color w:val="auto"/>
        </w:rPr>
        <w:t xml:space="preserve"> legislated practice </w:t>
      </w:r>
      <w:r w:rsidR="00AC750B" w:rsidRPr="004F2E87">
        <w:rPr>
          <w:color w:val="auto"/>
        </w:rPr>
        <w:t xml:space="preserve">of the English is impermissible. </w:t>
      </w:r>
      <w:r w:rsidRPr="004F2E87">
        <w:rPr>
          <w:color w:val="auto"/>
        </w:rPr>
        <w:t xml:space="preserve"> </w:t>
      </w:r>
      <w:r w:rsidR="00AC750B" w:rsidRPr="004F2E87">
        <w:rPr>
          <w:color w:val="auto"/>
        </w:rPr>
        <w:t>S</w:t>
      </w:r>
      <w:r w:rsidR="004F2E87">
        <w:rPr>
          <w:color w:val="auto"/>
        </w:rPr>
        <w:t>ection</w:t>
      </w:r>
      <w:r w:rsidR="00AC750B" w:rsidRPr="004F2E87">
        <w:rPr>
          <w:color w:val="auto"/>
        </w:rPr>
        <w:t xml:space="preserve"> 318 of the CP &amp; E Act</w:t>
      </w:r>
      <w:r w:rsidRPr="004F2E87">
        <w:rPr>
          <w:color w:val="auto"/>
        </w:rPr>
        <w:t xml:space="preserve"> provides that: </w:t>
      </w:r>
    </w:p>
    <w:p w:rsidR="002150EB" w:rsidRDefault="002150EB" w:rsidP="002150EB">
      <w:pPr>
        <w:autoSpaceDE w:val="0"/>
        <w:autoSpaceDN w:val="0"/>
        <w:adjustRightInd w:val="0"/>
        <w:spacing w:after="0" w:line="240" w:lineRule="auto"/>
        <w:ind w:left="720"/>
        <w:rPr>
          <w:rFonts w:ascii="Times New Roman" w:hAnsi="Times New Roman" w:cs="Times New Roman"/>
          <w:b/>
          <w:bCs/>
          <w:color w:val="000000"/>
          <w:sz w:val="20"/>
          <w:szCs w:val="20"/>
        </w:rPr>
      </w:pPr>
    </w:p>
    <w:p w:rsidR="002150EB" w:rsidRPr="004F2E87" w:rsidRDefault="002150EB" w:rsidP="00412902">
      <w:pPr>
        <w:autoSpaceDE w:val="0"/>
        <w:autoSpaceDN w:val="0"/>
        <w:adjustRightInd w:val="0"/>
        <w:spacing w:after="0" w:line="240" w:lineRule="auto"/>
        <w:ind w:left="720"/>
        <w:jc w:val="both"/>
        <w:rPr>
          <w:rFonts w:ascii="Times New Roman" w:hAnsi="Times New Roman" w:cs="Times New Roman"/>
          <w:color w:val="000000"/>
        </w:rPr>
      </w:pPr>
      <w:r w:rsidRPr="004F2E87">
        <w:rPr>
          <w:rFonts w:ascii="Times New Roman" w:hAnsi="Times New Roman" w:cs="Times New Roman"/>
          <w:b/>
          <w:bCs/>
          <w:color w:val="000000"/>
        </w:rPr>
        <w:t xml:space="preserve">“318 English laws applicable </w:t>
      </w:r>
    </w:p>
    <w:p w:rsidR="002150EB" w:rsidRPr="004F2E87" w:rsidRDefault="002150EB" w:rsidP="00412902">
      <w:pPr>
        <w:ind w:left="720"/>
        <w:jc w:val="both"/>
        <w:rPr>
          <w:rFonts w:ascii="Times New Roman" w:hAnsi="Times New Roman" w:cs="Times New Roman"/>
          <w:bCs/>
        </w:rPr>
      </w:pPr>
      <w:r w:rsidRPr="004F2E87">
        <w:rPr>
          <w:rFonts w:ascii="Times New Roman" w:hAnsi="Times New Roman" w:cs="Times New Roman"/>
          <w:color w:val="000000"/>
        </w:rPr>
        <w:t xml:space="preserve">The laws in force in the Supreme Court of Judicature in England which are applied by this Act shall not include any amendment thereto made on or after the 1st June, 1927, by any statute of England.” </w:t>
      </w:r>
      <w:r w:rsidRPr="004F2E87">
        <w:rPr>
          <w:rFonts w:ascii="Times New Roman" w:hAnsi="Times New Roman" w:cs="Times New Roman"/>
        </w:rPr>
        <w:t xml:space="preserve"> </w:t>
      </w:r>
    </w:p>
    <w:p w:rsidR="009940DD" w:rsidRPr="004F2E87" w:rsidRDefault="002150EB" w:rsidP="004F2E87">
      <w:pPr>
        <w:pStyle w:val="Default"/>
        <w:spacing w:line="360" w:lineRule="auto"/>
        <w:ind w:firstLine="720"/>
        <w:jc w:val="both"/>
        <w:rPr>
          <w:bCs/>
          <w:color w:val="auto"/>
        </w:rPr>
      </w:pPr>
      <w:r>
        <w:rPr>
          <w:bCs/>
        </w:rPr>
        <w:t xml:space="preserve">Be that as it may </w:t>
      </w:r>
      <w:r w:rsidR="00AC750B">
        <w:rPr>
          <w:bCs/>
        </w:rPr>
        <w:t xml:space="preserve">the admissibility of the hearsay evidence of a statement which is part of the </w:t>
      </w:r>
      <w:r w:rsidR="00AC750B" w:rsidRPr="00AC750B">
        <w:rPr>
          <w:bCs/>
          <w:i/>
        </w:rPr>
        <w:t>res gestae</w:t>
      </w:r>
      <w:r w:rsidR="00AC750B">
        <w:rPr>
          <w:bCs/>
        </w:rPr>
        <w:t xml:space="preserve"> remains part of our law. This</w:t>
      </w:r>
      <w:r>
        <w:rPr>
          <w:bCs/>
        </w:rPr>
        <w:t xml:space="preserve"> court draws guidance from the abundant body of authorities available on the subject in this jurisdiction. The</w:t>
      </w:r>
      <w:r w:rsidR="005E6E70">
        <w:rPr>
          <w:bCs/>
        </w:rPr>
        <w:t xml:space="preserve"> exclusionary provision </w:t>
      </w:r>
      <w:r>
        <w:rPr>
          <w:bCs/>
        </w:rPr>
        <w:t xml:space="preserve">in s 253 </w:t>
      </w:r>
      <w:r w:rsidR="005E6E70">
        <w:rPr>
          <w:bCs/>
        </w:rPr>
        <w:t xml:space="preserve">is expansive. To mitigate the far reaching repercussions attendant upon it, the law developed mechanisms that made it possible for hearsay evidence under certain circumstances to become admissible. The apparatus are varied. They are collectively called exceptions to the rule against hearsay. A discussion of many of them in this judgment is not necessary. The only one which concerns the facts at hand is the doctrine of </w:t>
      </w:r>
      <w:r w:rsidR="005E6E70" w:rsidRPr="005E6E70">
        <w:rPr>
          <w:bCs/>
          <w:i/>
        </w:rPr>
        <w:t>res gestae</w:t>
      </w:r>
      <w:r w:rsidR="005E6E70">
        <w:rPr>
          <w:bCs/>
          <w:i/>
        </w:rPr>
        <w:t xml:space="preserve">. </w:t>
      </w:r>
      <w:r w:rsidR="005E6E70">
        <w:rPr>
          <w:bCs/>
        </w:rPr>
        <w:t xml:space="preserve">Put simply </w:t>
      </w:r>
      <w:r w:rsidR="005E6E70" w:rsidRPr="00DA3AEF">
        <w:rPr>
          <w:bCs/>
          <w:i/>
        </w:rPr>
        <w:t>res gestae</w:t>
      </w:r>
      <w:r w:rsidR="005E6E70">
        <w:rPr>
          <w:bCs/>
        </w:rPr>
        <w:t xml:space="preserve"> refers </w:t>
      </w:r>
      <w:r w:rsidR="005E6E70" w:rsidRPr="004F2E87">
        <w:rPr>
          <w:bCs/>
          <w:color w:val="auto"/>
        </w:rPr>
        <w:t xml:space="preserve">to </w:t>
      </w:r>
      <w:r w:rsidR="00DA3AEF" w:rsidRPr="004F2E87">
        <w:rPr>
          <w:iCs/>
          <w:color w:val="auto"/>
          <w:shd w:val="clear" w:color="auto" w:fill="FFFFFF"/>
        </w:rPr>
        <w:t xml:space="preserve">second-hand statements viewed as so reliable </w:t>
      </w:r>
      <w:r w:rsidR="005E6E70" w:rsidRPr="004F2E87">
        <w:rPr>
          <w:iCs/>
          <w:color w:val="auto"/>
          <w:shd w:val="clear" w:color="auto" w:fill="FFFFFF"/>
        </w:rPr>
        <w:t xml:space="preserve"> </w:t>
      </w:r>
      <w:r w:rsidR="00DA3AEF" w:rsidRPr="004F2E87">
        <w:rPr>
          <w:iCs/>
          <w:color w:val="auto"/>
          <w:shd w:val="clear" w:color="auto" w:fill="FFFFFF"/>
        </w:rPr>
        <w:t xml:space="preserve">that they could be admitted </w:t>
      </w:r>
      <w:r w:rsidR="005E6E70" w:rsidRPr="004F2E87">
        <w:rPr>
          <w:iCs/>
          <w:color w:val="auto"/>
          <w:shd w:val="clear" w:color="auto" w:fill="FFFFFF"/>
        </w:rPr>
        <w:t xml:space="preserve"> as evidence in a </w:t>
      </w:r>
      <w:r w:rsidR="00DA3AEF" w:rsidRPr="004F2E87">
        <w:rPr>
          <w:iCs/>
          <w:color w:val="auto"/>
          <w:shd w:val="clear" w:color="auto" w:fill="FFFFFF"/>
        </w:rPr>
        <w:t xml:space="preserve">trial where they are repeated by a witness for the reason that </w:t>
      </w:r>
      <w:r w:rsidR="005E6E70" w:rsidRPr="004F2E87">
        <w:rPr>
          <w:iCs/>
          <w:color w:val="auto"/>
          <w:shd w:val="clear" w:color="auto" w:fill="FFFFFF"/>
        </w:rPr>
        <w:t xml:space="preserve">they were made </w:t>
      </w:r>
      <w:r w:rsidR="00DA3AEF" w:rsidRPr="004F2E87">
        <w:rPr>
          <w:iCs/>
          <w:color w:val="auto"/>
          <w:shd w:val="clear" w:color="auto" w:fill="FFFFFF"/>
        </w:rPr>
        <w:t>as a result of a sudden impulse or inclination without premeditation</w:t>
      </w:r>
      <w:r w:rsidR="005E6E70" w:rsidRPr="004F2E87">
        <w:rPr>
          <w:iCs/>
          <w:color w:val="auto"/>
          <w:shd w:val="clear" w:color="auto" w:fill="FFFFFF"/>
        </w:rPr>
        <w:t xml:space="preserve"> and</w:t>
      </w:r>
      <w:r w:rsidR="005E6E70" w:rsidRPr="004F2E87">
        <w:rPr>
          <w:rFonts w:ascii="Arial" w:hAnsi="Arial" w:cs="Arial"/>
          <w:i/>
          <w:iCs/>
          <w:color w:val="auto"/>
          <w:sz w:val="33"/>
          <w:szCs w:val="33"/>
          <w:shd w:val="clear" w:color="auto" w:fill="FFFFFF"/>
        </w:rPr>
        <w:t xml:space="preserve"> </w:t>
      </w:r>
      <w:r w:rsidR="00DA3AEF" w:rsidRPr="004F2E87">
        <w:rPr>
          <w:iCs/>
          <w:color w:val="auto"/>
          <w:shd w:val="clear" w:color="auto" w:fill="FFFFFF"/>
        </w:rPr>
        <w:t>at the same time as the event occurred.</w:t>
      </w:r>
      <w:r w:rsidR="005E6E70" w:rsidRPr="004F2E87">
        <w:rPr>
          <w:bCs/>
          <w:color w:val="auto"/>
        </w:rPr>
        <w:t xml:space="preserve"> </w:t>
      </w:r>
    </w:p>
    <w:p w:rsidR="002150EB" w:rsidRPr="004F2E87" w:rsidRDefault="002150EB" w:rsidP="00412902">
      <w:pPr>
        <w:pStyle w:val="Default"/>
        <w:spacing w:line="360" w:lineRule="auto"/>
        <w:jc w:val="both"/>
        <w:rPr>
          <w:rFonts w:ascii="Arial" w:hAnsi="Arial" w:cs="Arial"/>
          <w:color w:val="auto"/>
          <w:sz w:val="21"/>
          <w:szCs w:val="21"/>
          <w:shd w:val="clear" w:color="auto" w:fill="FFFFFF"/>
        </w:rPr>
      </w:pPr>
      <w:r w:rsidRPr="004F2E87">
        <w:rPr>
          <w:bCs/>
          <w:color w:val="auto"/>
        </w:rPr>
        <w:t xml:space="preserve">Recently in the case of </w:t>
      </w:r>
      <w:r w:rsidRPr="004F2E87">
        <w:rPr>
          <w:bCs/>
          <w:i/>
          <w:color w:val="auto"/>
        </w:rPr>
        <w:t xml:space="preserve">S </w:t>
      </w:r>
      <w:r w:rsidRPr="004F2E87">
        <w:rPr>
          <w:bCs/>
          <w:color w:val="auto"/>
        </w:rPr>
        <w:t xml:space="preserve">v </w:t>
      </w:r>
      <w:r w:rsidRPr="004F2E87">
        <w:rPr>
          <w:bCs/>
          <w:i/>
          <w:color w:val="auto"/>
        </w:rPr>
        <w:t>Mutsure</w:t>
      </w:r>
      <w:r w:rsidRPr="004F2E87">
        <w:rPr>
          <w:bCs/>
          <w:color w:val="auto"/>
        </w:rPr>
        <w:t xml:space="preserve"> SC</w:t>
      </w:r>
      <w:r w:rsidR="00AC750B" w:rsidRPr="004F2E87">
        <w:rPr>
          <w:bCs/>
          <w:color w:val="auto"/>
        </w:rPr>
        <w:t xml:space="preserve"> 62/21, the Supreme Court cited</w:t>
      </w:r>
      <w:r w:rsidRPr="004F2E87">
        <w:rPr>
          <w:bCs/>
          <w:color w:val="auto"/>
        </w:rPr>
        <w:t xml:space="preserve"> with approval the dicta in </w:t>
      </w:r>
      <w:r w:rsidRPr="004F2E87">
        <w:rPr>
          <w:rStyle w:val="Emphasis"/>
          <w:color w:val="auto"/>
          <w:sz w:val="22"/>
          <w:szCs w:val="22"/>
          <w:shd w:val="clear" w:color="auto" w:fill="FFFFFF"/>
        </w:rPr>
        <w:t xml:space="preserve">R </w:t>
      </w:r>
      <w:r w:rsidRPr="004F2E87">
        <w:rPr>
          <w:rStyle w:val="Emphasis"/>
          <w:i w:val="0"/>
          <w:color w:val="auto"/>
          <w:sz w:val="22"/>
          <w:szCs w:val="22"/>
          <w:shd w:val="clear" w:color="auto" w:fill="FFFFFF"/>
        </w:rPr>
        <w:t>v</w:t>
      </w:r>
      <w:r w:rsidRPr="004F2E87">
        <w:rPr>
          <w:rStyle w:val="Emphasis"/>
          <w:color w:val="auto"/>
          <w:sz w:val="22"/>
          <w:szCs w:val="22"/>
          <w:shd w:val="clear" w:color="auto" w:fill="FFFFFF"/>
        </w:rPr>
        <w:t xml:space="preserve"> Andrews</w:t>
      </w:r>
      <w:r w:rsidRPr="004F2E87">
        <w:rPr>
          <w:color w:val="auto"/>
          <w:sz w:val="22"/>
          <w:szCs w:val="22"/>
          <w:shd w:val="clear" w:color="auto" w:fill="FFFFFF"/>
        </w:rPr>
        <w:t> [1987] 1 All ER 513 that:</w:t>
      </w:r>
    </w:p>
    <w:p w:rsidR="00EC1226" w:rsidRPr="009D270F" w:rsidRDefault="002150EB" w:rsidP="002150EB">
      <w:pPr>
        <w:pStyle w:val="Default"/>
        <w:ind w:left="720"/>
        <w:jc w:val="both"/>
        <w:rPr>
          <w:color w:val="auto"/>
          <w:sz w:val="22"/>
          <w:szCs w:val="22"/>
          <w:shd w:val="clear" w:color="auto" w:fill="FFFFFF"/>
        </w:rPr>
      </w:pPr>
      <w:r w:rsidRPr="009D270F">
        <w:rPr>
          <w:color w:val="auto"/>
          <w:sz w:val="22"/>
          <w:szCs w:val="22"/>
          <w:shd w:val="clear" w:color="auto" w:fill="FFFFFF"/>
        </w:rPr>
        <w:t>“Hearsay evidence of a statement made to a witness by the victim of an attack describing how he had received his injuries was admissible in evidence, as part of the </w:t>
      </w:r>
      <w:r w:rsidRPr="009D270F">
        <w:rPr>
          <w:rStyle w:val="Emphasis"/>
          <w:color w:val="auto"/>
          <w:sz w:val="22"/>
          <w:szCs w:val="22"/>
          <w:shd w:val="clear" w:color="auto" w:fill="FFFFFF"/>
        </w:rPr>
        <w:t>res gestae</w:t>
      </w:r>
      <w:r w:rsidRPr="009D270F">
        <w:rPr>
          <w:color w:val="auto"/>
          <w:sz w:val="22"/>
          <w:szCs w:val="22"/>
          <w:shd w:val="clear" w:color="auto" w:fill="FFFFFF"/>
        </w:rPr>
        <w:t>, at the trial of the attacker if the statement was made in conditions which were sufficiently spontaneous and sufficiently contemporaneous with the event to preclude the possibility of concoction or distortion. In order for the victim’s statement to be sufficiently spontaneous to be admissible it had to be so closely associated with the event which excited the statement that the victim’s mind was still dominated by the event. If there was a special feature, eg malice, giving rise to the possibility of concoction or distortion the trial judge had to be satisfied that the circumstances were such that there was no possibility of concoction or distortion. However, the possibility of error in the facts narrated by the victim went to the weight to be attached to the statement by the jury and not to admissibility. Since the victim’s statement to the police was made by a seriously injured man in circumstances which were spontaneous and contemporaneous with the attack and there was no possibility of any concoction or fabrication of identification, the statement had been rightly admitted in evidence.”</w:t>
      </w:r>
    </w:p>
    <w:p w:rsidR="00EC1226" w:rsidRPr="009D270F" w:rsidRDefault="00EC1226" w:rsidP="00EC1226">
      <w:pPr>
        <w:pStyle w:val="Default"/>
        <w:jc w:val="both"/>
        <w:rPr>
          <w:color w:val="auto"/>
          <w:sz w:val="22"/>
          <w:szCs w:val="22"/>
          <w:shd w:val="clear" w:color="auto" w:fill="FFFFFF"/>
        </w:rPr>
      </w:pPr>
    </w:p>
    <w:p w:rsidR="00D330FB" w:rsidRPr="004F2E87" w:rsidRDefault="00AC750B" w:rsidP="009D270F">
      <w:pPr>
        <w:shd w:val="clear" w:color="auto" w:fill="FFFFFF"/>
        <w:spacing w:before="100" w:beforeAutospacing="1" w:after="100" w:afterAutospacing="1" w:line="360" w:lineRule="auto"/>
        <w:ind w:firstLine="360"/>
        <w:jc w:val="both"/>
        <w:rPr>
          <w:rFonts w:ascii="Times New Roman" w:eastAsia="Times New Roman" w:hAnsi="Times New Roman" w:cs="Times New Roman"/>
          <w:sz w:val="24"/>
          <w:szCs w:val="24"/>
          <w:lang w:eastAsia="en-ZW"/>
        </w:rPr>
      </w:pPr>
      <w:r w:rsidRPr="004F2E87">
        <w:rPr>
          <w:rFonts w:ascii="Times New Roman" w:hAnsi="Times New Roman" w:cs="Times New Roman"/>
          <w:sz w:val="24"/>
          <w:szCs w:val="24"/>
          <w:shd w:val="clear" w:color="auto" w:fill="FFFFFF"/>
        </w:rPr>
        <w:t>I discern</w:t>
      </w:r>
      <w:r w:rsidR="00EC1226" w:rsidRPr="004F2E87">
        <w:rPr>
          <w:rFonts w:ascii="Times New Roman" w:hAnsi="Times New Roman" w:cs="Times New Roman"/>
          <w:sz w:val="24"/>
          <w:szCs w:val="24"/>
          <w:shd w:val="clear" w:color="auto" w:fill="FFFFFF"/>
        </w:rPr>
        <w:t xml:space="preserve"> from the above, that the requirements of sufficient spontaneity and contemporaneity of the words and the event </w:t>
      </w:r>
      <w:r w:rsidR="00D330FB" w:rsidRPr="004F2E87">
        <w:rPr>
          <w:rFonts w:ascii="Times New Roman" w:hAnsi="Times New Roman" w:cs="Times New Roman"/>
          <w:sz w:val="24"/>
          <w:szCs w:val="24"/>
          <w:shd w:val="clear" w:color="auto" w:fill="FFFFFF"/>
        </w:rPr>
        <w:t>recur. These</w:t>
      </w:r>
      <w:r w:rsidR="00EC1226" w:rsidRPr="004F2E87">
        <w:rPr>
          <w:rFonts w:ascii="Times New Roman" w:hAnsi="Times New Roman" w:cs="Times New Roman"/>
          <w:sz w:val="24"/>
          <w:szCs w:val="24"/>
          <w:shd w:val="clear" w:color="auto" w:fill="FFFFFF"/>
        </w:rPr>
        <w:t xml:space="preserve"> are meant to exclude the possibility of fabrication</w:t>
      </w:r>
      <w:r w:rsidR="008A6999" w:rsidRPr="004F2E87">
        <w:rPr>
          <w:rFonts w:ascii="Times New Roman" w:hAnsi="Times New Roman" w:cs="Times New Roman"/>
          <w:sz w:val="24"/>
          <w:szCs w:val="24"/>
          <w:shd w:val="clear" w:color="auto" w:fill="FFFFFF"/>
        </w:rPr>
        <w:t xml:space="preserve"> and concoc</w:t>
      </w:r>
      <w:r w:rsidR="00D330FB" w:rsidRPr="004F2E87">
        <w:rPr>
          <w:rFonts w:ascii="Times New Roman" w:hAnsi="Times New Roman" w:cs="Times New Roman"/>
          <w:sz w:val="24"/>
          <w:szCs w:val="24"/>
          <w:shd w:val="clear" w:color="auto" w:fill="FFFFFF"/>
        </w:rPr>
        <w:t xml:space="preserve">tion of events. In many instances, </w:t>
      </w:r>
      <w:r w:rsidRPr="004F2E87">
        <w:rPr>
          <w:rFonts w:ascii="Times New Roman" w:hAnsi="Times New Roman" w:cs="Times New Roman"/>
          <w:sz w:val="24"/>
          <w:szCs w:val="24"/>
          <w:shd w:val="clear" w:color="auto" w:fill="FFFFFF"/>
        </w:rPr>
        <w:t xml:space="preserve">the measurement therefore is </w:t>
      </w:r>
      <w:r w:rsidRPr="004F2E87">
        <w:rPr>
          <w:rFonts w:ascii="Times New Roman" w:hAnsi="Times New Roman" w:cs="Times New Roman"/>
          <w:sz w:val="24"/>
          <w:szCs w:val="24"/>
          <w:shd w:val="clear" w:color="auto" w:fill="FFFFFF"/>
        </w:rPr>
        <w:lastRenderedPageBreak/>
        <w:t>always</w:t>
      </w:r>
      <w:r w:rsidR="00D330FB" w:rsidRPr="004F2E87">
        <w:rPr>
          <w:rFonts w:ascii="Times New Roman" w:hAnsi="Times New Roman" w:cs="Times New Roman"/>
          <w:sz w:val="24"/>
          <w:szCs w:val="24"/>
          <w:shd w:val="clear" w:color="auto" w:fill="FFFFFF"/>
        </w:rPr>
        <w:t xml:space="preserve"> the time-lapse between the event and the words uttered. The reasoning was that the victim’s mind had to be under the domination of the event to remove t</w:t>
      </w:r>
      <w:r w:rsidRPr="004F2E87">
        <w:rPr>
          <w:rFonts w:ascii="Times New Roman" w:hAnsi="Times New Roman" w:cs="Times New Roman"/>
          <w:sz w:val="24"/>
          <w:szCs w:val="24"/>
          <w:shd w:val="clear" w:color="auto" w:fill="FFFFFF"/>
        </w:rPr>
        <w:t>he possibility of fabrication,</w:t>
      </w:r>
      <w:r w:rsidR="00D330FB" w:rsidRPr="004F2E87">
        <w:rPr>
          <w:rFonts w:ascii="Times New Roman" w:hAnsi="Times New Roman" w:cs="Times New Roman"/>
          <w:sz w:val="24"/>
          <w:szCs w:val="24"/>
          <w:shd w:val="clear" w:color="auto" w:fill="FFFFFF"/>
        </w:rPr>
        <w:t xml:space="preserve"> reconstruction</w:t>
      </w:r>
      <w:r w:rsidRPr="004F2E87">
        <w:rPr>
          <w:rFonts w:ascii="Times New Roman" w:hAnsi="Times New Roman" w:cs="Times New Roman"/>
          <w:sz w:val="24"/>
          <w:szCs w:val="24"/>
          <w:shd w:val="clear" w:color="auto" w:fill="FFFFFF"/>
        </w:rPr>
        <w:t xml:space="preserve"> or adaptation</w:t>
      </w:r>
      <w:r w:rsidR="00D330FB" w:rsidRPr="004F2E87">
        <w:rPr>
          <w:rFonts w:ascii="Times New Roman" w:hAnsi="Times New Roman" w:cs="Times New Roman"/>
          <w:sz w:val="24"/>
          <w:szCs w:val="24"/>
          <w:shd w:val="clear" w:color="auto" w:fill="FFFFFF"/>
        </w:rPr>
        <w:t xml:space="preserve"> of the events. But in the same case of </w:t>
      </w:r>
      <w:r w:rsidR="00D330FB" w:rsidRPr="004F2E87">
        <w:rPr>
          <w:rFonts w:ascii="Times New Roman" w:hAnsi="Times New Roman" w:cs="Times New Roman"/>
          <w:i/>
          <w:sz w:val="24"/>
          <w:szCs w:val="24"/>
          <w:shd w:val="clear" w:color="auto" w:fill="FFFFFF"/>
        </w:rPr>
        <w:t>S v Mutsure</w:t>
      </w:r>
      <w:r w:rsidR="00D330FB" w:rsidRPr="004F2E87">
        <w:rPr>
          <w:rFonts w:ascii="Times New Roman" w:hAnsi="Times New Roman" w:cs="Times New Roman"/>
          <w:sz w:val="24"/>
          <w:szCs w:val="24"/>
          <w:shd w:val="clear" w:color="auto" w:fill="FFFFFF"/>
        </w:rPr>
        <w:t xml:space="preserve"> (supra) the Supreme Court again cited with approval the remarks of Lord WILBERFORCE in </w:t>
      </w:r>
      <w:r w:rsidR="00D330FB" w:rsidRPr="004F2E87">
        <w:rPr>
          <w:rFonts w:ascii="Times New Roman" w:eastAsia="Times New Roman" w:hAnsi="Times New Roman" w:cs="Times New Roman"/>
          <w:i/>
          <w:iCs/>
          <w:sz w:val="24"/>
          <w:szCs w:val="24"/>
          <w:lang w:eastAsia="en-ZW"/>
        </w:rPr>
        <w:t xml:space="preserve">Ratten </w:t>
      </w:r>
      <w:r w:rsidR="00D330FB" w:rsidRPr="009D270F">
        <w:rPr>
          <w:rFonts w:ascii="Times New Roman" w:eastAsia="Times New Roman" w:hAnsi="Times New Roman" w:cs="Times New Roman"/>
          <w:iCs/>
          <w:sz w:val="24"/>
          <w:szCs w:val="24"/>
          <w:lang w:eastAsia="en-ZW"/>
        </w:rPr>
        <w:t>v</w:t>
      </w:r>
      <w:r w:rsidR="00D330FB" w:rsidRPr="004F2E87">
        <w:rPr>
          <w:rFonts w:ascii="Times New Roman" w:eastAsia="Times New Roman" w:hAnsi="Times New Roman" w:cs="Times New Roman"/>
          <w:i/>
          <w:iCs/>
          <w:sz w:val="24"/>
          <w:szCs w:val="24"/>
          <w:lang w:eastAsia="en-ZW"/>
        </w:rPr>
        <w:t xml:space="preserve"> R</w:t>
      </w:r>
      <w:r w:rsidR="00D330FB" w:rsidRPr="004F2E87">
        <w:rPr>
          <w:rFonts w:ascii="Times New Roman" w:eastAsia="Times New Roman" w:hAnsi="Times New Roman" w:cs="Times New Roman"/>
          <w:sz w:val="24"/>
          <w:szCs w:val="24"/>
          <w:lang w:eastAsia="en-ZW"/>
        </w:rPr>
        <w:t> [1971] 3 All ER 801 at p 807 a-e that:</w:t>
      </w:r>
    </w:p>
    <w:p w:rsidR="00D330FB" w:rsidRPr="009D270F" w:rsidRDefault="00D330FB" w:rsidP="009D270F">
      <w:pPr>
        <w:shd w:val="clear" w:color="auto" w:fill="FFFFFF"/>
        <w:spacing w:after="100" w:afterAutospacing="1" w:line="240" w:lineRule="auto"/>
        <w:ind w:left="720"/>
        <w:jc w:val="both"/>
        <w:rPr>
          <w:rFonts w:ascii="Times New Roman" w:eastAsia="Times New Roman" w:hAnsi="Times New Roman" w:cs="Times New Roman"/>
          <w:lang w:eastAsia="en-ZW"/>
        </w:rPr>
      </w:pPr>
      <w:r w:rsidRPr="009D270F">
        <w:rPr>
          <w:rFonts w:ascii="Times New Roman" w:eastAsia="Times New Roman" w:hAnsi="Times New Roman" w:cs="Times New Roman"/>
          <w:lang w:eastAsia="en-ZW"/>
        </w:rPr>
        <w:t>“The person testifying to the words used is liable to cross-examination: the accused person … can give his own account if different. There is no such difference in kind or substance between what was said and evidence of what was done (for example between evidence of what the victim said as to an attack and evidence that he (or she) was seen in a terrified state or was heard to shriek) as to require a total rejection of one and admission of the other.</w:t>
      </w:r>
    </w:p>
    <w:p w:rsidR="00D330FB" w:rsidRPr="009D270F" w:rsidRDefault="00D330FB" w:rsidP="009D270F">
      <w:pPr>
        <w:shd w:val="clear" w:color="auto" w:fill="FFFFFF"/>
        <w:spacing w:after="100" w:afterAutospacing="1" w:line="240" w:lineRule="auto"/>
        <w:ind w:left="720"/>
        <w:jc w:val="both"/>
        <w:rPr>
          <w:rFonts w:ascii="Times New Roman" w:eastAsia="Times New Roman" w:hAnsi="Times New Roman" w:cs="Times New Roman"/>
          <w:lang w:eastAsia="en-ZW"/>
        </w:rPr>
      </w:pPr>
      <w:r w:rsidRPr="009D270F">
        <w:rPr>
          <w:rFonts w:ascii="Times New Roman" w:eastAsia="Times New Roman" w:hAnsi="Times New Roman" w:cs="Times New Roman"/>
          <w:lang w:eastAsia="en-ZW"/>
        </w:rPr>
        <w:t>The possibility of concoction or fabrication, where it exists, is on the other hand an entirely valid reason for exclusion, and is probably the real test which judges in fact apply. In their Lordships’ opinion this should be recognised and applied directly as the relevant test: the test should not be the uncertain one whether the making of the statement was in some sense part of the event or transaction. This may often be difficult to establish: such external matters as the time which elapses between the events and the speaking of the words (or vice versa), and differences in location being relevant factors but not, taken by themselves, decisive criteria. As regards statements made after the event </w:t>
      </w:r>
      <w:r w:rsidRPr="009D270F">
        <w:rPr>
          <w:rFonts w:ascii="Times New Roman" w:eastAsia="Times New Roman" w:hAnsi="Times New Roman" w:cs="Times New Roman"/>
          <w:bCs/>
          <w:lang w:eastAsia="en-ZW"/>
        </w:rPr>
        <w:t>it must be for the judge</w:t>
      </w:r>
      <w:r w:rsidRPr="009D270F">
        <w:rPr>
          <w:rFonts w:ascii="Times New Roman" w:eastAsia="Times New Roman" w:hAnsi="Times New Roman" w:cs="Times New Roman"/>
          <w:lang w:eastAsia="en-ZW"/>
        </w:rPr>
        <w:t>, by preliminary ruling, to satisfy himself that the statement was so clearly made in circumstances of spontaneity or involvement in the event that the possibility of concoction can be disregarded. Conversely, if he considers that the statement was made by way of narrative of a detached prior event so that the speaker was so disengaged from it as to be able to construct or adapt his account, he should exclude it. And the same must in principle be true of statements made before the event. The test should not be the uncertain one, whether the making of the statement should be regarded as part of the event or transaction. This may often be difficult to show. But if the drama leading up to the climax, has commenced and assumed such intensity and pressure that the utterance can safely be regarded as a true reflection of what was unrolling or actually happening, it ought to be received. The expression ‘</w:t>
      </w:r>
      <w:r w:rsidRPr="009D270F">
        <w:rPr>
          <w:rFonts w:ascii="Times New Roman" w:eastAsia="Times New Roman" w:hAnsi="Times New Roman" w:cs="Times New Roman"/>
          <w:i/>
          <w:iCs/>
          <w:lang w:eastAsia="en-ZW"/>
        </w:rPr>
        <w:t>res gestae</w:t>
      </w:r>
      <w:r w:rsidRPr="009D270F">
        <w:rPr>
          <w:rFonts w:ascii="Times New Roman" w:eastAsia="Times New Roman" w:hAnsi="Times New Roman" w:cs="Times New Roman"/>
          <w:lang w:eastAsia="en-ZW"/>
        </w:rPr>
        <w:t>’ may conveniently sum up these criteria, but the reality of them must always be kept in mind: it is this that lies behind the best reasoned of the</w:t>
      </w:r>
      <w:r w:rsidR="00FF03EA" w:rsidRPr="009D270F">
        <w:rPr>
          <w:rFonts w:ascii="Times New Roman" w:eastAsia="Times New Roman" w:hAnsi="Times New Roman" w:cs="Times New Roman"/>
          <w:lang w:eastAsia="en-ZW"/>
        </w:rPr>
        <w:t xml:space="preserve"> judges’ rulings.”</w:t>
      </w:r>
    </w:p>
    <w:p w:rsidR="00D330FB" w:rsidRPr="004F2E87" w:rsidRDefault="00D330FB" w:rsidP="009D270F">
      <w:pPr>
        <w:shd w:val="clear" w:color="auto" w:fill="FFFFFF"/>
        <w:spacing w:after="100" w:afterAutospacing="1" w:line="360" w:lineRule="auto"/>
        <w:ind w:firstLine="720"/>
        <w:jc w:val="both"/>
        <w:rPr>
          <w:rFonts w:ascii="Times New Roman" w:eastAsia="Times New Roman" w:hAnsi="Times New Roman" w:cs="Times New Roman"/>
          <w:sz w:val="24"/>
          <w:szCs w:val="24"/>
          <w:lang w:eastAsia="en-ZW"/>
        </w:rPr>
      </w:pPr>
      <w:r w:rsidRPr="004F2E87">
        <w:rPr>
          <w:rFonts w:ascii="Times New Roman" w:eastAsia="Times New Roman" w:hAnsi="Times New Roman" w:cs="Times New Roman"/>
          <w:sz w:val="24"/>
          <w:szCs w:val="24"/>
          <w:lang w:eastAsia="en-ZW"/>
        </w:rPr>
        <w:t> </w:t>
      </w:r>
      <w:r w:rsidR="00B922BC" w:rsidRPr="004F2E87">
        <w:rPr>
          <w:rFonts w:ascii="Times New Roman" w:eastAsia="Times New Roman" w:hAnsi="Times New Roman" w:cs="Times New Roman"/>
          <w:sz w:val="24"/>
          <w:szCs w:val="24"/>
          <w:lang w:eastAsia="en-ZW"/>
        </w:rPr>
        <w:t>My understanding of</w:t>
      </w:r>
      <w:r w:rsidR="00FF03EA" w:rsidRPr="004F2E87">
        <w:rPr>
          <w:rFonts w:ascii="Times New Roman" w:eastAsia="Times New Roman" w:hAnsi="Times New Roman" w:cs="Times New Roman"/>
          <w:sz w:val="24"/>
          <w:szCs w:val="24"/>
          <w:lang w:eastAsia="en-ZW"/>
        </w:rPr>
        <w:t xml:space="preserve"> the above </w:t>
      </w:r>
      <w:r w:rsidR="00B922BC" w:rsidRPr="004F2E87">
        <w:rPr>
          <w:rFonts w:ascii="Times New Roman" w:eastAsia="Times New Roman" w:hAnsi="Times New Roman" w:cs="Times New Roman"/>
          <w:sz w:val="24"/>
          <w:szCs w:val="24"/>
          <w:lang w:eastAsia="en-ZW"/>
        </w:rPr>
        <w:t xml:space="preserve">remarks is </w:t>
      </w:r>
      <w:r w:rsidR="00FF03EA" w:rsidRPr="004F2E87">
        <w:rPr>
          <w:rFonts w:ascii="Times New Roman" w:eastAsia="Times New Roman" w:hAnsi="Times New Roman" w:cs="Times New Roman"/>
          <w:sz w:val="24"/>
          <w:szCs w:val="24"/>
          <w:lang w:eastAsia="en-ZW"/>
        </w:rPr>
        <w:t>that there must be a shift from</w:t>
      </w:r>
      <w:r w:rsidR="00AC750B" w:rsidRPr="004F2E87">
        <w:rPr>
          <w:rFonts w:ascii="Times New Roman" w:eastAsia="Times New Roman" w:hAnsi="Times New Roman" w:cs="Times New Roman"/>
          <w:sz w:val="24"/>
          <w:szCs w:val="24"/>
          <w:lang w:eastAsia="en-ZW"/>
        </w:rPr>
        <w:t xml:space="preserve"> the approach that concoction or</w:t>
      </w:r>
      <w:r w:rsidR="00FF03EA" w:rsidRPr="004F2E87">
        <w:rPr>
          <w:rFonts w:ascii="Times New Roman" w:eastAsia="Times New Roman" w:hAnsi="Times New Roman" w:cs="Times New Roman"/>
          <w:sz w:val="24"/>
          <w:szCs w:val="24"/>
          <w:lang w:eastAsia="en-ZW"/>
        </w:rPr>
        <w:t xml:space="preserve"> fabrication can only be excluded by proximity of the words uttered by the victim to the occurrence of the event. Rather what is important are the following:</w:t>
      </w:r>
    </w:p>
    <w:p w:rsidR="00FF03EA" w:rsidRPr="004F2E87" w:rsidRDefault="00FF03EA" w:rsidP="00412902">
      <w:pPr>
        <w:pStyle w:val="ListParagraph"/>
        <w:numPr>
          <w:ilvl w:val="0"/>
          <w:numId w:val="2"/>
        </w:numPr>
        <w:shd w:val="clear" w:color="auto" w:fill="FFFFFF"/>
        <w:spacing w:after="100" w:afterAutospacing="1" w:line="360" w:lineRule="auto"/>
        <w:jc w:val="both"/>
        <w:rPr>
          <w:rFonts w:ascii="Times New Roman" w:eastAsia="Times New Roman" w:hAnsi="Times New Roman" w:cs="Times New Roman"/>
          <w:sz w:val="24"/>
          <w:szCs w:val="24"/>
          <w:lang w:eastAsia="en-ZW"/>
        </w:rPr>
      </w:pPr>
      <w:r w:rsidRPr="004F2E87">
        <w:rPr>
          <w:rFonts w:ascii="Times New Roman" w:eastAsia="Times New Roman" w:hAnsi="Times New Roman" w:cs="Times New Roman"/>
          <w:sz w:val="24"/>
          <w:szCs w:val="24"/>
          <w:lang w:eastAsia="en-ZW"/>
        </w:rPr>
        <w:t>Whatever the time-lapse between the event and the words of the victim is, the crucial consideration by the court must be the possibility of fabrication and concoction</w:t>
      </w:r>
    </w:p>
    <w:p w:rsidR="00FF03EA" w:rsidRPr="004F2E87" w:rsidRDefault="00FF03EA" w:rsidP="00412902">
      <w:pPr>
        <w:pStyle w:val="ListParagraph"/>
        <w:numPr>
          <w:ilvl w:val="0"/>
          <w:numId w:val="2"/>
        </w:numPr>
        <w:shd w:val="clear" w:color="auto" w:fill="FFFFFF"/>
        <w:spacing w:after="100" w:afterAutospacing="1" w:line="360" w:lineRule="auto"/>
        <w:jc w:val="both"/>
        <w:rPr>
          <w:rFonts w:ascii="Times New Roman" w:eastAsia="Times New Roman" w:hAnsi="Times New Roman" w:cs="Times New Roman"/>
          <w:sz w:val="24"/>
          <w:szCs w:val="24"/>
          <w:lang w:eastAsia="en-ZW"/>
        </w:rPr>
      </w:pPr>
      <w:r w:rsidRPr="004F2E87">
        <w:rPr>
          <w:rFonts w:ascii="Times New Roman" w:eastAsia="Times New Roman" w:hAnsi="Times New Roman" w:cs="Times New Roman"/>
          <w:sz w:val="24"/>
          <w:szCs w:val="24"/>
          <w:lang w:eastAsia="en-ZW"/>
        </w:rPr>
        <w:t>The test of whether the making of the statement was in some sense part of the event or transaction is an unreliable one because it is difficult to establish</w:t>
      </w:r>
    </w:p>
    <w:p w:rsidR="00FF03EA" w:rsidRPr="004F2E87" w:rsidRDefault="00FF03EA" w:rsidP="00412902">
      <w:pPr>
        <w:pStyle w:val="ListParagraph"/>
        <w:numPr>
          <w:ilvl w:val="0"/>
          <w:numId w:val="2"/>
        </w:numPr>
        <w:shd w:val="clear" w:color="auto" w:fill="FFFFFF"/>
        <w:spacing w:after="100" w:afterAutospacing="1" w:line="360" w:lineRule="auto"/>
        <w:jc w:val="both"/>
        <w:rPr>
          <w:rFonts w:ascii="Times New Roman" w:eastAsia="Times New Roman" w:hAnsi="Times New Roman" w:cs="Times New Roman"/>
          <w:sz w:val="24"/>
          <w:szCs w:val="24"/>
          <w:lang w:eastAsia="en-ZW"/>
        </w:rPr>
      </w:pPr>
      <w:r w:rsidRPr="004F2E87">
        <w:rPr>
          <w:rFonts w:ascii="Times New Roman" w:eastAsia="Times New Roman" w:hAnsi="Times New Roman" w:cs="Times New Roman"/>
          <w:sz w:val="24"/>
          <w:szCs w:val="24"/>
          <w:lang w:eastAsia="en-ZW"/>
        </w:rPr>
        <w:t>For statements made after the event it is the responsibility of the judge to decide if they were made under such spontaneity or involvement in or with the event that the chance that there could be concoction can be disregarded</w:t>
      </w:r>
    </w:p>
    <w:p w:rsidR="00FF03EA" w:rsidRPr="004F2E87" w:rsidRDefault="00FF03EA" w:rsidP="00412902">
      <w:pPr>
        <w:pStyle w:val="ListParagraph"/>
        <w:numPr>
          <w:ilvl w:val="0"/>
          <w:numId w:val="2"/>
        </w:numPr>
        <w:shd w:val="clear" w:color="auto" w:fill="FFFFFF"/>
        <w:spacing w:after="100" w:afterAutospacing="1" w:line="360" w:lineRule="auto"/>
        <w:jc w:val="both"/>
        <w:rPr>
          <w:rFonts w:ascii="Times New Roman" w:eastAsia="Times New Roman" w:hAnsi="Times New Roman" w:cs="Times New Roman"/>
          <w:sz w:val="24"/>
          <w:szCs w:val="24"/>
          <w:lang w:eastAsia="en-ZW"/>
        </w:rPr>
      </w:pPr>
      <w:r w:rsidRPr="004F2E87">
        <w:rPr>
          <w:rFonts w:ascii="Times New Roman" w:eastAsia="Times New Roman" w:hAnsi="Times New Roman" w:cs="Times New Roman"/>
          <w:sz w:val="24"/>
          <w:szCs w:val="24"/>
          <w:lang w:eastAsia="en-ZW"/>
        </w:rPr>
        <w:lastRenderedPageBreak/>
        <w:t>Where the statement is a narrative of a disconnected or a dispassionate earlier or later occurrence to enable the speaker to reconstruct or adapt his account, the court must exclude the statement</w:t>
      </w:r>
    </w:p>
    <w:p w:rsidR="00FF03EA" w:rsidRPr="004F2E87" w:rsidRDefault="00FF03EA" w:rsidP="00412902">
      <w:pPr>
        <w:pStyle w:val="ListParagraph"/>
        <w:numPr>
          <w:ilvl w:val="0"/>
          <w:numId w:val="2"/>
        </w:numPr>
        <w:shd w:val="clear" w:color="auto" w:fill="FFFFFF"/>
        <w:spacing w:after="100" w:afterAutospacing="1" w:line="360" w:lineRule="auto"/>
        <w:jc w:val="both"/>
        <w:rPr>
          <w:rFonts w:ascii="Times New Roman" w:eastAsia="Times New Roman" w:hAnsi="Times New Roman" w:cs="Times New Roman"/>
          <w:sz w:val="24"/>
          <w:szCs w:val="24"/>
          <w:lang w:eastAsia="en-ZW"/>
        </w:rPr>
      </w:pPr>
      <w:r w:rsidRPr="004F2E87">
        <w:rPr>
          <w:rFonts w:ascii="Times New Roman" w:eastAsia="Times New Roman" w:hAnsi="Times New Roman" w:cs="Times New Roman"/>
          <w:sz w:val="24"/>
          <w:szCs w:val="24"/>
          <w:lang w:eastAsia="en-ZW"/>
        </w:rPr>
        <w:t xml:space="preserve">Usually what informs these issues is the spectacle that happens after the event has started, built pressure and ferocity that the only conclusion is that the words are a true reflection of what was happening </w:t>
      </w:r>
    </w:p>
    <w:p w:rsidR="00663EC6" w:rsidRPr="004F2E87" w:rsidRDefault="00663EC6" w:rsidP="009D270F">
      <w:pPr>
        <w:pStyle w:val="Default"/>
        <w:spacing w:line="360" w:lineRule="auto"/>
        <w:ind w:firstLine="720"/>
        <w:jc w:val="both"/>
        <w:rPr>
          <w:color w:val="auto"/>
          <w:shd w:val="clear" w:color="auto" w:fill="FFFFFF"/>
        </w:rPr>
      </w:pPr>
      <w:r w:rsidRPr="004F2E87">
        <w:rPr>
          <w:color w:val="auto"/>
          <w:shd w:val="clear" w:color="auto" w:fill="FFFFFF"/>
        </w:rPr>
        <w:t xml:space="preserve">The Supreme Court in </w:t>
      </w:r>
      <w:r w:rsidRPr="004F2E87">
        <w:rPr>
          <w:i/>
          <w:color w:val="auto"/>
          <w:shd w:val="clear" w:color="auto" w:fill="FFFFFF"/>
        </w:rPr>
        <w:t xml:space="preserve">Mutsure </w:t>
      </w:r>
      <w:r w:rsidRPr="004F2E87">
        <w:rPr>
          <w:color w:val="auto"/>
          <w:shd w:val="clear" w:color="auto" w:fill="FFFFFF"/>
        </w:rPr>
        <w:t>concluded by ringing the caution that courts must resort to the application of various standard</w:t>
      </w:r>
      <w:r w:rsidR="009E6417" w:rsidRPr="004F2E87">
        <w:rPr>
          <w:color w:val="auto"/>
          <w:shd w:val="clear" w:color="auto" w:fill="FFFFFF"/>
        </w:rPr>
        <w:t>s</w:t>
      </w:r>
      <w:r w:rsidRPr="004F2E87">
        <w:rPr>
          <w:color w:val="auto"/>
          <w:shd w:val="clear" w:color="auto" w:fill="FFFFFF"/>
        </w:rPr>
        <w:t xml:space="preserve"> when dealing with the admissibility of the hearsay statement. They must avoid obsession with the less transparent and less imprecise Latin phrase </w:t>
      </w:r>
      <w:r w:rsidRPr="004F2E87">
        <w:rPr>
          <w:i/>
          <w:color w:val="auto"/>
          <w:shd w:val="clear" w:color="auto" w:fill="FFFFFF"/>
        </w:rPr>
        <w:t xml:space="preserve">res gestae. </w:t>
      </w:r>
      <w:r w:rsidRPr="004F2E87">
        <w:rPr>
          <w:color w:val="auto"/>
          <w:shd w:val="clear" w:color="auto" w:fill="FFFFFF"/>
        </w:rPr>
        <w:t>Instead concentration must be focussed on the principal reason for excluding statements of hearsay evidence of this nature. That rationale is split into two namely:</w:t>
      </w:r>
    </w:p>
    <w:p w:rsidR="00663EC6" w:rsidRPr="004F2E87" w:rsidRDefault="00663EC6" w:rsidP="00412902">
      <w:pPr>
        <w:pStyle w:val="Default"/>
        <w:numPr>
          <w:ilvl w:val="0"/>
          <w:numId w:val="3"/>
        </w:numPr>
        <w:spacing w:line="360" w:lineRule="auto"/>
        <w:jc w:val="both"/>
        <w:rPr>
          <w:bCs/>
          <w:color w:val="auto"/>
        </w:rPr>
      </w:pPr>
      <w:r w:rsidRPr="004F2E87">
        <w:rPr>
          <w:color w:val="auto"/>
          <w:shd w:val="clear" w:color="auto" w:fill="FFFFFF"/>
        </w:rPr>
        <w:t>There could be uncertainty in rel</w:t>
      </w:r>
      <w:r w:rsidR="008A6999" w:rsidRPr="004F2E87">
        <w:rPr>
          <w:color w:val="auto"/>
          <w:shd w:val="clear" w:color="auto" w:fill="FFFFFF"/>
        </w:rPr>
        <w:t xml:space="preserve">ation to the precise words </w:t>
      </w:r>
      <w:r w:rsidRPr="004F2E87">
        <w:rPr>
          <w:color w:val="auto"/>
          <w:shd w:val="clear" w:color="auto" w:fill="FFFFFF"/>
        </w:rPr>
        <w:t xml:space="preserve">uttered by the declarant because of the usual unreliability of oral transmission of statements from one person to another. </w:t>
      </w:r>
    </w:p>
    <w:p w:rsidR="002150EB" w:rsidRPr="004F2E87" w:rsidRDefault="00663EC6" w:rsidP="00412902">
      <w:pPr>
        <w:pStyle w:val="Default"/>
        <w:numPr>
          <w:ilvl w:val="0"/>
          <w:numId w:val="3"/>
        </w:numPr>
        <w:spacing w:line="360" w:lineRule="auto"/>
        <w:jc w:val="both"/>
        <w:rPr>
          <w:bCs/>
          <w:color w:val="auto"/>
        </w:rPr>
      </w:pPr>
      <w:r w:rsidRPr="004F2E87">
        <w:rPr>
          <w:color w:val="auto"/>
          <w:shd w:val="clear" w:color="auto" w:fill="FFFFFF"/>
        </w:rPr>
        <w:t>The second is that there is always a danger of fabrication, concoction, reconstruction or adaptation of  evidence by a victim of assault or accident</w:t>
      </w:r>
      <w:r w:rsidR="00D330FB" w:rsidRPr="004F2E87">
        <w:rPr>
          <w:color w:val="auto"/>
          <w:shd w:val="clear" w:color="auto" w:fill="FFFFFF"/>
        </w:rPr>
        <w:t xml:space="preserve"> </w:t>
      </w:r>
      <w:r w:rsidR="00EC1226" w:rsidRPr="004F2E87">
        <w:rPr>
          <w:color w:val="auto"/>
          <w:shd w:val="clear" w:color="auto" w:fill="FFFFFF"/>
        </w:rPr>
        <w:t xml:space="preserve"> </w:t>
      </w:r>
      <w:r w:rsidR="002150EB" w:rsidRPr="004F2E87">
        <w:rPr>
          <w:color w:val="auto"/>
          <w:shd w:val="clear" w:color="auto" w:fill="FFFFFF"/>
        </w:rPr>
        <w:t> </w:t>
      </w:r>
    </w:p>
    <w:p w:rsidR="000715C3" w:rsidRPr="004F2E87" w:rsidRDefault="000715C3" w:rsidP="00412902">
      <w:pPr>
        <w:spacing w:line="360" w:lineRule="auto"/>
        <w:jc w:val="both"/>
        <w:rPr>
          <w:rFonts w:ascii="Times New Roman" w:hAnsi="Times New Roman" w:cs="Times New Roman"/>
          <w:bCs/>
          <w:sz w:val="24"/>
          <w:szCs w:val="24"/>
        </w:rPr>
      </w:pPr>
    </w:p>
    <w:p w:rsidR="000715C3" w:rsidRPr="00412902" w:rsidRDefault="000715C3" w:rsidP="009D270F">
      <w:pPr>
        <w:spacing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 xml:space="preserve">There is no argument in this case, that indeed the deceased uttered the words repeated by Ivy in her testimony describing her assailant. The question which the court must answer is whether or not there is risk of fabrication or concoction of the </w:t>
      </w:r>
      <w:r w:rsidR="00B922BC" w:rsidRPr="00412902">
        <w:rPr>
          <w:rFonts w:ascii="Times New Roman" w:hAnsi="Times New Roman" w:cs="Times New Roman"/>
          <w:bCs/>
          <w:sz w:val="24"/>
          <w:szCs w:val="24"/>
        </w:rPr>
        <w:t xml:space="preserve">evidence. Ivy arrived at the deceased’s homestead immediately after hearing her cries that there was a thief and that she needed help. The witness found the old woman injured and in distress. It would be fanciful and stretching the rules too far to argue or imagine that it was not in the heat of the moment. The deceased’s narration of what had happened was not a description of a disconnected or dispassionate earlier event. She was living it at that moment. She felt the intensity and the pressure of the attack. Her description of her attacker could only be the truth of what she had observed. We considered the possibility that the deceased’s description could have been affected by fear, her age and poor visibility on the night in question. We discounted that given how the events had unfolded. The person who attacked her had initially been a simple intruder who possibly wanted to steal. He entered the hut which she used as a kitchen. She confronted him and clearly saw him standing in the doorway illuminated by the torch which was strapped on his forehead. </w:t>
      </w:r>
      <w:r w:rsidR="009E6417" w:rsidRPr="00412902">
        <w:rPr>
          <w:rFonts w:ascii="Times New Roman" w:hAnsi="Times New Roman" w:cs="Times New Roman"/>
          <w:bCs/>
          <w:sz w:val="24"/>
          <w:szCs w:val="24"/>
        </w:rPr>
        <w:t>We</w:t>
      </w:r>
      <w:r w:rsidRPr="00412902">
        <w:rPr>
          <w:rFonts w:ascii="Times New Roman" w:hAnsi="Times New Roman" w:cs="Times New Roman"/>
          <w:bCs/>
          <w:sz w:val="24"/>
          <w:szCs w:val="24"/>
        </w:rPr>
        <w:t xml:space="preserve"> have </w:t>
      </w:r>
      <w:r w:rsidR="009E6417" w:rsidRPr="00412902">
        <w:rPr>
          <w:rFonts w:ascii="Times New Roman" w:hAnsi="Times New Roman" w:cs="Times New Roman"/>
          <w:bCs/>
          <w:sz w:val="24"/>
          <w:szCs w:val="24"/>
        </w:rPr>
        <w:t xml:space="preserve">also </w:t>
      </w:r>
      <w:r w:rsidRPr="00412902">
        <w:rPr>
          <w:rFonts w:ascii="Times New Roman" w:hAnsi="Times New Roman" w:cs="Times New Roman"/>
          <w:bCs/>
          <w:sz w:val="24"/>
          <w:szCs w:val="24"/>
        </w:rPr>
        <w:t xml:space="preserve">already stated that the deceased was an old woman above seventy </w:t>
      </w:r>
      <w:r w:rsidRPr="00412902">
        <w:rPr>
          <w:rFonts w:ascii="Times New Roman" w:hAnsi="Times New Roman" w:cs="Times New Roman"/>
          <w:bCs/>
          <w:sz w:val="24"/>
          <w:szCs w:val="24"/>
        </w:rPr>
        <w:lastRenderedPageBreak/>
        <w:t xml:space="preserve">years. </w:t>
      </w:r>
      <w:r w:rsidR="009E6417" w:rsidRPr="00412902">
        <w:rPr>
          <w:rFonts w:ascii="Times New Roman" w:hAnsi="Times New Roman" w:cs="Times New Roman"/>
          <w:bCs/>
          <w:sz w:val="24"/>
          <w:szCs w:val="24"/>
        </w:rPr>
        <w:t xml:space="preserve">Unless she was extra ordinarily crafty, it is difficult to imagine that she concocted such a complex description of the person who attacked her. In any case, if she was that type of person it would have been very easy for her to falsely incriminate the accused. She revealed to Ivy that she could not facially identify her attacker. The truthfulness of her description is supported by the fact that she only stuck to what she had observed and did not seek to draw conclusions from those observations.  </w:t>
      </w:r>
    </w:p>
    <w:p w:rsidR="009E6417" w:rsidRPr="00412902" w:rsidRDefault="009E6417" w:rsidP="009D270F">
      <w:pPr>
        <w:spacing w:after="0" w:line="360" w:lineRule="auto"/>
        <w:ind w:firstLine="417"/>
        <w:jc w:val="both"/>
        <w:rPr>
          <w:rFonts w:ascii="Times New Roman" w:hAnsi="Times New Roman" w:cs="Times New Roman"/>
          <w:bCs/>
          <w:sz w:val="24"/>
          <w:szCs w:val="24"/>
        </w:rPr>
      </w:pPr>
      <w:r w:rsidRPr="00412902">
        <w:rPr>
          <w:rFonts w:ascii="Times New Roman" w:hAnsi="Times New Roman" w:cs="Times New Roman"/>
          <w:bCs/>
          <w:sz w:val="24"/>
          <w:szCs w:val="24"/>
        </w:rPr>
        <w:t xml:space="preserve">As rightly argued by counsel for the accused the evidence of </w:t>
      </w:r>
      <w:r w:rsidRPr="008A6999">
        <w:rPr>
          <w:rFonts w:ascii="Times New Roman" w:hAnsi="Times New Roman" w:cs="Times New Roman"/>
          <w:bCs/>
          <w:i/>
          <w:sz w:val="24"/>
          <w:szCs w:val="24"/>
        </w:rPr>
        <w:t>Samuel Makonese,</w:t>
      </w:r>
      <w:r w:rsidRPr="00412902">
        <w:rPr>
          <w:rFonts w:ascii="Times New Roman" w:hAnsi="Times New Roman" w:cs="Times New Roman"/>
          <w:bCs/>
          <w:sz w:val="24"/>
          <w:szCs w:val="24"/>
        </w:rPr>
        <w:t xml:space="preserve"> the police officer who purportedly recorded a written statement from the deceased is suspect. He is the only </w:t>
      </w:r>
      <w:r w:rsidR="008A6999">
        <w:rPr>
          <w:rFonts w:ascii="Times New Roman" w:hAnsi="Times New Roman" w:cs="Times New Roman"/>
          <w:bCs/>
          <w:sz w:val="24"/>
          <w:szCs w:val="24"/>
        </w:rPr>
        <w:t xml:space="preserve">one </w:t>
      </w:r>
      <w:r w:rsidRPr="00412902">
        <w:rPr>
          <w:rFonts w:ascii="Times New Roman" w:hAnsi="Times New Roman" w:cs="Times New Roman"/>
          <w:bCs/>
          <w:sz w:val="24"/>
          <w:szCs w:val="24"/>
        </w:rPr>
        <w:t xml:space="preserve">amongst all the witnesses who then said the deceased mentioned the accused by name. Its weakness is that he alleges that the statement was recorded at hospital. We note that then the accused had been apprehended and taken to the clinic where the deceased was. There was a large mob gathered there. We presume that everyone was saying everything in that commotion. The possibility that someone had directly mentioned the accused’s name to the deceased and planted ideas in her mind is very high. At that stage, she had opportunity to reflect and reconstruct the evidence. If the prosecutor had sought to depend on that part of the statement we would have had no hesitation to reject it. What however </w:t>
      </w:r>
      <w:r w:rsidRPr="008A6999">
        <w:rPr>
          <w:rFonts w:ascii="Times New Roman" w:hAnsi="Times New Roman" w:cs="Times New Roman"/>
          <w:bCs/>
          <w:i/>
          <w:sz w:val="24"/>
          <w:szCs w:val="24"/>
        </w:rPr>
        <w:t>Samuel Makonese’s</w:t>
      </w:r>
      <w:r w:rsidRPr="00412902">
        <w:rPr>
          <w:rFonts w:ascii="Times New Roman" w:hAnsi="Times New Roman" w:cs="Times New Roman"/>
          <w:bCs/>
          <w:sz w:val="24"/>
          <w:szCs w:val="24"/>
        </w:rPr>
        <w:t xml:space="preserve"> testimony does is simply to illustrate the point we make that when she described the attacker to </w:t>
      </w:r>
      <w:r w:rsidR="008A6999">
        <w:rPr>
          <w:rFonts w:ascii="Times New Roman" w:hAnsi="Times New Roman" w:cs="Times New Roman"/>
          <w:bCs/>
          <w:sz w:val="24"/>
          <w:szCs w:val="24"/>
        </w:rPr>
        <w:t xml:space="preserve">Ivy it was still during a part </w:t>
      </w:r>
      <w:r w:rsidRPr="00412902">
        <w:rPr>
          <w:rFonts w:ascii="Times New Roman" w:hAnsi="Times New Roman" w:cs="Times New Roman"/>
          <w:bCs/>
          <w:sz w:val="24"/>
          <w:szCs w:val="24"/>
        </w:rPr>
        <w:t xml:space="preserve">of the entire event. </w:t>
      </w:r>
    </w:p>
    <w:p w:rsidR="009E6417" w:rsidRPr="00412902" w:rsidRDefault="009E6417" w:rsidP="009D270F">
      <w:pPr>
        <w:spacing w:after="0" w:line="360" w:lineRule="auto"/>
        <w:ind w:firstLine="720"/>
        <w:jc w:val="both"/>
        <w:rPr>
          <w:rFonts w:ascii="Times New Roman" w:hAnsi="Times New Roman" w:cs="Times New Roman"/>
          <w:bCs/>
          <w:sz w:val="24"/>
          <w:szCs w:val="24"/>
        </w:rPr>
      </w:pPr>
      <w:r w:rsidRPr="00412902">
        <w:rPr>
          <w:rFonts w:ascii="Times New Roman" w:hAnsi="Times New Roman" w:cs="Times New Roman"/>
          <w:bCs/>
          <w:sz w:val="24"/>
          <w:szCs w:val="24"/>
        </w:rPr>
        <w:t>For the reasons explained above, the court is convinced that the witness Ivy repeated the precise description which was narrated to her by the deceased. Further we have no apprehension that there could</w:t>
      </w:r>
      <w:r w:rsidR="008A6999">
        <w:rPr>
          <w:rFonts w:ascii="Times New Roman" w:hAnsi="Times New Roman" w:cs="Times New Roman"/>
          <w:bCs/>
          <w:sz w:val="24"/>
          <w:szCs w:val="24"/>
        </w:rPr>
        <w:t xml:space="preserve"> not</w:t>
      </w:r>
      <w:r w:rsidRPr="00412902">
        <w:rPr>
          <w:rFonts w:ascii="Times New Roman" w:hAnsi="Times New Roman" w:cs="Times New Roman"/>
          <w:bCs/>
          <w:sz w:val="24"/>
          <w:szCs w:val="24"/>
        </w:rPr>
        <w:t xml:space="preserve"> have been any fabrication, concoction or falsification of evidence by the deceased. It is on that basis that the court holds the hearsay evidence regarding the deceased’s statement as part of the </w:t>
      </w:r>
      <w:r w:rsidRPr="00412902">
        <w:rPr>
          <w:rFonts w:ascii="Times New Roman" w:hAnsi="Times New Roman" w:cs="Times New Roman"/>
          <w:bCs/>
          <w:i/>
          <w:sz w:val="24"/>
          <w:szCs w:val="24"/>
        </w:rPr>
        <w:t>res gestae</w:t>
      </w:r>
      <w:r w:rsidRPr="00412902">
        <w:rPr>
          <w:rFonts w:ascii="Times New Roman" w:hAnsi="Times New Roman" w:cs="Times New Roman"/>
          <w:bCs/>
          <w:sz w:val="24"/>
          <w:szCs w:val="24"/>
        </w:rPr>
        <w:t xml:space="preserve"> of the attack on her and therefore admissible.    </w:t>
      </w:r>
    </w:p>
    <w:p w:rsidR="009E6417" w:rsidRPr="00412902" w:rsidRDefault="009E6417" w:rsidP="009D270F">
      <w:pPr>
        <w:spacing w:after="0" w:line="360" w:lineRule="auto"/>
        <w:jc w:val="both"/>
        <w:rPr>
          <w:rFonts w:ascii="Times New Roman" w:hAnsi="Times New Roman" w:cs="Times New Roman"/>
          <w:b/>
          <w:bCs/>
          <w:sz w:val="24"/>
          <w:szCs w:val="24"/>
        </w:rPr>
      </w:pPr>
      <w:r w:rsidRPr="00412902">
        <w:rPr>
          <w:rFonts w:ascii="Times New Roman" w:hAnsi="Times New Roman" w:cs="Times New Roman"/>
          <w:b/>
          <w:bCs/>
          <w:sz w:val="24"/>
          <w:szCs w:val="24"/>
        </w:rPr>
        <w:t xml:space="preserve">The law on circumstantial evidence  </w:t>
      </w:r>
    </w:p>
    <w:p w:rsidR="00AC28B8" w:rsidRPr="00412902" w:rsidRDefault="009B3984" w:rsidP="009D270F">
      <w:pPr>
        <w:spacing w:after="0" w:line="360" w:lineRule="auto"/>
        <w:ind w:firstLine="720"/>
        <w:jc w:val="both"/>
        <w:rPr>
          <w:rFonts w:ascii="Times New Roman" w:hAnsi="Times New Roman" w:cs="Times New Roman"/>
          <w:sz w:val="24"/>
          <w:szCs w:val="24"/>
          <w:lang w:val="en-GB"/>
        </w:rPr>
      </w:pPr>
      <w:r w:rsidRPr="00412902">
        <w:rPr>
          <w:rFonts w:ascii="Times New Roman" w:hAnsi="Times New Roman" w:cs="Times New Roman"/>
          <w:sz w:val="24"/>
          <w:szCs w:val="24"/>
          <w:lang w:val="en-GB"/>
        </w:rPr>
        <w:t>Circumstantial evidence is indirect proof. On its own, it does not prove a fact in issue. Its value is that it leads</w:t>
      </w:r>
      <w:r w:rsidRPr="00412902">
        <w:rPr>
          <w:rFonts w:ascii="Times New Roman" w:hAnsi="Times New Roman" w:cs="Times New Roman"/>
          <w:color w:val="333333"/>
          <w:sz w:val="24"/>
          <w:szCs w:val="24"/>
          <w:shd w:val="clear" w:color="auto" w:fill="FFFFFF"/>
        </w:rPr>
        <w:t xml:space="preserve"> </w:t>
      </w:r>
      <w:r w:rsidRPr="009D270F">
        <w:rPr>
          <w:rFonts w:ascii="Times New Roman" w:hAnsi="Times New Roman" w:cs="Times New Roman"/>
          <w:sz w:val="24"/>
          <w:szCs w:val="24"/>
          <w:shd w:val="clear" w:color="auto" w:fill="FFFFFF"/>
        </w:rPr>
        <w:t xml:space="preserve">to a logical inference of the </w:t>
      </w:r>
      <w:r w:rsidR="00B22F09" w:rsidRPr="009D270F">
        <w:rPr>
          <w:rFonts w:ascii="Times New Roman" w:hAnsi="Times New Roman" w:cs="Times New Roman"/>
          <w:sz w:val="24"/>
          <w:szCs w:val="24"/>
          <w:shd w:val="clear" w:color="auto" w:fill="FFFFFF"/>
        </w:rPr>
        <w:t>existence</w:t>
      </w:r>
      <w:r w:rsidRPr="009D270F">
        <w:rPr>
          <w:rFonts w:ascii="Times New Roman" w:hAnsi="Times New Roman" w:cs="Times New Roman"/>
          <w:sz w:val="24"/>
          <w:szCs w:val="24"/>
          <w:shd w:val="clear" w:color="auto" w:fill="FFFFFF"/>
        </w:rPr>
        <w:t xml:space="preserve"> </w:t>
      </w:r>
      <w:r w:rsidR="00B22F09" w:rsidRPr="009D270F">
        <w:rPr>
          <w:rFonts w:ascii="Times New Roman" w:hAnsi="Times New Roman" w:cs="Times New Roman"/>
          <w:sz w:val="24"/>
          <w:szCs w:val="24"/>
          <w:shd w:val="clear" w:color="auto" w:fill="FFFFFF"/>
        </w:rPr>
        <w:t>of the fact</w:t>
      </w:r>
      <w:r w:rsidRPr="009D270F">
        <w:rPr>
          <w:rFonts w:ascii="Times New Roman" w:hAnsi="Times New Roman" w:cs="Times New Roman"/>
          <w:sz w:val="24"/>
          <w:szCs w:val="24"/>
          <w:shd w:val="clear" w:color="auto" w:fill="FFFFFF"/>
        </w:rPr>
        <w:t xml:space="preserve">. </w:t>
      </w:r>
      <w:r w:rsidR="00B22F09" w:rsidRPr="009D270F">
        <w:rPr>
          <w:rFonts w:ascii="Times New Roman" w:hAnsi="Times New Roman" w:cs="Times New Roman"/>
          <w:sz w:val="24"/>
          <w:szCs w:val="24"/>
          <w:shd w:val="clear" w:color="auto" w:fill="FFFFFF"/>
        </w:rPr>
        <w:t>It must not however be regarded as less valuable than other forms of evidence</w:t>
      </w:r>
      <w:r w:rsidR="00B22F09" w:rsidRPr="00412902">
        <w:rPr>
          <w:rFonts w:ascii="Times New Roman" w:hAnsi="Times New Roman" w:cs="Times New Roman"/>
          <w:color w:val="333333"/>
          <w:sz w:val="24"/>
          <w:szCs w:val="24"/>
          <w:shd w:val="clear" w:color="auto" w:fill="FFFFFF"/>
        </w:rPr>
        <w:t xml:space="preserve">. </w:t>
      </w:r>
      <w:r w:rsidR="00AC28B8" w:rsidRPr="00412902">
        <w:rPr>
          <w:rFonts w:ascii="Times New Roman" w:hAnsi="Times New Roman" w:cs="Times New Roman"/>
          <w:sz w:val="24"/>
          <w:szCs w:val="24"/>
          <w:lang w:val="en-GB"/>
        </w:rPr>
        <w:t xml:space="preserve">The </w:t>
      </w:r>
      <w:r w:rsidR="009E6417" w:rsidRPr="00412902">
        <w:rPr>
          <w:rFonts w:ascii="Times New Roman" w:hAnsi="Times New Roman" w:cs="Times New Roman"/>
          <w:sz w:val="24"/>
          <w:szCs w:val="24"/>
          <w:lang w:val="en-GB"/>
        </w:rPr>
        <w:t>approach which a court must take when relying on and assessing circumstantial evidence is trite.</w:t>
      </w:r>
      <w:r w:rsidRPr="00412902">
        <w:rPr>
          <w:rFonts w:ascii="Times New Roman" w:hAnsi="Times New Roman" w:cs="Times New Roman"/>
          <w:sz w:val="24"/>
          <w:szCs w:val="24"/>
          <w:lang w:val="en-GB"/>
        </w:rPr>
        <w:t xml:space="preserve"> One of the leading authorities on the subject is </w:t>
      </w:r>
      <w:r w:rsidR="00AC28B8" w:rsidRPr="00412902">
        <w:rPr>
          <w:rFonts w:ascii="Times New Roman" w:hAnsi="Times New Roman" w:cs="Times New Roman"/>
          <w:sz w:val="24"/>
          <w:szCs w:val="24"/>
          <w:lang w:val="en-GB"/>
        </w:rPr>
        <w:t xml:space="preserve">the case of </w:t>
      </w:r>
      <w:r w:rsidR="00AC28B8" w:rsidRPr="00412902">
        <w:rPr>
          <w:rFonts w:ascii="Times New Roman" w:hAnsi="Times New Roman" w:cs="Times New Roman"/>
          <w:i/>
          <w:sz w:val="24"/>
          <w:szCs w:val="24"/>
          <w:lang w:val="en-GB"/>
        </w:rPr>
        <w:t>Muyanga v The State</w:t>
      </w:r>
      <w:r w:rsidR="00AC28B8" w:rsidRPr="00412902">
        <w:rPr>
          <w:rFonts w:ascii="Times New Roman" w:hAnsi="Times New Roman" w:cs="Times New Roman"/>
          <w:sz w:val="24"/>
          <w:szCs w:val="24"/>
          <w:lang w:val="en-GB"/>
        </w:rPr>
        <w:t xml:space="preserve"> HH 79/13 </w:t>
      </w:r>
      <w:r w:rsidRPr="00412902">
        <w:rPr>
          <w:rFonts w:ascii="Times New Roman" w:hAnsi="Times New Roman" w:cs="Times New Roman"/>
          <w:sz w:val="24"/>
          <w:szCs w:val="24"/>
          <w:lang w:val="en-GB"/>
        </w:rPr>
        <w:t>in which this court explained</w:t>
      </w:r>
      <w:r w:rsidR="00AC28B8" w:rsidRPr="00412902">
        <w:rPr>
          <w:rFonts w:ascii="Times New Roman" w:hAnsi="Times New Roman" w:cs="Times New Roman"/>
          <w:sz w:val="24"/>
          <w:szCs w:val="24"/>
          <w:lang w:val="en-GB"/>
        </w:rPr>
        <w:t xml:space="preserve"> the principles which govern the use of c</w:t>
      </w:r>
      <w:r w:rsidRPr="00412902">
        <w:rPr>
          <w:rFonts w:ascii="Times New Roman" w:hAnsi="Times New Roman" w:cs="Times New Roman"/>
          <w:sz w:val="24"/>
          <w:szCs w:val="24"/>
          <w:lang w:val="en-GB"/>
        </w:rPr>
        <w:t>ircumstantial evidence in the following terms:</w:t>
      </w:r>
    </w:p>
    <w:p w:rsidR="00AC28B8" w:rsidRPr="009D270F" w:rsidRDefault="00AC28B8" w:rsidP="005E7628">
      <w:pPr>
        <w:pStyle w:val="rtejustify"/>
        <w:shd w:val="clear" w:color="auto" w:fill="FFFFFF"/>
        <w:spacing w:before="0" w:beforeAutospacing="0"/>
        <w:ind w:left="720"/>
        <w:rPr>
          <w:sz w:val="22"/>
          <w:szCs w:val="22"/>
        </w:rPr>
      </w:pPr>
      <w:r w:rsidRPr="009D270F">
        <w:rPr>
          <w:sz w:val="22"/>
          <w:szCs w:val="22"/>
        </w:rPr>
        <w:t>“The law regarding circumstantial evidence is well-settled. When a case rests upon circumstantial evidence, such evidence must satisfy the following tests:</w:t>
      </w:r>
    </w:p>
    <w:p w:rsidR="00AC28B8" w:rsidRPr="009D270F" w:rsidRDefault="00AC28B8" w:rsidP="005E7628">
      <w:pPr>
        <w:pStyle w:val="rtejustify"/>
        <w:shd w:val="clear" w:color="auto" w:fill="FFFFFF"/>
        <w:spacing w:before="0" w:beforeAutospacing="0"/>
        <w:ind w:left="450"/>
        <w:rPr>
          <w:sz w:val="22"/>
          <w:szCs w:val="22"/>
        </w:rPr>
      </w:pPr>
      <w:r w:rsidRPr="009D270F">
        <w:rPr>
          <w:sz w:val="22"/>
          <w:szCs w:val="22"/>
        </w:rPr>
        <w:lastRenderedPageBreak/>
        <w:t>(1) The circumstances from which an inference of guilt is sought to be drawn must be cogently and firmly established; </w:t>
      </w:r>
    </w:p>
    <w:p w:rsidR="00AC28B8" w:rsidRPr="009D270F" w:rsidRDefault="00AC28B8" w:rsidP="005E7628">
      <w:pPr>
        <w:pStyle w:val="rtejustify"/>
        <w:shd w:val="clear" w:color="auto" w:fill="FFFFFF"/>
        <w:spacing w:before="0" w:beforeAutospacing="0"/>
        <w:ind w:left="450"/>
        <w:rPr>
          <w:sz w:val="22"/>
          <w:szCs w:val="22"/>
        </w:rPr>
      </w:pPr>
      <w:r w:rsidRPr="009D270F">
        <w:rPr>
          <w:sz w:val="22"/>
          <w:szCs w:val="22"/>
        </w:rPr>
        <w:t>(2) Those circumstances should be of a definite tendency unerringly pointing towards guilt of the accused; </w:t>
      </w:r>
    </w:p>
    <w:p w:rsidR="00AC28B8" w:rsidRPr="009D270F" w:rsidRDefault="00AC28B8" w:rsidP="005E7628">
      <w:pPr>
        <w:pStyle w:val="rtejustify"/>
        <w:shd w:val="clear" w:color="auto" w:fill="FFFFFF"/>
        <w:spacing w:before="0" w:beforeAutospacing="0"/>
        <w:ind w:left="450"/>
        <w:jc w:val="both"/>
        <w:rPr>
          <w:sz w:val="22"/>
          <w:szCs w:val="22"/>
        </w:rPr>
      </w:pPr>
      <w:r w:rsidRPr="009D270F">
        <w:rPr>
          <w:sz w:val="22"/>
          <w:szCs w:val="22"/>
        </w:rPr>
        <w:t>(3) The circumstances, taken cumulatively, should form a chain so complete that there is no escape from the conclusion that within all human probability the crime was committed by th</w:t>
      </w:r>
      <w:r w:rsidR="009B3984" w:rsidRPr="009D270F">
        <w:rPr>
          <w:sz w:val="22"/>
          <w:szCs w:val="22"/>
        </w:rPr>
        <w:t xml:space="preserve">e accused and </w:t>
      </w:r>
      <w:r w:rsidR="005E7628" w:rsidRPr="009D270F">
        <w:rPr>
          <w:sz w:val="22"/>
          <w:szCs w:val="22"/>
        </w:rPr>
        <w:t>no one</w:t>
      </w:r>
      <w:r w:rsidRPr="009D270F">
        <w:rPr>
          <w:sz w:val="22"/>
          <w:szCs w:val="22"/>
        </w:rPr>
        <w:t xml:space="preserve"> else; and</w:t>
      </w:r>
    </w:p>
    <w:p w:rsidR="00AC28B8" w:rsidRPr="009D270F" w:rsidRDefault="00AC28B8" w:rsidP="005E7628">
      <w:pPr>
        <w:pStyle w:val="rtejustify"/>
        <w:shd w:val="clear" w:color="auto" w:fill="FFFFFF"/>
        <w:spacing w:before="0" w:beforeAutospacing="0"/>
        <w:ind w:left="450"/>
        <w:jc w:val="both"/>
        <w:rPr>
          <w:sz w:val="22"/>
          <w:szCs w:val="22"/>
        </w:rPr>
      </w:pPr>
      <w:r w:rsidRPr="009D270F">
        <w:rPr>
          <w:sz w:val="22"/>
          <w:szCs w:val="22"/>
        </w:rPr>
        <w:t>(4) The circumstantial evidence in order to sustain conviction must be complete and incapable of explanation by any other hypothesis than that of guilt of the accused and such evidence should not only be consistent with the guilt of the accused but should be inconsistent with his innocence. See </w:t>
      </w:r>
      <w:r w:rsidRPr="009D270F">
        <w:rPr>
          <w:rStyle w:val="Emphasis"/>
          <w:sz w:val="22"/>
          <w:szCs w:val="22"/>
        </w:rPr>
        <w:t>S </w:t>
      </w:r>
      <w:r w:rsidRPr="009D270F">
        <w:rPr>
          <w:sz w:val="22"/>
          <w:szCs w:val="22"/>
        </w:rPr>
        <w:t>v</w:t>
      </w:r>
      <w:r w:rsidR="005E7628" w:rsidRPr="009D270F">
        <w:rPr>
          <w:sz w:val="22"/>
          <w:szCs w:val="22"/>
        </w:rPr>
        <w:t xml:space="preserve"> </w:t>
      </w:r>
      <w:r w:rsidRPr="009D270F">
        <w:rPr>
          <w:rStyle w:val="Emphasis"/>
          <w:sz w:val="22"/>
          <w:szCs w:val="22"/>
        </w:rPr>
        <w:t>Shoniwa</w:t>
      </w:r>
      <w:r w:rsidRPr="009D270F">
        <w:rPr>
          <w:sz w:val="22"/>
          <w:szCs w:val="22"/>
        </w:rPr>
        <w:t> 1987 (1) 215 (SC) and the cases therein cited.”</w:t>
      </w:r>
    </w:p>
    <w:p w:rsidR="00E55A58" w:rsidRPr="009D270F" w:rsidRDefault="00E55A58" w:rsidP="00412902">
      <w:pPr>
        <w:pStyle w:val="NoSpacing"/>
        <w:spacing w:line="360" w:lineRule="auto"/>
        <w:jc w:val="both"/>
        <w:rPr>
          <w:rFonts w:ascii="Times New Roman" w:hAnsi="Times New Roman" w:cs="Times New Roman"/>
          <w:sz w:val="24"/>
          <w:szCs w:val="24"/>
        </w:rPr>
      </w:pPr>
      <w:r w:rsidRPr="009D270F">
        <w:rPr>
          <w:rFonts w:ascii="Times New Roman" w:hAnsi="Times New Roman" w:cs="Times New Roman"/>
          <w:sz w:val="24"/>
          <w:szCs w:val="24"/>
        </w:rPr>
        <w:t xml:space="preserve">Perhaps </w:t>
      </w:r>
      <w:r w:rsidRPr="009D270F">
        <w:rPr>
          <w:rFonts w:ascii="Times New Roman" w:hAnsi="Times New Roman" w:cs="Times New Roman"/>
          <w:smallCaps/>
          <w:sz w:val="24"/>
          <w:szCs w:val="24"/>
        </w:rPr>
        <w:t>M</w:t>
      </w:r>
      <w:r w:rsidR="009D270F" w:rsidRPr="009D270F">
        <w:rPr>
          <w:rFonts w:ascii="Times New Roman" w:hAnsi="Times New Roman" w:cs="Times New Roman"/>
          <w:smallCaps/>
          <w:sz w:val="24"/>
          <w:szCs w:val="24"/>
        </w:rPr>
        <w:t>athons</w:t>
      </w:r>
      <w:r w:rsidRPr="009D270F">
        <w:rPr>
          <w:rFonts w:ascii="Times New Roman" w:hAnsi="Times New Roman" w:cs="Times New Roman"/>
          <w:smallCaps/>
          <w:sz w:val="24"/>
          <w:szCs w:val="24"/>
        </w:rPr>
        <w:t>I</w:t>
      </w:r>
      <w:r w:rsidRPr="009D270F">
        <w:rPr>
          <w:rFonts w:ascii="Times New Roman" w:hAnsi="Times New Roman" w:cs="Times New Roman"/>
          <w:sz w:val="24"/>
          <w:szCs w:val="24"/>
        </w:rPr>
        <w:t xml:space="preserve"> J (as he then was) in the case of </w:t>
      </w:r>
      <w:r w:rsidRPr="009D270F">
        <w:rPr>
          <w:rFonts w:ascii="Times New Roman" w:hAnsi="Times New Roman" w:cs="Times New Roman"/>
          <w:i/>
          <w:sz w:val="24"/>
          <w:szCs w:val="24"/>
        </w:rPr>
        <w:t xml:space="preserve">Arthur Kazangarare </w:t>
      </w:r>
      <w:r w:rsidRPr="009D270F">
        <w:rPr>
          <w:rFonts w:ascii="Times New Roman" w:hAnsi="Times New Roman" w:cs="Times New Roman"/>
          <w:sz w:val="24"/>
          <w:szCs w:val="24"/>
        </w:rPr>
        <w:t>v</w:t>
      </w:r>
      <w:r w:rsidRPr="009D270F">
        <w:rPr>
          <w:rFonts w:ascii="Times New Roman" w:hAnsi="Times New Roman" w:cs="Times New Roman"/>
          <w:i/>
          <w:sz w:val="24"/>
          <w:szCs w:val="24"/>
        </w:rPr>
        <w:t xml:space="preserve"> The State</w:t>
      </w:r>
      <w:r w:rsidRPr="009D270F">
        <w:rPr>
          <w:rFonts w:ascii="Times New Roman" w:hAnsi="Times New Roman" w:cs="Times New Roman"/>
          <w:sz w:val="24"/>
          <w:szCs w:val="24"/>
        </w:rPr>
        <w:t xml:space="preserve"> HB 9 /16 citing with approval the authors Hoffman and Zeffert put it in simpler terms when he remarked at p 5 of the cyclostyled judgment that: </w:t>
      </w:r>
    </w:p>
    <w:p w:rsidR="00E55A58" w:rsidRPr="009D270F" w:rsidRDefault="00E55A58" w:rsidP="00412902">
      <w:pPr>
        <w:pStyle w:val="NoSpacing"/>
        <w:ind w:left="720"/>
        <w:jc w:val="both"/>
        <w:rPr>
          <w:rFonts w:ascii="Times New Roman" w:hAnsi="Times New Roman" w:cs="Times New Roman"/>
        </w:rPr>
      </w:pPr>
      <w:r w:rsidRPr="009D270F">
        <w:rPr>
          <w:rFonts w:ascii="Times New Roman" w:hAnsi="Times New Roman" w:cs="Times New Roman"/>
        </w:rPr>
        <w:t xml:space="preserve">“Again the rules governing the use of circumstantial evidence are fairly simple.  As stated by the learned authors Hoffman and Zeffert, </w:t>
      </w:r>
      <w:r w:rsidRPr="009D270F">
        <w:rPr>
          <w:rFonts w:ascii="Times New Roman" w:hAnsi="Times New Roman" w:cs="Times New Roman"/>
          <w:i/>
        </w:rPr>
        <w:t xml:space="preserve">The South African Law of Evidence, </w:t>
      </w:r>
      <w:r w:rsidRPr="009D270F">
        <w:rPr>
          <w:rFonts w:ascii="Times New Roman" w:hAnsi="Times New Roman" w:cs="Times New Roman"/>
        </w:rPr>
        <w:t>third</w:t>
      </w:r>
      <w:r w:rsidR="005E7628" w:rsidRPr="009D270F">
        <w:rPr>
          <w:rFonts w:ascii="Times New Roman" w:hAnsi="Times New Roman" w:cs="Times New Roman"/>
        </w:rPr>
        <w:t xml:space="preserve"> edition, Butterworths, at pp</w:t>
      </w:r>
      <w:r w:rsidRPr="009D270F">
        <w:rPr>
          <w:rFonts w:ascii="Times New Roman" w:hAnsi="Times New Roman" w:cs="Times New Roman"/>
        </w:rPr>
        <w:t xml:space="preserve"> 589-90:</w:t>
      </w:r>
    </w:p>
    <w:p w:rsidR="00E55A58" w:rsidRPr="009D270F" w:rsidRDefault="00E55A58" w:rsidP="00412902">
      <w:pPr>
        <w:pStyle w:val="NoSpacing"/>
        <w:ind w:left="1080"/>
        <w:jc w:val="both"/>
        <w:rPr>
          <w:rFonts w:ascii="Times New Roman" w:hAnsi="Times New Roman" w:cs="Times New Roman"/>
        </w:rPr>
      </w:pPr>
      <w:r w:rsidRPr="009D270F">
        <w:rPr>
          <w:rFonts w:ascii="Times New Roman" w:hAnsi="Times New Roman" w:cs="Times New Roman"/>
        </w:rPr>
        <w:t xml:space="preserve">In </w:t>
      </w:r>
      <w:r w:rsidRPr="009D270F">
        <w:rPr>
          <w:rFonts w:ascii="Times New Roman" w:hAnsi="Times New Roman" w:cs="Times New Roman"/>
          <w:i/>
        </w:rPr>
        <w:t>R</w:t>
      </w:r>
      <w:r w:rsidRPr="009D270F">
        <w:rPr>
          <w:rFonts w:ascii="Times New Roman" w:hAnsi="Times New Roman" w:cs="Times New Roman"/>
        </w:rPr>
        <w:t xml:space="preserve"> v </w:t>
      </w:r>
      <w:r w:rsidRPr="009D270F">
        <w:rPr>
          <w:rFonts w:ascii="Times New Roman" w:hAnsi="Times New Roman" w:cs="Times New Roman"/>
          <w:i/>
        </w:rPr>
        <w:t>Blom</w:t>
      </w:r>
      <w:r w:rsidRPr="009D270F">
        <w:rPr>
          <w:rFonts w:ascii="Times New Roman" w:hAnsi="Times New Roman" w:cs="Times New Roman"/>
        </w:rPr>
        <w:t>, WATERMEYER JA referred to two cardinal rules of logic which governed the use of circumstantial evidence in a criminal trial:</w:t>
      </w:r>
    </w:p>
    <w:p w:rsidR="00E55A58" w:rsidRPr="009D270F" w:rsidRDefault="00E55A58" w:rsidP="00412902">
      <w:pPr>
        <w:pStyle w:val="NoSpacing"/>
        <w:numPr>
          <w:ilvl w:val="0"/>
          <w:numId w:val="4"/>
        </w:numPr>
        <w:ind w:left="1440"/>
        <w:jc w:val="both"/>
        <w:rPr>
          <w:rFonts w:ascii="Times New Roman" w:hAnsi="Times New Roman" w:cs="Times New Roman"/>
        </w:rPr>
      </w:pPr>
      <w:r w:rsidRPr="009D270F">
        <w:rPr>
          <w:rFonts w:ascii="Times New Roman" w:hAnsi="Times New Roman" w:cs="Times New Roman"/>
        </w:rPr>
        <w:t>The inference sought to be drawn must be consistent with all the proved facts.  If it is not then the inference cannot be drawn.</w:t>
      </w:r>
    </w:p>
    <w:p w:rsidR="00E55A58" w:rsidRPr="009D270F" w:rsidRDefault="00E55A58" w:rsidP="00412902">
      <w:pPr>
        <w:pStyle w:val="NoSpacing"/>
        <w:numPr>
          <w:ilvl w:val="0"/>
          <w:numId w:val="4"/>
        </w:numPr>
        <w:ind w:left="1440"/>
        <w:jc w:val="both"/>
        <w:rPr>
          <w:rFonts w:ascii="Times New Roman" w:hAnsi="Times New Roman" w:cs="Times New Roman"/>
        </w:rPr>
      </w:pPr>
      <w:r w:rsidRPr="009D270F">
        <w:rPr>
          <w:rFonts w:ascii="Times New Roman" w:hAnsi="Times New Roman" w:cs="Times New Roman"/>
        </w:rPr>
        <w:t>The proved facts should be such that they exclude every reasonable inference from them save the one to be drawn.  If they do not exclude other reasonable inferences, then there must be a doubt whether the inference sought to be drawn is correct.”</w:t>
      </w:r>
    </w:p>
    <w:p w:rsidR="00E55A58" w:rsidRPr="009D270F" w:rsidRDefault="00E55A58" w:rsidP="00E55A58">
      <w:pPr>
        <w:pStyle w:val="NoSpacing"/>
        <w:ind w:left="360"/>
        <w:jc w:val="both"/>
        <w:rPr>
          <w:rFonts w:ascii="Times New Roman" w:hAnsi="Times New Roman" w:cs="Times New Roman"/>
        </w:rPr>
      </w:pPr>
    </w:p>
    <w:p w:rsidR="006262B7" w:rsidRPr="00412902" w:rsidRDefault="00E55A58" w:rsidP="00412902">
      <w:pPr>
        <w:spacing w:line="360" w:lineRule="auto"/>
        <w:ind w:firstLine="720"/>
        <w:jc w:val="both"/>
        <w:rPr>
          <w:rFonts w:ascii="Times New Roman" w:hAnsi="Times New Roman" w:cs="Times New Roman"/>
          <w:bCs/>
          <w:sz w:val="24"/>
          <w:szCs w:val="24"/>
        </w:rPr>
      </w:pPr>
      <w:r w:rsidRPr="00412902">
        <w:rPr>
          <w:rFonts w:ascii="Times New Roman" w:hAnsi="Times New Roman" w:cs="Times New Roman"/>
          <w:sz w:val="24"/>
          <w:szCs w:val="24"/>
        </w:rPr>
        <w:t xml:space="preserve">It follows that where the proved facts point to more than one reasonable inference a court must not convict on the basis of circumstantial evidence. The question which the court seeks to answer </w:t>
      </w:r>
      <w:r w:rsidR="005E7628">
        <w:rPr>
          <w:rFonts w:ascii="Times New Roman" w:hAnsi="Times New Roman" w:cs="Times New Roman"/>
          <w:sz w:val="24"/>
          <w:szCs w:val="24"/>
        </w:rPr>
        <w:t xml:space="preserve">in this case </w:t>
      </w:r>
      <w:r w:rsidRPr="00412902">
        <w:rPr>
          <w:rFonts w:ascii="Times New Roman" w:hAnsi="Times New Roman" w:cs="Times New Roman"/>
          <w:sz w:val="24"/>
          <w:szCs w:val="24"/>
        </w:rPr>
        <w:t xml:space="preserve">is whether it is the accused person who attacked the deceased. The undisputed facts are that </w:t>
      </w:r>
      <w:r w:rsidRPr="00412902">
        <w:rPr>
          <w:rFonts w:ascii="Times New Roman" w:hAnsi="Times New Roman" w:cs="Times New Roman"/>
          <w:bCs/>
          <w:sz w:val="24"/>
          <w:szCs w:val="24"/>
        </w:rPr>
        <w:t xml:space="preserve">the deceased was assaulted and died from the injuries she sustained during the assault. No one witnessed that assault. The best that the deceased could do was to describe the person she had seen attacking her. We have already restated her description of that person. What it means therefore is that there is no direct evidence linking the accused as the person who attacked the deceased. The evidence which is there is largely circumstantial. </w:t>
      </w:r>
      <w:r w:rsidR="006262B7" w:rsidRPr="00412902">
        <w:rPr>
          <w:rFonts w:ascii="Times New Roman" w:hAnsi="Times New Roman" w:cs="Times New Roman"/>
          <w:bCs/>
          <w:sz w:val="24"/>
          <w:szCs w:val="24"/>
        </w:rPr>
        <w:t>It is that:</w:t>
      </w:r>
    </w:p>
    <w:p w:rsidR="006262B7" w:rsidRPr="00412902" w:rsidRDefault="006262B7" w:rsidP="00412902">
      <w:pPr>
        <w:pStyle w:val="ListParagraph"/>
        <w:numPr>
          <w:ilvl w:val="0"/>
          <w:numId w:val="5"/>
        </w:numPr>
        <w:spacing w:line="360" w:lineRule="auto"/>
        <w:jc w:val="both"/>
        <w:rPr>
          <w:rFonts w:ascii="Times New Roman" w:hAnsi="Times New Roman" w:cs="Times New Roman"/>
          <w:bCs/>
          <w:sz w:val="24"/>
          <w:szCs w:val="24"/>
        </w:rPr>
      </w:pPr>
      <w:r w:rsidRPr="00412902">
        <w:rPr>
          <w:rFonts w:ascii="Times New Roman" w:hAnsi="Times New Roman" w:cs="Times New Roman"/>
          <w:bCs/>
          <w:sz w:val="24"/>
          <w:szCs w:val="24"/>
        </w:rPr>
        <w:t xml:space="preserve">On the same night that the deceased was attacked, in fact about an hour or so later, the accused was apprehended. He was wearing a pair of black shorts and a black vest with yellow inscriptions on it. He had a torch strapped to his forehead. His hair was tinted.  Tellingly these clothes and his appearance matched the description of the assailant </w:t>
      </w:r>
      <w:r w:rsidRPr="00412902">
        <w:rPr>
          <w:rFonts w:ascii="Times New Roman" w:hAnsi="Times New Roman" w:cs="Times New Roman"/>
          <w:bCs/>
          <w:sz w:val="24"/>
          <w:szCs w:val="24"/>
        </w:rPr>
        <w:lastRenderedPageBreak/>
        <w:t>which had earlier been given by the deceased. Yet</w:t>
      </w:r>
      <w:r w:rsidR="005E7628">
        <w:rPr>
          <w:rFonts w:ascii="Times New Roman" w:hAnsi="Times New Roman" w:cs="Times New Roman"/>
          <w:bCs/>
          <w:sz w:val="24"/>
          <w:szCs w:val="24"/>
        </w:rPr>
        <w:t xml:space="preserve"> the persons who apprehended the accused</w:t>
      </w:r>
      <w:r w:rsidRPr="00412902">
        <w:rPr>
          <w:rFonts w:ascii="Times New Roman" w:hAnsi="Times New Roman" w:cs="Times New Roman"/>
          <w:bCs/>
          <w:sz w:val="24"/>
          <w:szCs w:val="24"/>
        </w:rPr>
        <w:t xml:space="preserve"> had no information about the attacker’s clothes or appearance. This own </w:t>
      </w:r>
      <w:r w:rsidR="005E7628" w:rsidRPr="00412902">
        <w:rPr>
          <w:rFonts w:ascii="Times New Roman" w:hAnsi="Times New Roman" w:cs="Times New Roman"/>
          <w:bCs/>
          <w:sz w:val="24"/>
          <w:szCs w:val="24"/>
        </w:rPr>
        <w:t>its own</w:t>
      </w:r>
      <w:r w:rsidRPr="00412902">
        <w:rPr>
          <w:rFonts w:ascii="Times New Roman" w:hAnsi="Times New Roman" w:cs="Times New Roman"/>
          <w:bCs/>
          <w:sz w:val="24"/>
          <w:szCs w:val="24"/>
        </w:rPr>
        <w:t xml:space="preserve"> unfortunately would not have been enough. But there was more to it. </w:t>
      </w:r>
    </w:p>
    <w:p w:rsidR="006262B7" w:rsidRPr="00412902" w:rsidRDefault="006262B7" w:rsidP="00412902">
      <w:pPr>
        <w:pStyle w:val="ListParagraph"/>
        <w:numPr>
          <w:ilvl w:val="0"/>
          <w:numId w:val="5"/>
        </w:numPr>
        <w:spacing w:line="360" w:lineRule="auto"/>
        <w:jc w:val="both"/>
        <w:rPr>
          <w:rFonts w:ascii="Times New Roman" w:hAnsi="Times New Roman" w:cs="Times New Roman"/>
          <w:bCs/>
          <w:sz w:val="24"/>
          <w:szCs w:val="24"/>
        </w:rPr>
      </w:pPr>
      <w:r w:rsidRPr="00412902">
        <w:rPr>
          <w:rFonts w:ascii="Times New Roman" w:hAnsi="Times New Roman" w:cs="Times New Roman"/>
          <w:bCs/>
          <w:sz w:val="24"/>
          <w:szCs w:val="24"/>
        </w:rPr>
        <w:t>The accused</w:t>
      </w:r>
      <w:r w:rsidR="001C48E7" w:rsidRPr="00412902">
        <w:rPr>
          <w:rFonts w:ascii="Times New Roman" w:hAnsi="Times New Roman" w:cs="Times New Roman"/>
          <w:bCs/>
          <w:sz w:val="24"/>
          <w:szCs w:val="24"/>
        </w:rPr>
        <w:t xml:space="preserve"> had earlier been spotted close to witness </w:t>
      </w:r>
      <w:r w:rsidR="001C48E7" w:rsidRPr="005E7628">
        <w:rPr>
          <w:rFonts w:ascii="Times New Roman" w:hAnsi="Times New Roman" w:cs="Times New Roman"/>
          <w:bCs/>
          <w:i/>
          <w:sz w:val="24"/>
          <w:szCs w:val="24"/>
        </w:rPr>
        <w:t>Francis Ka</w:t>
      </w:r>
      <w:r w:rsidR="009D270F">
        <w:rPr>
          <w:rFonts w:ascii="Times New Roman" w:hAnsi="Times New Roman" w:cs="Times New Roman"/>
          <w:bCs/>
          <w:i/>
          <w:sz w:val="24"/>
          <w:szCs w:val="24"/>
        </w:rPr>
        <w:t>rape</w:t>
      </w:r>
      <w:r w:rsidR="001C48E7" w:rsidRPr="005E7628">
        <w:rPr>
          <w:rFonts w:ascii="Times New Roman" w:hAnsi="Times New Roman" w:cs="Times New Roman"/>
          <w:bCs/>
          <w:i/>
          <w:sz w:val="24"/>
          <w:szCs w:val="24"/>
        </w:rPr>
        <w:t>’s</w:t>
      </w:r>
      <w:r w:rsidR="001C48E7" w:rsidRPr="00412902">
        <w:rPr>
          <w:rFonts w:ascii="Times New Roman" w:hAnsi="Times New Roman" w:cs="Times New Roman"/>
          <w:bCs/>
          <w:sz w:val="24"/>
          <w:szCs w:val="24"/>
        </w:rPr>
        <w:t xml:space="preserve"> residence</w:t>
      </w:r>
      <w:r w:rsidRPr="00412902">
        <w:rPr>
          <w:rFonts w:ascii="Times New Roman" w:hAnsi="Times New Roman" w:cs="Times New Roman"/>
          <w:bCs/>
          <w:sz w:val="24"/>
          <w:szCs w:val="24"/>
        </w:rPr>
        <w:t xml:space="preserve"> after Francis was alerted by his wife</w:t>
      </w:r>
      <w:r w:rsidR="001C48E7" w:rsidRPr="00412902">
        <w:rPr>
          <w:rFonts w:ascii="Times New Roman" w:hAnsi="Times New Roman" w:cs="Times New Roman"/>
          <w:bCs/>
          <w:sz w:val="24"/>
          <w:szCs w:val="24"/>
        </w:rPr>
        <w:t>. Francis confronted him in the darkness and demanded to know who he was. The accused refused to identify himself.</w:t>
      </w:r>
      <w:r w:rsidRPr="00412902">
        <w:rPr>
          <w:rFonts w:ascii="Times New Roman" w:hAnsi="Times New Roman" w:cs="Times New Roman"/>
          <w:bCs/>
          <w:sz w:val="24"/>
          <w:szCs w:val="24"/>
        </w:rPr>
        <w:t xml:space="preserve"> Instead he fled</w:t>
      </w:r>
      <w:r w:rsidR="001C48E7" w:rsidRPr="00412902">
        <w:rPr>
          <w:rFonts w:ascii="Times New Roman" w:hAnsi="Times New Roman" w:cs="Times New Roman"/>
          <w:bCs/>
          <w:sz w:val="24"/>
          <w:szCs w:val="24"/>
        </w:rPr>
        <w:t xml:space="preserve">. </w:t>
      </w:r>
      <w:r w:rsidRPr="00412902">
        <w:rPr>
          <w:rFonts w:ascii="Times New Roman" w:hAnsi="Times New Roman" w:cs="Times New Roman"/>
          <w:bCs/>
          <w:sz w:val="24"/>
          <w:szCs w:val="24"/>
        </w:rPr>
        <w:t xml:space="preserve">If he was innocent as he alleges and was simply going to his friend’s residence there was no reason for him to hide his identity. This is so especially given that he resided in the same village and was known to Francis. The accused did not dispute this evidence from Francis. He did not give any explanation for that strange behaviour. The only reasonable inference which can be drawn from his refusal to identify himself is that he did not want Francis to know who he was. He did not want his presence in that part of the community at that time to be known. </w:t>
      </w:r>
    </w:p>
    <w:p w:rsidR="006262B7" w:rsidRPr="00412902" w:rsidRDefault="006262B7" w:rsidP="00412902">
      <w:pPr>
        <w:pStyle w:val="ListParagraph"/>
        <w:numPr>
          <w:ilvl w:val="0"/>
          <w:numId w:val="5"/>
        </w:numPr>
        <w:spacing w:line="360" w:lineRule="auto"/>
        <w:jc w:val="both"/>
        <w:rPr>
          <w:rFonts w:ascii="Times New Roman" w:hAnsi="Times New Roman" w:cs="Times New Roman"/>
          <w:bCs/>
          <w:sz w:val="24"/>
          <w:szCs w:val="24"/>
        </w:rPr>
      </w:pPr>
      <w:r w:rsidRPr="00412902">
        <w:rPr>
          <w:rFonts w:ascii="Times New Roman" w:hAnsi="Times New Roman" w:cs="Times New Roman"/>
          <w:bCs/>
          <w:sz w:val="24"/>
          <w:szCs w:val="24"/>
        </w:rPr>
        <w:t>When he fled, Francis pursued him and</w:t>
      </w:r>
      <w:r w:rsidR="001C48E7" w:rsidRPr="00412902">
        <w:rPr>
          <w:rFonts w:ascii="Times New Roman" w:hAnsi="Times New Roman" w:cs="Times New Roman"/>
          <w:bCs/>
          <w:sz w:val="24"/>
          <w:szCs w:val="24"/>
        </w:rPr>
        <w:t xml:space="preserve"> later enlisted the aid of his </w:t>
      </w:r>
      <w:r w:rsidRPr="00412902">
        <w:rPr>
          <w:rFonts w:ascii="Times New Roman" w:hAnsi="Times New Roman" w:cs="Times New Roman"/>
          <w:bCs/>
          <w:sz w:val="24"/>
          <w:szCs w:val="24"/>
        </w:rPr>
        <w:t xml:space="preserve">friend </w:t>
      </w:r>
      <w:r w:rsidRPr="005E7628">
        <w:rPr>
          <w:rFonts w:ascii="Times New Roman" w:hAnsi="Times New Roman" w:cs="Times New Roman"/>
          <w:bCs/>
          <w:i/>
          <w:sz w:val="24"/>
          <w:szCs w:val="24"/>
        </w:rPr>
        <w:t>Shingirai.</w:t>
      </w:r>
      <w:r w:rsidRPr="00412902">
        <w:rPr>
          <w:rFonts w:ascii="Times New Roman" w:hAnsi="Times New Roman" w:cs="Times New Roman"/>
          <w:bCs/>
          <w:sz w:val="24"/>
          <w:szCs w:val="24"/>
        </w:rPr>
        <w:t xml:space="preserve"> They waylaid the accused and apprehended him. That he continued running away buttresses the finding we made above that he did not want his identity revealed. </w:t>
      </w:r>
    </w:p>
    <w:p w:rsidR="006262B7" w:rsidRPr="00412902" w:rsidRDefault="006262B7" w:rsidP="00412902">
      <w:pPr>
        <w:pStyle w:val="ListParagraph"/>
        <w:numPr>
          <w:ilvl w:val="0"/>
          <w:numId w:val="5"/>
        </w:numPr>
        <w:spacing w:line="360" w:lineRule="auto"/>
        <w:jc w:val="both"/>
        <w:rPr>
          <w:rFonts w:ascii="Times New Roman" w:hAnsi="Times New Roman" w:cs="Times New Roman"/>
          <w:bCs/>
          <w:sz w:val="24"/>
          <w:szCs w:val="24"/>
        </w:rPr>
      </w:pPr>
      <w:r w:rsidRPr="00412902">
        <w:rPr>
          <w:rFonts w:ascii="Times New Roman" w:hAnsi="Times New Roman" w:cs="Times New Roman"/>
          <w:bCs/>
          <w:sz w:val="24"/>
          <w:szCs w:val="24"/>
        </w:rPr>
        <w:t xml:space="preserve"> Francis and </w:t>
      </w:r>
      <w:r w:rsidRPr="005E7628">
        <w:rPr>
          <w:rFonts w:ascii="Times New Roman" w:hAnsi="Times New Roman" w:cs="Times New Roman"/>
          <w:bCs/>
          <w:i/>
          <w:sz w:val="24"/>
          <w:szCs w:val="24"/>
        </w:rPr>
        <w:t xml:space="preserve">Shingirai </w:t>
      </w:r>
      <w:r w:rsidRPr="00412902">
        <w:rPr>
          <w:rFonts w:ascii="Times New Roman" w:hAnsi="Times New Roman" w:cs="Times New Roman"/>
          <w:bCs/>
          <w:sz w:val="24"/>
          <w:szCs w:val="24"/>
        </w:rPr>
        <w:t>discovered that the accused was wearing clothes which belonged to one of the</w:t>
      </w:r>
      <w:r w:rsidR="005E7628">
        <w:rPr>
          <w:rFonts w:ascii="Times New Roman" w:hAnsi="Times New Roman" w:cs="Times New Roman"/>
          <w:bCs/>
          <w:sz w:val="24"/>
          <w:szCs w:val="24"/>
        </w:rPr>
        <w:t>ir</w:t>
      </w:r>
      <w:r w:rsidRPr="00412902">
        <w:rPr>
          <w:rFonts w:ascii="Times New Roman" w:hAnsi="Times New Roman" w:cs="Times New Roman"/>
          <w:bCs/>
          <w:sz w:val="24"/>
          <w:szCs w:val="24"/>
        </w:rPr>
        <w:t xml:space="preserve"> neighbours. They enquired why he was wearing those clothes but once again the accused did not give any plausible explanation. Even in court the accused could not explain why he was wearing those clothes. Underneath the neighbour’s garments, the accused was wearing the clothes which we earlier described as matching the description given by the deceased. The witness said they then took the accused to the residence of the neighbour whose clothes he was wearing. It was confirmed that he had no authority to </w:t>
      </w:r>
      <w:r w:rsidR="005E7628">
        <w:rPr>
          <w:rFonts w:ascii="Times New Roman" w:hAnsi="Times New Roman" w:cs="Times New Roman"/>
          <w:bCs/>
          <w:sz w:val="24"/>
          <w:szCs w:val="24"/>
        </w:rPr>
        <w:t xml:space="preserve">be </w:t>
      </w:r>
      <w:r w:rsidRPr="00412902">
        <w:rPr>
          <w:rFonts w:ascii="Times New Roman" w:hAnsi="Times New Roman" w:cs="Times New Roman"/>
          <w:bCs/>
          <w:sz w:val="24"/>
          <w:szCs w:val="24"/>
        </w:rPr>
        <w:t>wearing the clothes. The only reasonable inference that can be drawn from this set of facts is that once again, the accused wanted to disguise his appearance</w:t>
      </w:r>
    </w:p>
    <w:p w:rsidR="006262B7" w:rsidRPr="00412902" w:rsidRDefault="006262B7" w:rsidP="00412902">
      <w:pPr>
        <w:pStyle w:val="ListParagraph"/>
        <w:numPr>
          <w:ilvl w:val="0"/>
          <w:numId w:val="5"/>
        </w:numPr>
        <w:spacing w:line="360" w:lineRule="auto"/>
        <w:jc w:val="both"/>
        <w:rPr>
          <w:rFonts w:ascii="Times New Roman" w:hAnsi="Times New Roman" w:cs="Times New Roman"/>
          <w:bCs/>
          <w:sz w:val="24"/>
          <w:szCs w:val="24"/>
        </w:rPr>
      </w:pPr>
      <w:r w:rsidRPr="00412902">
        <w:rPr>
          <w:rFonts w:ascii="Times New Roman" w:hAnsi="Times New Roman" w:cs="Times New Roman"/>
          <w:bCs/>
          <w:sz w:val="24"/>
          <w:szCs w:val="24"/>
        </w:rPr>
        <w:t xml:space="preserve">At the time of his apprehension, the accused was running in the direction opposite to his own residence. The explanation he gave was that he was going to his residence using a longer route because he intended to pass through his friend’s place to discuss work they wanted to do. What is incomprehensible about his explanation is that he was not going to his homestead but away from it. In court, he did not mention the name of the friend to whose place he was going. He did not request the court to have the ‘friend’ called as a witness to come and support his assertion. The accused’s place was about </w:t>
      </w:r>
      <w:r w:rsidRPr="00412902">
        <w:rPr>
          <w:rFonts w:ascii="Times New Roman" w:hAnsi="Times New Roman" w:cs="Times New Roman"/>
          <w:bCs/>
          <w:sz w:val="24"/>
          <w:szCs w:val="24"/>
        </w:rPr>
        <w:lastRenderedPageBreak/>
        <w:t>two kilometres in the opposite d</w:t>
      </w:r>
      <w:r w:rsidR="005E7628">
        <w:rPr>
          <w:rFonts w:ascii="Times New Roman" w:hAnsi="Times New Roman" w:cs="Times New Roman"/>
          <w:bCs/>
          <w:sz w:val="24"/>
          <w:szCs w:val="24"/>
        </w:rPr>
        <w:t>irection</w:t>
      </w:r>
      <w:r w:rsidRPr="00412902">
        <w:rPr>
          <w:rFonts w:ascii="Times New Roman" w:hAnsi="Times New Roman" w:cs="Times New Roman"/>
          <w:bCs/>
          <w:sz w:val="24"/>
          <w:szCs w:val="24"/>
        </w:rPr>
        <w:t xml:space="preserve"> from where he was apprehended. From this set of facts the only logical conclusion is that the accused did not have any such friend like he mentioned in his explanation. He was not going to a friend’s place but running away from identification by his pursuers. </w:t>
      </w:r>
    </w:p>
    <w:p w:rsidR="00F8338C" w:rsidRPr="00412902" w:rsidRDefault="006262B7" w:rsidP="00390BEE">
      <w:pPr>
        <w:shd w:val="clear" w:color="auto" w:fill="FFFFFF"/>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412902">
        <w:rPr>
          <w:rFonts w:ascii="Times New Roman" w:hAnsi="Times New Roman" w:cs="Times New Roman"/>
          <w:bCs/>
          <w:sz w:val="24"/>
          <w:szCs w:val="24"/>
        </w:rPr>
        <w:t xml:space="preserve">We have drawn several inferences from the different </w:t>
      </w:r>
      <w:r w:rsidR="00F8338C" w:rsidRPr="00412902">
        <w:rPr>
          <w:rFonts w:ascii="Times New Roman" w:hAnsi="Times New Roman" w:cs="Times New Roman"/>
          <w:bCs/>
          <w:sz w:val="24"/>
          <w:szCs w:val="24"/>
        </w:rPr>
        <w:t>set</w:t>
      </w:r>
      <w:r w:rsidR="005E7628">
        <w:rPr>
          <w:rFonts w:ascii="Times New Roman" w:hAnsi="Times New Roman" w:cs="Times New Roman"/>
          <w:bCs/>
          <w:sz w:val="24"/>
          <w:szCs w:val="24"/>
        </w:rPr>
        <w:t>s</w:t>
      </w:r>
      <w:r w:rsidR="00F8338C" w:rsidRPr="00412902">
        <w:rPr>
          <w:rFonts w:ascii="Times New Roman" w:hAnsi="Times New Roman" w:cs="Times New Roman"/>
          <w:bCs/>
          <w:sz w:val="24"/>
          <w:szCs w:val="24"/>
        </w:rPr>
        <w:t xml:space="preserve"> of facts as outlined above but as stated in the case of </w:t>
      </w:r>
      <w:r w:rsidR="00F8338C" w:rsidRPr="00412902">
        <w:rPr>
          <w:rFonts w:ascii="Times New Roman" w:eastAsia="Times New Roman" w:hAnsi="Times New Roman" w:cs="Times New Roman"/>
          <w:i/>
          <w:iCs/>
          <w:sz w:val="24"/>
          <w:szCs w:val="24"/>
          <w:lang w:eastAsia="en-ZW"/>
        </w:rPr>
        <w:t xml:space="preserve">R </w:t>
      </w:r>
      <w:r w:rsidR="00F8338C" w:rsidRPr="00390BEE">
        <w:rPr>
          <w:rFonts w:ascii="Times New Roman" w:eastAsia="Times New Roman" w:hAnsi="Times New Roman" w:cs="Times New Roman"/>
          <w:iCs/>
          <w:sz w:val="24"/>
          <w:szCs w:val="24"/>
          <w:lang w:eastAsia="en-ZW"/>
        </w:rPr>
        <w:t>v</w:t>
      </w:r>
      <w:r w:rsidR="00F8338C" w:rsidRPr="00412902">
        <w:rPr>
          <w:rFonts w:ascii="Times New Roman" w:eastAsia="Times New Roman" w:hAnsi="Times New Roman" w:cs="Times New Roman"/>
          <w:i/>
          <w:iCs/>
          <w:sz w:val="24"/>
          <w:szCs w:val="24"/>
          <w:lang w:eastAsia="en-ZW"/>
        </w:rPr>
        <w:t xml:space="preserve"> Sibanda &amp; Others</w:t>
      </w:r>
      <w:r w:rsidR="00F8338C" w:rsidRPr="00412902">
        <w:rPr>
          <w:rFonts w:ascii="Times New Roman" w:eastAsia="Times New Roman" w:hAnsi="Times New Roman" w:cs="Times New Roman"/>
          <w:sz w:val="24"/>
          <w:szCs w:val="24"/>
          <w:lang w:eastAsia="en-ZW"/>
        </w:rPr>
        <w:t xml:space="preserve"> 1965 (4) SA 241 (R.A.) at p 246 when  assessing the adequacy of the circumstantial evidence available to it, a court must remain alive to the fact that: </w:t>
      </w:r>
    </w:p>
    <w:p w:rsidR="00F8338C" w:rsidRPr="00390BEE" w:rsidRDefault="00F8338C" w:rsidP="005E7628">
      <w:pPr>
        <w:shd w:val="clear" w:color="auto" w:fill="FFFFFF"/>
        <w:spacing w:after="100" w:afterAutospacing="1" w:line="240" w:lineRule="auto"/>
        <w:ind w:left="720"/>
        <w:jc w:val="both"/>
        <w:rPr>
          <w:rFonts w:ascii="Times New Roman" w:eastAsia="Times New Roman" w:hAnsi="Times New Roman" w:cs="Times New Roman"/>
          <w:lang w:eastAsia="en-ZW"/>
        </w:rPr>
      </w:pPr>
      <w:r w:rsidRPr="00390BEE">
        <w:rPr>
          <w:rFonts w:ascii="Times New Roman" w:eastAsia="Times New Roman" w:hAnsi="Times New Roman" w:cs="Times New Roman"/>
          <w:lang w:eastAsia="en-ZW"/>
        </w:rPr>
        <w:t>“Generally speaking, when a large number of facts taken together, point to the guilt of an accused, it is not necessary that each fact should be taken in isolation and its existence proved beyond a reasonable doubt. It is sufficient if there are reasonable grounds for taking these facts into consideration and all the facts, taken together prove the guilt of an accused beyond a reasonable doubt.”</w:t>
      </w:r>
    </w:p>
    <w:p w:rsidR="00F51C7E" w:rsidRPr="00412902" w:rsidRDefault="006262B7" w:rsidP="00412902">
      <w:pPr>
        <w:pStyle w:val="NoSpacing"/>
        <w:spacing w:line="360" w:lineRule="auto"/>
        <w:jc w:val="both"/>
        <w:rPr>
          <w:rFonts w:ascii="Times New Roman" w:hAnsi="Times New Roman" w:cs="Times New Roman"/>
          <w:sz w:val="24"/>
          <w:szCs w:val="24"/>
        </w:rPr>
      </w:pPr>
      <w:r w:rsidRPr="00412902">
        <w:rPr>
          <w:rFonts w:ascii="Times New Roman" w:hAnsi="Times New Roman" w:cs="Times New Roman"/>
          <w:bCs/>
          <w:sz w:val="24"/>
          <w:szCs w:val="24"/>
        </w:rPr>
        <w:t xml:space="preserve"> </w:t>
      </w:r>
      <w:r w:rsidR="00390BEE">
        <w:rPr>
          <w:rFonts w:ascii="Times New Roman" w:hAnsi="Times New Roman" w:cs="Times New Roman"/>
          <w:bCs/>
          <w:sz w:val="24"/>
          <w:szCs w:val="24"/>
        </w:rPr>
        <w:tab/>
      </w:r>
      <w:r w:rsidR="00F8338C" w:rsidRPr="00412902">
        <w:rPr>
          <w:rFonts w:ascii="Times New Roman" w:hAnsi="Times New Roman" w:cs="Times New Roman"/>
          <w:bCs/>
          <w:sz w:val="24"/>
          <w:szCs w:val="24"/>
        </w:rPr>
        <w:t xml:space="preserve">The approach </w:t>
      </w:r>
      <w:r w:rsidR="005E7628">
        <w:rPr>
          <w:rFonts w:ascii="Times New Roman" w:hAnsi="Times New Roman" w:cs="Times New Roman"/>
          <w:bCs/>
          <w:sz w:val="24"/>
          <w:szCs w:val="24"/>
        </w:rPr>
        <w:t>suggested above is invaluable. We</w:t>
      </w:r>
      <w:r w:rsidR="00F8338C" w:rsidRPr="00412902">
        <w:rPr>
          <w:rFonts w:ascii="Times New Roman" w:hAnsi="Times New Roman" w:cs="Times New Roman"/>
          <w:bCs/>
          <w:sz w:val="24"/>
          <w:szCs w:val="24"/>
        </w:rPr>
        <w:t xml:space="preserve"> fully subscribe to it. In this case the facts which we </w:t>
      </w:r>
      <w:r w:rsidR="00F51C7E" w:rsidRPr="00412902">
        <w:rPr>
          <w:rFonts w:ascii="Times New Roman" w:hAnsi="Times New Roman" w:cs="Times New Roman"/>
          <w:bCs/>
          <w:sz w:val="24"/>
          <w:szCs w:val="24"/>
        </w:rPr>
        <w:t>found proven</w:t>
      </w:r>
      <w:r w:rsidR="00F8338C" w:rsidRPr="00412902">
        <w:rPr>
          <w:rFonts w:ascii="Times New Roman" w:hAnsi="Times New Roman" w:cs="Times New Roman"/>
          <w:bCs/>
          <w:sz w:val="24"/>
          <w:szCs w:val="24"/>
        </w:rPr>
        <w:t xml:space="preserve"> as stated above all occurred in a single transaction. They were so close to each other and so close to the crime scene both in terms of distance and time to ground sufficient reason</w:t>
      </w:r>
      <w:r w:rsidR="00F51C7E" w:rsidRPr="00412902">
        <w:rPr>
          <w:rFonts w:ascii="Times New Roman" w:hAnsi="Times New Roman" w:cs="Times New Roman"/>
          <w:bCs/>
          <w:sz w:val="24"/>
          <w:szCs w:val="24"/>
        </w:rPr>
        <w:t xml:space="preserve"> for the court to</w:t>
      </w:r>
      <w:r w:rsidR="00F8338C" w:rsidRPr="00412902">
        <w:rPr>
          <w:rFonts w:ascii="Times New Roman" w:hAnsi="Times New Roman" w:cs="Times New Roman"/>
          <w:bCs/>
          <w:sz w:val="24"/>
          <w:szCs w:val="24"/>
        </w:rPr>
        <w:t xml:space="preserve"> </w:t>
      </w:r>
      <w:r w:rsidR="00F51C7E" w:rsidRPr="00412902">
        <w:rPr>
          <w:rFonts w:ascii="Times New Roman" w:hAnsi="Times New Roman" w:cs="Times New Roman"/>
          <w:bCs/>
          <w:sz w:val="24"/>
          <w:szCs w:val="24"/>
        </w:rPr>
        <w:t>take them into consideration not in isolation but in their totality. In our view those facts taken as a unit point beyond a</w:t>
      </w:r>
      <w:r w:rsidR="005E7628">
        <w:rPr>
          <w:rFonts w:ascii="Times New Roman" w:hAnsi="Times New Roman" w:cs="Times New Roman"/>
          <w:bCs/>
          <w:sz w:val="24"/>
          <w:szCs w:val="24"/>
        </w:rPr>
        <w:t xml:space="preserve"> reasonable doubt, to the guilt</w:t>
      </w:r>
      <w:r w:rsidR="00F51C7E" w:rsidRPr="00412902">
        <w:rPr>
          <w:rFonts w:ascii="Times New Roman" w:hAnsi="Times New Roman" w:cs="Times New Roman"/>
          <w:bCs/>
          <w:sz w:val="24"/>
          <w:szCs w:val="24"/>
        </w:rPr>
        <w:t xml:space="preserve"> of the accused. </w:t>
      </w:r>
      <w:r w:rsidR="005E746D">
        <w:rPr>
          <w:rFonts w:ascii="Times New Roman" w:hAnsi="Times New Roman" w:cs="Times New Roman"/>
          <w:bCs/>
          <w:sz w:val="24"/>
          <w:szCs w:val="24"/>
        </w:rPr>
        <w:t>We are aware that the accused had</w:t>
      </w:r>
      <w:r w:rsidR="00F51C7E" w:rsidRPr="00412902">
        <w:rPr>
          <w:rFonts w:ascii="Times New Roman" w:hAnsi="Times New Roman" w:cs="Times New Roman"/>
          <w:bCs/>
          <w:sz w:val="24"/>
          <w:szCs w:val="24"/>
        </w:rPr>
        <w:t xml:space="preserve"> no onus to</w:t>
      </w:r>
      <w:r w:rsidR="00F51C7E" w:rsidRPr="00412902">
        <w:rPr>
          <w:rFonts w:ascii="Times New Roman" w:hAnsi="Times New Roman" w:cs="Times New Roman"/>
          <w:sz w:val="24"/>
          <w:szCs w:val="24"/>
        </w:rPr>
        <w:t xml:space="preserve"> convince the court of the truth of the explanation that he was going to his friend’s residence. See the case of R v </w:t>
      </w:r>
      <w:r w:rsidR="00F51C7E" w:rsidRPr="00412902">
        <w:rPr>
          <w:rFonts w:ascii="Times New Roman" w:hAnsi="Times New Roman" w:cs="Times New Roman"/>
          <w:i/>
          <w:sz w:val="24"/>
          <w:szCs w:val="24"/>
        </w:rPr>
        <w:t>Difford</w:t>
      </w:r>
      <w:r w:rsidR="00F51C7E" w:rsidRPr="00412902">
        <w:rPr>
          <w:rFonts w:ascii="Times New Roman" w:hAnsi="Times New Roman" w:cs="Times New Roman"/>
          <w:sz w:val="24"/>
          <w:szCs w:val="24"/>
        </w:rPr>
        <w:t xml:space="preserve"> 1937 AD 370 at 373 for that proposition.  He was however required to show that there is a reasonable possibility that his explanation may be substantially true. See</w:t>
      </w:r>
      <w:r w:rsidR="00F51C7E" w:rsidRPr="00412902">
        <w:rPr>
          <w:rFonts w:ascii="Times New Roman" w:hAnsi="Times New Roman" w:cs="Times New Roman"/>
          <w:i/>
          <w:sz w:val="24"/>
          <w:szCs w:val="24"/>
        </w:rPr>
        <w:t xml:space="preserve"> S</w:t>
      </w:r>
      <w:r w:rsidR="00F51C7E" w:rsidRPr="00412902">
        <w:rPr>
          <w:rFonts w:ascii="Times New Roman" w:hAnsi="Times New Roman" w:cs="Times New Roman"/>
          <w:sz w:val="24"/>
          <w:szCs w:val="24"/>
        </w:rPr>
        <w:t xml:space="preserve"> v </w:t>
      </w:r>
      <w:r w:rsidR="00F51C7E" w:rsidRPr="00412902">
        <w:rPr>
          <w:rFonts w:ascii="Times New Roman" w:hAnsi="Times New Roman" w:cs="Times New Roman"/>
          <w:i/>
          <w:sz w:val="24"/>
          <w:szCs w:val="24"/>
        </w:rPr>
        <w:t>Kuiper</w:t>
      </w:r>
      <w:r w:rsidR="00F51C7E" w:rsidRPr="00412902">
        <w:rPr>
          <w:rFonts w:ascii="Times New Roman" w:hAnsi="Times New Roman" w:cs="Times New Roman"/>
          <w:sz w:val="24"/>
          <w:szCs w:val="24"/>
        </w:rPr>
        <w:t xml:space="preserve"> 2000 (1) ZLR 113 (S) </w:t>
      </w:r>
      <w:r w:rsidR="005E7628">
        <w:rPr>
          <w:rFonts w:ascii="Times New Roman" w:hAnsi="Times New Roman" w:cs="Times New Roman"/>
          <w:sz w:val="24"/>
          <w:szCs w:val="24"/>
        </w:rPr>
        <w:t xml:space="preserve">at </w:t>
      </w:r>
      <w:r w:rsidR="00F51C7E" w:rsidRPr="00412902">
        <w:rPr>
          <w:rFonts w:ascii="Times New Roman" w:hAnsi="Times New Roman" w:cs="Times New Roman"/>
          <w:sz w:val="24"/>
          <w:szCs w:val="24"/>
        </w:rPr>
        <w:t xml:space="preserve">118C-D. In this case, we have shown that the accused’s explanation is not only not reasonably possible but that it is incomprehensible. </w:t>
      </w:r>
    </w:p>
    <w:p w:rsidR="00412902" w:rsidRPr="00412902" w:rsidRDefault="00F51C7E" w:rsidP="005E746D">
      <w:pPr>
        <w:pStyle w:val="NoSpacing"/>
        <w:spacing w:line="360" w:lineRule="auto"/>
        <w:ind w:firstLine="720"/>
        <w:jc w:val="both"/>
        <w:rPr>
          <w:rFonts w:ascii="Times New Roman" w:hAnsi="Times New Roman" w:cs="Times New Roman"/>
          <w:sz w:val="24"/>
          <w:szCs w:val="24"/>
        </w:rPr>
      </w:pPr>
      <w:r w:rsidRPr="00412902">
        <w:rPr>
          <w:rFonts w:ascii="Times New Roman" w:hAnsi="Times New Roman" w:cs="Times New Roman"/>
          <w:sz w:val="24"/>
          <w:szCs w:val="24"/>
        </w:rPr>
        <w:t>In summing-up, the court’s view is that no</w:t>
      </w:r>
      <w:r w:rsidR="005E7628">
        <w:rPr>
          <w:rFonts w:ascii="Times New Roman" w:hAnsi="Times New Roman" w:cs="Times New Roman"/>
          <w:sz w:val="24"/>
          <w:szCs w:val="24"/>
        </w:rPr>
        <w:t xml:space="preserve"> other conclusion other than his guilt</w:t>
      </w:r>
      <w:r w:rsidRPr="00412902">
        <w:rPr>
          <w:rFonts w:ascii="Times New Roman" w:hAnsi="Times New Roman" w:cs="Times New Roman"/>
          <w:sz w:val="24"/>
          <w:szCs w:val="24"/>
        </w:rPr>
        <w:t xml:space="preserve"> can be drawn from the fact of an accused who is found wearing clothes which match those described by an old woman who had just been attacked; with an appearance exactly like that of the assailant; is running away from the direction of the victim’s homestead and away from the direction of his own residence. In addition he is caught wearing stolen clothes in order to camouflage the apparel he was wearing at the time the deceased identified him. The clothes were stolen from a ne</w:t>
      </w:r>
      <w:r w:rsidR="003F5860">
        <w:rPr>
          <w:rFonts w:ascii="Times New Roman" w:hAnsi="Times New Roman" w:cs="Times New Roman"/>
          <w:sz w:val="24"/>
          <w:szCs w:val="24"/>
        </w:rPr>
        <w:t>ighbour to the deceased who had left his home unguarded as he rushed to rescue the distressed old woman</w:t>
      </w:r>
      <w:r w:rsidR="00412902" w:rsidRPr="00412902">
        <w:rPr>
          <w:rFonts w:ascii="Times New Roman" w:hAnsi="Times New Roman" w:cs="Times New Roman"/>
          <w:sz w:val="24"/>
          <w:szCs w:val="24"/>
        </w:rPr>
        <w:t xml:space="preserve">; an accused who in those circumstances then gives a cock and bull story and refuses to name the friend to whose place he said he was going. We agree these </w:t>
      </w:r>
      <w:r w:rsidR="00412902" w:rsidRPr="00412902">
        <w:rPr>
          <w:rFonts w:ascii="Times New Roman" w:hAnsi="Times New Roman" w:cs="Times New Roman"/>
          <w:sz w:val="24"/>
          <w:szCs w:val="24"/>
        </w:rPr>
        <w:lastRenderedPageBreak/>
        <w:t xml:space="preserve">facts do not reach the threshold of certainty. They however carry a very high degree of probability that it is the accused who attacked the deceased.  They leave only a remote possibility in his favour. </w:t>
      </w:r>
    </w:p>
    <w:p w:rsidR="009940DD" w:rsidRDefault="00412902" w:rsidP="005E7628">
      <w:pPr>
        <w:pStyle w:val="NoSpacing"/>
        <w:spacing w:line="360" w:lineRule="auto"/>
        <w:jc w:val="both"/>
        <w:rPr>
          <w:rFonts w:ascii="Times New Roman" w:hAnsi="Times New Roman" w:cs="Times New Roman"/>
          <w:b/>
          <w:sz w:val="24"/>
          <w:szCs w:val="24"/>
        </w:rPr>
      </w:pPr>
      <w:r w:rsidRPr="00412902">
        <w:rPr>
          <w:rFonts w:ascii="Times New Roman" w:hAnsi="Times New Roman" w:cs="Times New Roman"/>
          <w:sz w:val="24"/>
          <w:szCs w:val="24"/>
        </w:rPr>
        <w:tab/>
        <w:t xml:space="preserve">Against the above background, we are convinced that it is the accused who attacked the deceased on the night of 7 February 2022. In the circumstances, we are convinced that the state managed to prove that the accused is guilty of the crime charged beyond reasonable doubt. Accordingly we have no choice but to find as we hereby do, </w:t>
      </w:r>
      <w:r w:rsidRPr="00412902">
        <w:rPr>
          <w:rFonts w:ascii="Times New Roman" w:hAnsi="Times New Roman" w:cs="Times New Roman"/>
          <w:b/>
          <w:sz w:val="24"/>
          <w:szCs w:val="24"/>
        </w:rPr>
        <w:t xml:space="preserve">the accused person guilty of the crime of murder as charge. </w:t>
      </w:r>
    </w:p>
    <w:p w:rsidR="002C6C55" w:rsidRDefault="002C6C55" w:rsidP="005E7628">
      <w:pPr>
        <w:pStyle w:val="NoSpacing"/>
        <w:spacing w:line="360" w:lineRule="auto"/>
        <w:jc w:val="both"/>
        <w:rPr>
          <w:rFonts w:ascii="Times New Roman" w:hAnsi="Times New Roman" w:cs="Times New Roman"/>
          <w:b/>
          <w:sz w:val="24"/>
          <w:szCs w:val="24"/>
        </w:rPr>
      </w:pPr>
    </w:p>
    <w:p w:rsidR="002C6C55" w:rsidRDefault="002C6C55" w:rsidP="005E7628">
      <w:pPr>
        <w:pStyle w:val="NoSpacing"/>
        <w:spacing w:line="360" w:lineRule="auto"/>
        <w:jc w:val="both"/>
        <w:rPr>
          <w:rFonts w:ascii="Times New Roman" w:hAnsi="Times New Roman" w:cs="Times New Roman"/>
          <w:b/>
          <w:sz w:val="24"/>
          <w:szCs w:val="24"/>
        </w:rPr>
      </w:pPr>
    </w:p>
    <w:p w:rsidR="002C6C55" w:rsidRDefault="002C6C55" w:rsidP="005E7628">
      <w:pPr>
        <w:pStyle w:val="NoSpacing"/>
        <w:spacing w:line="360" w:lineRule="auto"/>
        <w:jc w:val="both"/>
        <w:rPr>
          <w:rFonts w:ascii="Times New Roman" w:hAnsi="Times New Roman" w:cs="Times New Roman"/>
          <w:b/>
          <w:sz w:val="24"/>
          <w:szCs w:val="24"/>
        </w:rPr>
      </w:pPr>
    </w:p>
    <w:p w:rsidR="002C6C55" w:rsidRDefault="002C6C55" w:rsidP="005E7628">
      <w:pPr>
        <w:pStyle w:val="NoSpacing"/>
        <w:spacing w:line="360" w:lineRule="auto"/>
        <w:jc w:val="both"/>
        <w:rPr>
          <w:rFonts w:ascii="Times New Roman" w:hAnsi="Times New Roman" w:cs="Times New Roman"/>
          <w:b/>
          <w:sz w:val="24"/>
          <w:szCs w:val="24"/>
        </w:rPr>
      </w:pPr>
    </w:p>
    <w:p w:rsidR="002C6C55" w:rsidRDefault="002C6C55" w:rsidP="005E7628">
      <w:pPr>
        <w:pStyle w:val="NoSpacing"/>
        <w:spacing w:line="360" w:lineRule="auto"/>
        <w:jc w:val="both"/>
        <w:rPr>
          <w:rFonts w:ascii="Times New Roman" w:hAnsi="Times New Roman" w:cs="Times New Roman"/>
          <w:b/>
          <w:sz w:val="24"/>
          <w:szCs w:val="24"/>
        </w:rPr>
      </w:pPr>
    </w:p>
    <w:p w:rsidR="002C6C55" w:rsidRDefault="002C6C55" w:rsidP="005E7628">
      <w:pPr>
        <w:pStyle w:val="NoSpacing"/>
        <w:spacing w:line="360" w:lineRule="auto"/>
        <w:jc w:val="both"/>
        <w:rPr>
          <w:rFonts w:ascii="Times New Roman" w:hAnsi="Times New Roman" w:cs="Times New Roman"/>
          <w:b/>
          <w:sz w:val="24"/>
          <w:szCs w:val="24"/>
        </w:rPr>
      </w:pPr>
    </w:p>
    <w:p w:rsidR="002C6C55" w:rsidRPr="002C6C55" w:rsidRDefault="002C6C55" w:rsidP="002C6C55">
      <w:pPr>
        <w:pStyle w:val="NoSpacing"/>
        <w:jc w:val="both"/>
        <w:rPr>
          <w:rFonts w:ascii="Times New Roman" w:hAnsi="Times New Roman" w:cs="Times New Roman"/>
          <w:sz w:val="24"/>
          <w:szCs w:val="24"/>
        </w:rPr>
      </w:pPr>
      <w:r w:rsidRPr="002C6C55">
        <w:rPr>
          <w:rFonts w:ascii="Times New Roman" w:hAnsi="Times New Roman" w:cs="Times New Roman"/>
          <w:i/>
          <w:sz w:val="24"/>
          <w:szCs w:val="24"/>
        </w:rPr>
        <w:t>National Prosecuting Authority</w:t>
      </w:r>
      <w:r w:rsidRPr="002C6C55">
        <w:rPr>
          <w:rFonts w:ascii="Times New Roman" w:hAnsi="Times New Roman" w:cs="Times New Roman"/>
          <w:sz w:val="24"/>
          <w:szCs w:val="24"/>
        </w:rPr>
        <w:t>, state’s legal practitioners</w:t>
      </w:r>
    </w:p>
    <w:p w:rsidR="002C6C55" w:rsidRPr="002C6C55" w:rsidRDefault="002C6C55" w:rsidP="002C6C55">
      <w:pPr>
        <w:pStyle w:val="NoSpacing"/>
        <w:jc w:val="both"/>
        <w:rPr>
          <w:rFonts w:ascii="Times New Roman" w:hAnsi="Times New Roman" w:cs="Times New Roman"/>
          <w:sz w:val="24"/>
          <w:szCs w:val="24"/>
        </w:rPr>
      </w:pPr>
      <w:r w:rsidRPr="002C6C55">
        <w:rPr>
          <w:rFonts w:ascii="Times New Roman" w:hAnsi="Times New Roman" w:cs="Times New Roman"/>
          <w:i/>
          <w:sz w:val="24"/>
          <w:szCs w:val="24"/>
        </w:rPr>
        <w:t>Atherstone &amp; Cook,</w:t>
      </w:r>
      <w:r w:rsidRPr="002C6C55">
        <w:rPr>
          <w:rFonts w:ascii="Times New Roman" w:hAnsi="Times New Roman" w:cs="Times New Roman"/>
          <w:sz w:val="24"/>
          <w:szCs w:val="24"/>
        </w:rPr>
        <w:t xml:space="preserve"> accused’s legal practitioners</w:t>
      </w:r>
    </w:p>
    <w:sectPr w:rsidR="002C6C55" w:rsidRPr="002C6C5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894" w:rsidRDefault="00D64894" w:rsidP="0057654C">
      <w:pPr>
        <w:spacing w:after="0" w:line="240" w:lineRule="auto"/>
      </w:pPr>
      <w:r>
        <w:separator/>
      </w:r>
    </w:p>
  </w:endnote>
  <w:endnote w:type="continuationSeparator" w:id="0">
    <w:p w:rsidR="00D64894" w:rsidRDefault="00D64894" w:rsidP="00576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894" w:rsidRDefault="00D64894" w:rsidP="0057654C">
      <w:pPr>
        <w:spacing w:after="0" w:line="240" w:lineRule="auto"/>
      </w:pPr>
      <w:r>
        <w:separator/>
      </w:r>
    </w:p>
  </w:footnote>
  <w:footnote w:type="continuationSeparator" w:id="0">
    <w:p w:rsidR="00D64894" w:rsidRDefault="00D64894" w:rsidP="0057654C">
      <w:pPr>
        <w:spacing w:after="0" w:line="240" w:lineRule="auto"/>
      </w:pPr>
      <w:r>
        <w:continuationSeparator/>
      </w:r>
    </w:p>
  </w:footnote>
  <w:footnote w:id="1">
    <w:p w:rsidR="000F507B" w:rsidRDefault="000F507B" w:rsidP="002150EB">
      <w:pPr>
        <w:pStyle w:val="FootnoteText"/>
      </w:pPr>
      <w:r>
        <w:rPr>
          <w:rStyle w:val="FootnoteReference"/>
        </w:rPr>
        <w:footnoteRef/>
      </w:r>
      <w:r>
        <w:t xml:space="preserve"> </w:t>
      </w:r>
      <w:r w:rsidRPr="0057654C">
        <w:t>https://www.encyclopedia.com/law/encyclopedias-almanacs-transcripts-and-maps/res-gestae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5578411"/>
      <w:docPartObj>
        <w:docPartGallery w:val="Page Numbers (Top of Page)"/>
        <w:docPartUnique/>
      </w:docPartObj>
    </w:sdtPr>
    <w:sdtEndPr>
      <w:rPr>
        <w:noProof/>
      </w:rPr>
    </w:sdtEndPr>
    <w:sdtContent>
      <w:p w:rsidR="0035424F" w:rsidRDefault="00412902">
        <w:pPr>
          <w:pStyle w:val="Header"/>
          <w:jc w:val="right"/>
          <w:rPr>
            <w:noProof/>
          </w:rPr>
        </w:pPr>
        <w:r>
          <w:fldChar w:fldCharType="begin"/>
        </w:r>
        <w:r>
          <w:instrText xml:space="preserve"> PAGE   \* MERGEFORMAT </w:instrText>
        </w:r>
        <w:r>
          <w:fldChar w:fldCharType="separate"/>
        </w:r>
        <w:r w:rsidR="00A16ACF">
          <w:rPr>
            <w:noProof/>
          </w:rPr>
          <w:t>1</w:t>
        </w:r>
        <w:r>
          <w:rPr>
            <w:noProof/>
          </w:rPr>
          <w:fldChar w:fldCharType="end"/>
        </w:r>
      </w:p>
      <w:p w:rsidR="0035424F" w:rsidRDefault="0035424F">
        <w:pPr>
          <w:pStyle w:val="Header"/>
          <w:jc w:val="right"/>
          <w:rPr>
            <w:noProof/>
          </w:rPr>
        </w:pPr>
        <w:r>
          <w:rPr>
            <w:noProof/>
          </w:rPr>
          <w:t>HH 303-23</w:t>
        </w:r>
      </w:p>
      <w:p w:rsidR="00412902" w:rsidRDefault="0035424F">
        <w:pPr>
          <w:pStyle w:val="Header"/>
          <w:jc w:val="right"/>
        </w:pPr>
        <w:r>
          <w:rPr>
            <w:noProof/>
          </w:rPr>
          <w:t>CRB 10/23</w:t>
        </w:r>
      </w:p>
    </w:sdtContent>
  </w:sdt>
  <w:p w:rsidR="00412902" w:rsidRDefault="004129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32B2"/>
    <w:multiLevelType w:val="hybridMultilevel"/>
    <w:tmpl w:val="AFBE80D8"/>
    <w:lvl w:ilvl="0" w:tplc="31C0E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B10C3F"/>
    <w:multiLevelType w:val="multilevel"/>
    <w:tmpl w:val="F342E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15AB5"/>
    <w:multiLevelType w:val="hybridMultilevel"/>
    <w:tmpl w:val="4B2C325C"/>
    <w:lvl w:ilvl="0" w:tplc="0E841998">
      <w:start w:val="1"/>
      <w:numFmt w:val="lowerLetter"/>
      <w:lvlText w:val="(%1)"/>
      <w:lvlJc w:val="left"/>
      <w:pPr>
        <w:ind w:left="777" w:hanging="360"/>
      </w:pPr>
      <w:rPr>
        <w:rFonts w:hint="default"/>
      </w:rPr>
    </w:lvl>
    <w:lvl w:ilvl="1" w:tplc="30090019" w:tentative="1">
      <w:start w:val="1"/>
      <w:numFmt w:val="lowerLetter"/>
      <w:lvlText w:val="%2."/>
      <w:lvlJc w:val="left"/>
      <w:pPr>
        <w:ind w:left="1497" w:hanging="360"/>
      </w:pPr>
    </w:lvl>
    <w:lvl w:ilvl="2" w:tplc="3009001B" w:tentative="1">
      <w:start w:val="1"/>
      <w:numFmt w:val="lowerRoman"/>
      <w:lvlText w:val="%3."/>
      <w:lvlJc w:val="right"/>
      <w:pPr>
        <w:ind w:left="2217" w:hanging="180"/>
      </w:pPr>
    </w:lvl>
    <w:lvl w:ilvl="3" w:tplc="3009000F" w:tentative="1">
      <w:start w:val="1"/>
      <w:numFmt w:val="decimal"/>
      <w:lvlText w:val="%4."/>
      <w:lvlJc w:val="left"/>
      <w:pPr>
        <w:ind w:left="2937" w:hanging="360"/>
      </w:pPr>
    </w:lvl>
    <w:lvl w:ilvl="4" w:tplc="30090019" w:tentative="1">
      <w:start w:val="1"/>
      <w:numFmt w:val="lowerLetter"/>
      <w:lvlText w:val="%5."/>
      <w:lvlJc w:val="left"/>
      <w:pPr>
        <w:ind w:left="3657" w:hanging="360"/>
      </w:pPr>
    </w:lvl>
    <w:lvl w:ilvl="5" w:tplc="3009001B" w:tentative="1">
      <w:start w:val="1"/>
      <w:numFmt w:val="lowerRoman"/>
      <w:lvlText w:val="%6."/>
      <w:lvlJc w:val="right"/>
      <w:pPr>
        <w:ind w:left="4377" w:hanging="180"/>
      </w:pPr>
    </w:lvl>
    <w:lvl w:ilvl="6" w:tplc="3009000F" w:tentative="1">
      <w:start w:val="1"/>
      <w:numFmt w:val="decimal"/>
      <w:lvlText w:val="%7."/>
      <w:lvlJc w:val="left"/>
      <w:pPr>
        <w:ind w:left="5097" w:hanging="360"/>
      </w:pPr>
    </w:lvl>
    <w:lvl w:ilvl="7" w:tplc="30090019" w:tentative="1">
      <w:start w:val="1"/>
      <w:numFmt w:val="lowerLetter"/>
      <w:lvlText w:val="%8."/>
      <w:lvlJc w:val="left"/>
      <w:pPr>
        <w:ind w:left="5817" w:hanging="360"/>
      </w:pPr>
    </w:lvl>
    <w:lvl w:ilvl="8" w:tplc="3009001B" w:tentative="1">
      <w:start w:val="1"/>
      <w:numFmt w:val="lowerRoman"/>
      <w:lvlText w:val="%9."/>
      <w:lvlJc w:val="right"/>
      <w:pPr>
        <w:ind w:left="6537" w:hanging="180"/>
      </w:pPr>
    </w:lvl>
  </w:abstractNum>
  <w:abstractNum w:abstractNumId="3" w15:restartNumberingAfterBreak="0">
    <w:nsid w:val="371153BE"/>
    <w:multiLevelType w:val="hybridMultilevel"/>
    <w:tmpl w:val="AE406D88"/>
    <w:lvl w:ilvl="0" w:tplc="30090019">
      <w:start w:val="1"/>
      <w:numFmt w:val="lowerLetter"/>
      <w:lvlText w:val="%1."/>
      <w:lvlJc w:val="left"/>
      <w:pPr>
        <w:ind w:left="777" w:hanging="360"/>
      </w:pPr>
    </w:lvl>
    <w:lvl w:ilvl="1" w:tplc="30090019" w:tentative="1">
      <w:start w:val="1"/>
      <w:numFmt w:val="lowerLetter"/>
      <w:lvlText w:val="%2."/>
      <w:lvlJc w:val="left"/>
      <w:pPr>
        <w:ind w:left="1497" w:hanging="360"/>
      </w:pPr>
    </w:lvl>
    <w:lvl w:ilvl="2" w:tplc="3009001B" w:tentative="1">
      <w:start w:val="1"/>
      <w:numFmt w:val="lowerRoman"/>
      <w:lvlText w:val="%3."/>
      <w:lvlJc w:val="right"/>
      <w:pPr>
        <w:ind w:left="2217" w:hanging="180"/>
      </w:pPr>
    </w:lvl>
    <w:lvl w:ilvl="3" w:tplc="3009000F" w:tentative="1">
      <w:start w:val="1"/>
      <w:numFmt w:val="decimal"/>
      <w:lvlText w:val="%4."/>
      <w:lvlJc w:val="left"/>
      <w:pPr>
        <w:ind w:left="2937" w:hanging="360"/>
      </w:pPr>
    </w:lvl>
    <w:lvl w:ilvl="4" w:tplc="30090019" w:tentative="1">
      <w:start w:val="1"/>
      <w:numFmt w:val="lowerLetter"/>
      <w:lvlText w:val="%5."/>
      <w:lvlJc w:val="left"/>
      <w:pPr>
        <w:ind w:left="3657" w:hanging="360"/>
      </w:pPr>
    </w:lvl>
    <w:lvl w:ilvl="5" w:tplc="3009001B" w:tentative="1">
      <w:start w:val="1"/>
      <w:numFmt w:val="lowerRoman"/>
      <w:lvlText w:val="%6."/>
      <w:lvlJc w:val="right"/>
      <w:pPr>
        <w:ind w:left="4377" w:hanging="180"/>
      </w:pPr>
    </w:lvl>
    <w:lvl w:ilvl="6" w:tplc="3009000F" w:tentative="1">
      <w:start w:val="1"/>
      <w:numFmt w:val="decimal"/>
      <w:lvlText w:val="%7."/>
      <w:lvlJc w:val="left"/>
      <w:pPr>
        <w:ind w:left="5097" w:hanging="360"/>
      </w:pPr>
    </w:lvl>
    <w:lvl w:ilvl="7" w:tplc="30090019" w:tentative="1">
      <w:start w:val="1"/>
      <w:numFmt w:val="lowerLetter"/>
      <w:lvlText w:val="%8."/>
      <w:lvlJc w:val="left"/>
      <w:pPr>
        <w:ind w:left="5817" w:hanging="360"/>
      </w:pPr>
    </w:lvl>
    <w:lvl w:ilvl="8" w:tplc="3009001B" w:tentative="1">
      <w:start w:val="1"/>
      <w:numFmt w:val="lowerRoman"/>
      <w:lvlText w:val="%9."/>
      <w:lvlJc w:val="right"/>
      <w:pPr>
        <w:ind w:left="6537" w:hanging="180"/>
      </w:pPr>
    </w:lvl>
  </w:abstractNum>
  <w:abstractNum w:abstractNumId="4" w15:restartNumberingAfterBreak="0">
    <w:nsid w:val="587B2DAE"/>
    <w:multiLevelType w:val="multilevel"/>
    <w:tmpl w:val="4D6A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A87FBB"/>
    <w:multiLevelType w:val="hybridMultilevel"/>
    <w:tmpl w:val="1AF0B270"/>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DC5"/>
    <w:rsid w:val="000715C3"/>
    <w:rsid w:val="000F507B"/>
    <w:rsid w:val="00132011"/>
    <w:rsid w:val="00163859"/>
    <w:rsid w:val="00192C1D"/>
    <w:rsid w:val="001C48E7"/>
    <w:rsid w:val="00204287"/>
    <w:rsid w:val="002150EB"/>
    <w:rsid w:val="002C6C55"/>
    <w:rsid w:val="002D4509"/>
    <w:rsid w:val="0035424F"/>
    <w:rsid w:val="00390BEE"/>
    <w:rsid w:val="003F31AF"/>
    <w:rsid w:val="003F5860"/>
    <w:rsid w:val="00407B15"/>
    <w:rsid w:val="00412902"/>
    <w:rsid w:val="004623DF"/>
    <w:rsid w:val="0048716C"/>
    <w:rsid w:val="004F2E87"/>
    <w:rsid w:val="005060FF"/>
    <w:rsid w:val="00524E04"/>
    <w:rsid w:val="0057654C"/>
    <w:rsid w:val="005E6E70"/>
    <w:rsid w:val="005E746D"/>
    <w:rsid w:val="005E7628"/>
    <w:rsid w:val="006262B7"/>
    <w:rsid w:val="00663EC6"/>
    <w:rsid w:val="006A4A1C"/>
    <w:rsid w:val="006B0527"/>
    <w:rsid w:val="00752F11"/>
    <w:rsid w:val="00827F90"/>
    <w:rsid w:val="00837E27"/>
    <w:rsid w:val="008A6999"/>
    <w:rsid w:val="008E79CB"/>
    <w:rsid w:val="00986299"/>
    <w:rsid w:val="009940DD"/>
    <w:rsid w:val="009B3984"/>
    <w:rsid w:val="009D270F"/>
    <w:rsid w:val="009E528A"/>
    <w:rsid w:val="009E6417"/>
    <w:rsid w:val="00A16ACF"/>
    <w:rsid w:val="00A732F8"/>
    <w:rsid w:val="00AC28B8"/>
    <w:rsid w:val="00AC750B"/>
    <w:rsid w:val="00B22F09"/>
    <w:rsid w:val="00B64434"/>
    <w:rsid w:val="00B6798A"/>
    <w:rsid w:val="00B922BC"/>
    <w:rsid w:val="00BC5EF8"/>
    <w:rsid w:val="00D03DC5"/>
    <w:rsid w:val="00D330FB"/>
    <w:rsid w:val="00D64894"/>
    <w:rsid w:val="00DA3AEF"/>
    <w:rsid w:val="00DA69F1"/>
    <w:rsid w:val="00E0455C"/>
    <w:rsid w:val="00E5117C"/>
    <w:rsid w:val="00E55A58"/>
    <w:rsid w:val="00EC1226"/>
    <w:rsid w:val="00EE42C6"/>
    <w:rsid w:val="00F51C7E"/>
    <w:rsid w:val="00F8338C"/>
    <w:rsid w:val="00F83F78"/>
    <w:rsid w:val="00F84301"/>
    <w:rsid w:val="00FF03E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C212B3-878D-4072-BDC5-215CD8D8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DC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3DC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tejustify">
    <w:name w:val="rtejustify"/>
    <w:basedOn w:val="Normal"/>
    <w:rsid w:val="00AC28B8"/>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AC28B8"/>
    <w:rPr>
      <w:i/>
      <w:iCs/>
    </w:rPr>
  </w:style>
  <w:style w:type="character" w:styleId="Hyperlink">
    <w:name w:val="Hyperlink"/>
    <w:basedOn w:val="DefaultParagraphFont"/>
    <w:uiPriority w:val="99"/>
    <w:unhideWhenUsed/>
    <w:rsid w:val="009940DD"/>
    <w:rPr>
      <w:color w:val="0563C1" w:themeColor="hyperlink"/>
      <w:u w:val="single"/>
    </w:rPr>
  </w:style>
  <w:style w:type="paragraph" w:styleId="FootnoteText">
    <w:name w:val="footnote text"/>
    <w:basedOn w:val="Normal"/>
    <w:link w:val="FootnoteTextChar"/>
    <w:uiPriority w:val="99"/>
    <w:semiHidden/>
    <w:unhideWhenUsed/>
    <w:rsid w:val="005765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654C"/>
    <w:rPr>
      <w:sz w:val="20"/>
      <w:szCs w:val="20"/>
    </w:rPr>
  </w:style>
  <w:style w:type="character" w:styleId="FootnoteReference">
    <w:name w:val="footnote reference"/>
    <w:basedOn w:val="DefaultParagraphFont"/>
    <w:uiPriority w:val="99"/>
    <w:semiHidden/>
    <w:unhideWhenUsed/>
    <w:rsid w:val="0057654C"/>
    <w:rPr>
      <w:vertAlign w:val="superscript"/>
    </w:rPr>
  </w:style>
  <w:style w:type="paragraph" w:styleId="ListParagraph">
    <w:name w:val="List Paragraph"/>
    <w:basedOn w:val="Normal"/>
    <w:uiPriority w:val="34"/>
    <w:qFormat/>
    <w:rsid w:val="00FF03EA"/>
    <w:pPr>
      <w:ind w:left="720"/>
      <w:contextualSpacing/>
    </w:pPr>
  </w:style>
  <w:style w:type="paragraph" w:styleId="NoSpacing">
    <w:name w:val="No Spacing"/>
    <w:uiPriority w:val="1"/>
    <w:qFormat/>
    <w:rsid w:val="00E55A58"/>
    <w:pPr>
      <w:spacing w:after="0" w:line="240" w:lineRule="auto"/>
    </w:pPr>
    <w:rPr>
      <w:lang w:val="en-US"/>
    </w:rPr>
  </w:style>
  <w:style w:type="paragraph" w:styleId="Header">
    <w:name w:val="header"/>
    <w:basedOn w:val="Normal"/>
    <w:link w:val="HeaderChar"/>
    <w:uiPriority w:val="99"/>
    <w:unhideWhenUsed/>
    <w:rsid w:val="00412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902"/>
  </w:style>
  <w:style w:type="paragraph" w:styleId="Footer">
    <w:name w:val="footer"/>
    <w:basedOn w:val="Normal"/>
    <w:link w:val="FooterChar"/>
    <w:uiPriority w:val="99"/>
    <w:unhideWhenUsed/>
    <w:rsid w:val="00412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2902"/>
  </w:style>
  <w:style w:type="paragraph" w:styleId="BalloonText">
    <w:name w:val="Balloon Text"/>
    <w:basedOn w:val="Normal"/>
    <w:link w:val="BalloonTextChar"/>
    <w:uiPriority w:val="99"/>
    <w:semiHidden/>
    <w:unhideWhenUsed/>
    <w:rsid w:val="005E74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74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63267">
      <w:bodyDiv w:val="1"/>
      <w:marLeft w:val="0"/>
      <w:marRight w:val="0"/>
      <w:marTop w:val="0"/>
      <w:marBottom w:val="0"/>
      <w:divBdr>
        <w:top w:val="none" w:sz="0" w:space="0" w:color="auto"/>
        <w:left w:val="none" w:sz="0" w:space="0" w:color="auto"/>
        <w:bottom w:val="none" w:sz="0" w:space="0" w:color="auto"/>
        <w:right w:val="none" w:sz="0" w:space="0" w:color="auto"/>
      </w:divBdr>
    </w:div>
    <w:div w:id="974336549">
      <w:bodyDiv w:val="1"/>
      <w:marLeft w:val="0"/>
      <w:marRight w:val="0"/>
      <w:marTop w:val="0"/>
      <w:marBottom w:val="0"/>
      <w:divBdr>
        <w:top w:val="none" w:sz="0" w:space="0" w:color="auto"/>
        <w:left w:val="none" w:sz="0" w:space="0" w:color="auto"/>
        <w:bottom w:val="none" w:sz="0" w:space="0" w:color="auto"/>
        <w:right w:val="none" w:sz="0" w:space="0" w:color="auto"/>
      </w:divBdr>
    </w:div>
    <w:div w:id="19625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47319-FA2D-42BF-B315-18EA4D056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5337</Words>
  <Characters>30422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2023-05-16T12:41:00Z</cp:lastPrinted>
  <dcterms:created xsi:type="dcterms:W3CDTF">2023-05-19T10:05:00Z</dcterms:created>
  <dcterms:modified xsi:type="dcterms:W3CDTF">2023-05-19T10:05:00Z</dcterms:modified>
</cp:coreProperties>
</file>