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tabs>
          <w:tab w:pos="6502" w:val="left" w:leader="none"/>
        </w:tabs>
        <w:spacing w:before="82"/>
        <w:ind w:left="23" w:right="0" w:firstLine="0"/>
        <w:jc w:val="left"/>
        <w:rPr>
          <w:b/>
          <w:sz w:val="24"/>
        </w:rPr>
      </w:pPr>
      <w:r>
        <w:rPr>
          <w:b/>
          <w:sz w:val="24"/>
        </w:rPr>
        <w:t>IN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THE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LABOUR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COURT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OF </w:t>
      </w:r>
      <w:r>
        <w:rPr>
          <w:b/>
          <w:spacing w:val="-2"/>
          <w:sz w:val="24"/>
        </w:rPr>
        <w:t>ZIMBABWE</w:t>
      </w:r>
      <w:r>
        <w:rPr>
          <w:b/>
          <w:sz w:val="24"/>
        </w:rPr>
        <w:tab/>
        <w:t>JUDGMENT NO. </w:t>
      </w:r>
      <w:r>
        <w:rPr>
          <w:b/>
          <w:spacing w:val="-2"/>
          <w:sz w:val="24"/>
        </w:rPr>
        <w:t>LC/H/190/25</w:t>
      </w:r>
    </w:p>
    <w:p>
      <w:pPr>
        <w:spacing w:before="20"/>
        <w:ind w:left="23" w:right="0" w:firstLine="0"/>
        <w:jc w:val="left"/>
        <w:rPr>
          <w:b/>
          <w:sz w:val="24"/>
        </w:rPr>
      </w:pPr>
      <w:r>
        <w:rPr>
          <w:b/>
          <w:spacing w:val="-5"/>
          <w:sz w:val="24"/>
        </w:rPr>
        <w:t>NO.</w:t>
      </w:r>
    </w:p>
    <w:p>
      <w:pPr>
        <w:tabs>
          <w:tab w:pos="6504" w:val="left" w:leader="none"/>
        </w:tabs>
        <w:spacing w:line="398" w:lineRule="auto" w:before="177"/>
        <w:ind w:left="23" w:right="773" w:firstLine="0"/>
        <w:jc w:val="left"/>
        <w:rPr>
          <w:b/>
          <w:sz w:val="24"/>
        </w:rPr>
      </w:pPr>
      <w:r>
        <w:rPr>
          <w:b/>
          <w:sz w:val="24"/>
        </w:rPr>
        <w:t>HELD AT HARARE 14</w:t>
      </w:r>
      <w:r>
        <w:rPr>
          <w:b/>
          <w:position w:val="8"/>
          <w:sz w:val="16"/>
        </w:rPr>
        <w:t>TH</w:t>
      </w:r>
      <w:r>
        <w:rPr>
          <w:b/>
          <w:spacing w:val="40"/>
          <w:position w:val="8"/>
          <w:sz w:val="16"/>
        </w:rPr>
        <w:t> </w:t>
      </w:r>
      <w:r>
        <w:rPr>
          <w:b/>
          <w:sz w:val="24"/>
        </w:rPr>
        <w:t>MAY 2025</w:t>
        <w:tab/>
        <w:t>CASE</w:t>
      </w:r>
      <w:r>
        <w:rPr>
          <w:b/>
          <w:spacing w:val="-15"/>
          <w:sz w:val="24"/>
        </w:rPr>
        <w:t> </w:t>
      </w:r>
      <w:r>
        <w:rPr>
          <w:b/>
          <w:sz w:val="24"/>
        </w:rPr>
        <w:t>NO.</w:t>
      </w:r>
      <w:r>
        <w:rPr>
          <w:b/>
          <w:spacing w:val="-15"/>
          <w:sz w:val="24"/>
        </w:rPr>
        <w:t> </w:t>
      </w:r>
      <w:r>
        <w:rPr>
          <w:b/>
          <w:sz w:val="24"/>
        </w:rPr>
        <w:t>LC/H/231/25 </w:t>
      </w:r>
      <w:r>
        <w:rPr>
          <w:b/>
          <w:spacing w:val="-4"/>
          <w:sz w:val="24"/>
        </w:rPr>
        <w:t>AND</w:t>
      </w:r>
    </w:p>
    <w:p>
      <w:pPr>
        <w:pStyle w:val="BodyText"/>
        <w:spacing w:before="180"/>
        <w:rPr>
          <w:b/>
        </w:rPr>
      </w:pPr>
    </w:p>
    <w:p>
      <w:pPr>
        <w:spacing w:before="0"/>
        <w:ind w:left="23" w:right="0" w:firstLine="0"/>
        <w:jc w:val="left"/>
        <w:rPr>
          <w:b/>
          <w:sz w:val="24"/>
        </w:rPr>
      </w:pPr>
      <w:r>
        <w:rPr>
          <w:b/>
          <w:sz w:val="24"/>
        </w:rPr>
        <w:t>In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the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matter</w:t>
      </w:r>
      <w:r>
        <w:rPr>
          <w:b/>
          <w:spacing w:val="-1"/>
          <w:sz w:val="24"/>
        </w:rPr>
        <w:t> </w:t>
      </w:r>
      <w:r>
        <w:rPr>
          <w:b/>
          <w:spacing w:val="-2"/>
          <w:sz w:val="24"/>
        </w:rPr>
        <w:t>between</w:t>
      </w:r>
    </w:p>
    <w:p>
      <w:pPr>
        <w:tabs>
          <w:tab w:pos="6504" w:val="left" w:leader="none"/>
        </w:tabs>
        <w:spacing w:before="183"/>
        <w:ind w:left="23" w:right="0" w:firstLine="0"/>
        <w:jc w:val="left"/>
        <w:rPr>
          <w:b/>
          <w:sz w:val="24"/>
        </w:rPr>
      </w:pPr>
      <w:r>
        <w:rPr>
          <w:b/>
          <w:sz w:val="24"/>
        </w:rPr>
        <w:t>BHAQZARI</w:t>
      </w:r>
      <w:r>
        <w:rPr>
          <w:b/>
          <w:spacing w:val="-3"/>
          <w:sz w:val="24"/>
        </w:rPr>
        <w:t> </w:t>
      </w:r>
      <w:r>
        <w:rPr>
          <w:b/>
          <w:spacing w:val="-2"/>
          <w:sz w:val="24"/>
        </w:rPr>
        <w:t>MAKOMBE</w:t>
      </w:r>
      <w:r>
        <w:rPr>
          <w:b/>
          <w:sz w:val="24"/>
        </w:rPr>
        <w:tab/>
      </w:r>
      <w:r>
        <w:rPr>
          <w:b/>
          <w:spacing w:val="-2"/>
          <w:sz w:val="24"/>
        </w:rPr>
        <w:t>APPLICANT</w:t>
      </w:r>
    </w:p>
    <w:p>
      <w:pPr>
        <w:pStyle w:val="BodyText"/>
        <w:rPr>
          <w:b/>
        </w:rPr>
      </w:pPr>
    </w:p>
    <w:p>
      <w:pPr>
        <w:pStyle w:val="BodyText"/>
        <w:spacing w:before="86"/>
        <w:rPr>
          <w:b/>
        </w:rPr>
      </w:pPr>
    </w:p>
    <w:p>
      <w:pPr>
        <w:spacing w:before="0"/>
        <w:ind w:left="23" w:right="0" w:firstLine="0"/>
        <w:jc w:val="left"/>
        <w:rPr>
          <w:b/>
          <w:sz w:val="24"/>
        </w:rPr>
      </w:pPr>
      <w:r>
        <w:rPr>
          <w:b/>
          <w:spacing w:val="-5"/>
          <w:sz w:val="24"/>
        </w:rPr>
        <w:t>And</w:t>
      </w:r>
    </w:p>
    <w:p>
      <w:pPr>
        <w:tabs>
          <w:tab w:pos="7224" w:val="left" w:leader="none"/>
        </w:tabs>
        <w:spacing w:line="398" w:lineRule="auto" w:before="183"/>
        <w:ind w:left="23" w:right="916" w:firstLine="0"/>
        <w:jc w:val="left"/>
        <w:rPr>
          <w:b/>
          <w:sz w:val="24"/>
        </w:rPr>
      </w:pPr>
      <w:r>
        <w:rPr>
          <w:b/>
          <w:sz w:val="24"/>
        </w:rPr>
        <w:t>NICKS AUTO ENGINEERING (PVT) LTD</w:t>
        <w:tab/>
      </w:r>
      <w:r>
        <w:rPr>
          <w:b/>
          <w:spacing w:val="-2"/>
          <w:sz w:val="24"/>
        </w:rPr>
        <w:t>RESPONDENT </w:t>
      </w:r>
      <w:r>
        <w:rPr>
          <w:b/>
          <w:sz w:val="24"/>
        </w:rPr>
        <w:t>T/A NICKS MOTORS</w:t>
      </w:r>
    </w:p>
    <w:p>
      <w:pPr>
        <w:pStyle w:val="BodyText"/>
        <w:spacing w:before="181"/>
        <w:rPr>
          <w:b/>
        </w:rPr>
      </w:pPr>
    </w:p>
    <w:p>
      <w:pPr>
        <w:spacing w:before="0"/>
        <w:ind w:left="23" w:right="0" w:firstLine="0"/>
        <w:jc w:val="left"/>
        <w:rPr>
          <w:b/>
          <w:sz w:val="24"/>
        </w:rPr>
      </w:pPr>
      <w:r>
        <w:rPr>
          <w:b/>
          <w:sz w:val="24"/>
        </w:rPr>
        <w:t>BEFORE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THE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HONOURABLE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MRS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JUSTICE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MAKAMURE</w:t>
      </w:r>
      <w:r>
        <w:rPr>
          <w:b/>
          <w:spacing w:val="-2"/>
          <w:sz w:val="24"/>
        </w:rPr>
        <w:t> JUDGE</w:t>
      </w:r>
    </w:p>
    <w:p>
      <w:pPr>
        <w:pStyle w:val="BodyText"/>
        <w:rPr>
          <w:b/>
        </w:rPr>
      </w:pPr>
    </w:p>
    <w:p>
      <w:pPr>
        <w:pStyle w:val="BodyText"/>
        <w:spacing w:before="88"/>
        <w:rPr>
          <w:b/>
        </w:rPr>
      </w:pPr>
    </w:p>
    <w:p>
      <w:pPr>
        <w:spacing w:line="398" w:lineRule="auto" w:before="1"/>
        <w:ind w:left="23" w:right="4942" w:firstLine="0"/>
        <w:jc w:val="left"/>
        <w:rPr>
          <w:b/>
          <w:sz w:val="24"/>
        </w:rPr>
      </w:pPr>
      <w:r>
        <w:rPr>
          <w:b/>
          <w:sz w:val="24"/>
        </w:rPr>
        <w:t>FOR THE APPLICANT : O. MAKONYA FOR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THE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RESPONDENT:MS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A. </w:t>
      </w:r>
      <w:r>
        <w:rPr>
          <w:b/>
          <w:spacing w:val="-4"/>
          <w:sz w:val="24"/>
        </w:rPr>
        <w:t>BANGA</w:t>
      </w:r>
    </w:p>
    <w:p>
      <w:pPr>
        <w:pStyle w:val="BodyText"/>
        <w:spacing w:before="180"/>
        <w:rPr>
          <w:b/>
        </w:rPr>
      </w:pPr>
    </w:p>
    <w:p>
      <w:pPr>
        <w:spacing w:before="1"/>
        <w:ind w:left="23" w:right="0" w:firstLine="0"/>
        <w:jc w:val="left"/>
        <w:rPr>
          <w:b/>
          <w:sz w:val="24"/>
        </w:rPr>
      </w:pPr>
      <w:r>
        <w:rPr>
          <w:b/>
          <w:sz w:val="24"/>
        </w:rPr>
        <w:t>MAKAMURE</w:t>
      </w:r>
      <w:r>
        <w:rPr>
          <w:b/>
          <w:spacing w:val="-4"/>
          <w:sz w:val="24"/>
        </w:rPr>
        <w:t> </w:t>
      </w:r>
      <w:r>
        <w:rPr>
          <w:b/>
          <w:spacing w:val="-5"/>
          <w:sz w:val="24"/>
        </w:rPr>
        <w:t>J:</w:t>
      </w:r>
    </w:p>
    <w:p>
      <w:pPr>
        <w:pStyle w:val="BodyText"/>
        <w:spacing w:line="480" w:lineRule="auto" w:before="182"/>
        <w:ind w:left="23" w:right="773"/>
      </w:pPr>
      <w:r>
        <w:rPr/>
        <w:t>This</w:t>
      </w:r>
      <w:r>
        <w:rPr>
          <w:spacing w:val="-3"/>
        </w:rPr>
        <w:t> </w:t>
      </w:r>
      <w:r>
        <w:rPr/>
        <w:t>is</w:t>
      </w:r>
      <w:r>
        <w:rPr>
          <w:spacing w:val="-3"/>
        </w:rPr>
        <w:t> </w:t>
      </w:r>
      <w:r>
        <w:rPr/>
        <w:t>a</w:t>
      </w:r>
      <w:r>
        <w:rPr>
          <w:spacing w:val="-4"/>
        </w:rPr>
        <w:t> </w:t>
      </w:r>
      <w:r>
        <w:rPr/>
        <w:t>judgment</w:t>
      </w:r>
      <w:r>
        <w:rPr>
          <w:spacing w:val="40"/>
        </w:rPr>
        <w:t> </w:t>
      </w:r>
      <w:r>
        <w:rPr/>
        <w:t>on</w:t>
      </w:r>
      <w:r>
        <w:rPr>
          <w:spacing w:val="-3"/>
        </w:rPr>
        <w:t> </w:t>
      </w:r>
      <w:r>
        <w:rPr/>
        <w:t>a</w:t>
      </w:r>
      <w:r>
        <w:rPr>
          <w:spacing w:val="-2"/>
        </w:rPr>
        <w:t> </w:t>
      </w:r>
      <w:r>
        <w:rPr/>
        <w:t>preliminary</w:t>
      </w:r>
      <w:r>
        <w:rPr>
          <w:spacing w:val="-7"/>
        </w:rPr>
        <w:t> </w:t>
      </w:r>
      <w:r>
        <w:rPr/>
        <w:t>point</w:t>
      </w:r>
      <w:r>
        <w:rPr>
          <w:spacing w:val="-3"/>
        </w:rPr>
        <w:t> </w:t>
      </w:r>
      <w:r>
        <w:rPr/>
        <w:t>raised</w:t>
      </w:r>
      <w:r>
        <w:rPr>
          <w:spacing w:val="-2"/>
        </w:rPr>
        <w:t> </w:t>
      </w:r>
      <w:r>
        <w:rPr/>
        <w:t>on</w:t>
      </w:r>
      <w:r>
        <w:rPr>
          <w:spacing w:val="-3"/>
        </w:rPr>
        <w:t> </w:t>
      </w:r>
      <w:r>
        <w:rPr/>
        <w:t>behalf</w:t>
      </w:r>
      <w:r>
        <w:rPr>
          <w:spacing w:val="-3"/>
        </w:rPr>
        <w:t> </w:t>
      </w:r>
      <w:r>
        <w:rPr/>
        <w:t>of</w:t>
      </w:r>
      <w:r>
        <w:rPr>
          <w:spacing w:val="-4"/>
        </w:rPr>
        <w:t> </w:t>
      </w:r>
      <w:r>
        <w:rPr/>
        <w:t>the</w:t>
      </w:r>
      <w:r>
        <w:rPr>
          <w:spacing w:val="-2"/>
        </w:rPr>
        <w:t> </w:t>
      </w:r>
      <w:r>
        <w:rPr/>
        <w:t>applicant</w:t>
      </w:r>
      <w:r>
        <w:rPr>
          <w:spacing w:val="-1"/>
        </w:rPr>
        <w:t> </w:t>
      </w:r>
      <w:r>
        <w:rPr/>
        <w:t>in</w:t>
      </w:r>
      <w:r>
        <w:rPr>
          <w:spacing w:val="-3"/>
        </w:rPr>
        <w:t> </w:t>
      </w:r>
      <w:r>
        <w:rPr/>
        <w:t>an application for review.</w:t>
      </w:r>
    </w:p>
    <w:p>
      <w:pPr>
        <w:pStyle w:val="BodyText"/>
        <w:spacing w:line="480" w:lineRule="auto" w:before="161"/>
        <w:ind w:left="23" w:right="773"/>
      </w:pPr>
      <w:r>
        <w:rPr/>
        <w:t>The facts are common cause. They are as follows. The applicant filed the application for review</w:t>
      </w:r>
      <w:r>
        <w:rPr>
          <w:spacing w:val="-4"/>
        </w:rPr>
        <w:t> </w:t>
      </w:r>
      <w:r>
        <w:rPr/>
        <w:t>and</w:t>
      </w:r>
      <w:r>
        <w:rPr>
          <w:spacing w:val="-3"/>
        </w:rPr>
        <w:t> </w:t>
      </w:r>
      <w:r>
        <w:rPr/>
        <w:t>duly</w:t>
      </w:r>
      <w:r>
        <w:rPr>
          <w:spacing w:val="-7"/>
        </w:rPr>
        <w:t> </w:t>
      </w:r>
      <w:r>
        <w:rPr/>
        <w:t>served</w:t>
      </w:r>
      <w:r>
        <w:rPr>
          <w:spacing w:val="-2"/>
        </w:rPr>
        <w:t> </w:t>
      </w:r>
      <w:r>
        <w:rPr/>
        <w:t>the</w:t>
      </w:r>
      <w:r>
        <w:rPr>
          <w:spacing w:val="-4"/>
        </w:rPr>
        <w:t> </w:t>
      </w:r>
      <w:r>
        <w:rPr/>
        <w:t>respondent.</w:t>
      </w:r>
      <w:r>
        <w:rPr>
          <w:spacing w:val="-3"/>
        </w:rPr>
        <w:t> </w:t>
      </w:r>
      <w:r>
        <w:rPr/>
        <w:t>The</w:t>
      </w:r>
      <w:r>
        <w:rPr>
          <w:spacing w:val="-4"/>
        </w:rPr>
        <w:t> </w:t>
      </w:r>
      <w:r>
        <w:rPr/>
        <w:t>respondent</w:t>
      </w:r>
      <w:r>
        <w:rPr>
          <w:spacing w:val="-3"/>
        </w:rPr>
        <w:t> </w:t>
      </w:r>
      <w:r>
        <w:rPr/>
        <w:t>was</w:t>
      </w:r>
      <w:r>
        <w:rPr>
          <w:spacing w:val="-3"/>
        </w:rPr>
        <w:t> </w:t>
      </w:r>
      <w:r>
        <w:rPr/>
        <w:t>supposed</w:t>
      </w:r>
      <w:r>
        <w:rPr>
          <w:spacing w:val="-3"/>
        </w:rPr>
        <w:t> </w:t>
      </w:r>
      <w:r>
        <w:rPr/>
        <w:t>to</w:t>
      </w:r>
      <w:r>
        <w:rPr>
          <w:spacing w:val="-3"/>
        </w:rPr>
        <w:t> </w:t>
      </w:r>
      <w:r>
        <w:rPr/>
        <w:t>have</w:t>
      </w:r>
      <w:r>
        <w:rPr>
          <w:spacing w:val="-4"/>
        </w:rPr>
        <w:t> </w:t>
      </w:r>
      <w:r>
        <w:rPr/>
        <w:t>filed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notice of opposition</w:t>
      </w:r>
      <w:r>
        <w:rPr>
          <w:spacing w:val="40"/>
        </w:rPr>
        <w:t> </w:t>
      </w:r>
      <w:r>
        <w:rPr/>
        <w:t>within ten (10) days of receipt of the application, that is to say, by the 31</w:t>
      </w:r>
      <w:r>
        <w:rPr>
          <w:vertAlign w:val="superscript"/>
        </w:rPr>
        <w:t>st</w:t>
      </w:r>
      <w:r>
        <w:rPr>
          <w:vertAlign w:val="baseline"/>
        </w:rPr>
        <w:t> of March 2025. It did not do so . Instead it filed the notice on the 4</w:t>
      </w:r>
      <w:r>
        <w:rPr>
          <w:vertAlign w:val="superscript"/>
        </w:rPr>
        <w:t>th</w:t>
      </w:r>
      <w:r>
        <w:rPr>
          <w:vertAlign w:val="baseline"/>
        </w:rPr>
        <w:t> of April 2025. This was obviously out of time. There was no application for condonation for the non-compliance.</w:t>
      </w:r>
    </w:p>
    <w:p>
      <w:pPr>
        <w:pStyle w:val="BodyText"/>
        <w:spacing w:line="480" w:lineRule="auto" w:before="159"/>
        <w:ind w:left="23" w:right="812"/>
      </w:pPr>
      <w:r>
        <w:rPr/>
        <w:t>When parties</w:t>
      </w:r>
      <w:r>
        <w:rPr>
          <w:spacing w:val="40"/>
        </w:rPr>
        <w:t> </w:t>
      </w:r>
      <w:r>
        <w:rPr/>
        <w:t>appeared in Court the applicant raised a preliminary issue</w:t>
      </w:r>
      <w:r>
        <w:rPr>
          <w:spacing w:val="40"/>
        </w:rPr>
        <w:t> </w:t>
      </w:r>
      <w:r>
        <w:rPr/>
        <w:t>that the failure to file</w:t>
      </w:r>
      <w:r>
        <w:rPr>
          <w:spacing w:val="-3"/>
        </w:rPr>
        <w:t> </w:t>
      </w:r>
      <w:r>
        <w:rPr/>
        <w:t>the</w:t>
      </w:r>
      <w:r>
        <w:rPr>
          <w:spacing w:val="-2"/>
        </w:rPr>
        <w:t> </w:t>
      </w:r>
      <w:r>
        <w:rPr/>
        <w:t>notice</w:t>
      </w:r>
      <w:r>
        <w:rPr>
          <w:spacing w:val="-4"/>
        </w:rPr>
        <w:t> </w:t>
      </w:r>
      <w:r>
        <w:rPr/>
        <w:t>timeously</w:t>
      </w:r>
      <w:r>
        <w:rPr>
          <w:spacing w:val="-5"/>
        </w:rPr>
        <w:t> </w:t>
      </w:r>
      <w:r>
        <w:rPr/>
        <w:t>meant</w:t>
      </w:r>
      <w:r>
        <w:rPr>
          <w:spacing w:val="-2"/>
        </w:rPr>
        <w:t> </w:t>
      </w:r>
      <w:r>
        <w:rPr/>
        <w:t>that</w:t>
      </w:r>
      <w:r>
        <w:rPr>
          <w:spacing w:val="-2"/>
        </w:rPr>
        <w:t> </w:t>
      </w:r>
      <w:r>
        <w:rPr/>
        <w:t>the</w:t>
      </w:r>
      <w:r>
        <w:rPr>
          <w:spacing w:val="-1"/>
        </w:rPr>
        <w:t> </w:t>
      </w:r>
      <w:r>
        <w:rPr/>
        <w:t>respondent</w:t>
      </w:r>
      <w:r>
        <w:rPr>
          <w:spacing w:val="-1"/>
        </w:rPr>
        <w:t> </w:t>
      </w:r>
      <w:r>
        <w:rPr/>
        <w:t>was</w:t>
      </w:r>
      <w:r>
        <w:rPr>
          <w:spacing w:val="-2"/>
        </w:rPr>
        <w:t> </w:t>
      </w:r>
      <w:r>
        <w:rPr/>
        <w:t>barred</w:t>
      </w:r>
      <w:r>
        <w:rPr>
          <w:spacing w:val="-2"/>
        </w:rPr>
        <w:t> </w:t>
      </w:r>
      <w:r>
        <w:rPr/>
        <w:t>for</w:t>
      </w:r>
      <w:r>
        <w:rPr>
          <w:spacing w:val="-2"/>
        </w:rPr>
        <w:t> </w:t>
      </w:r>
      <w:r>
        <w:rPr/>
        <w:t>failure</w:t>
      </w:r>
      <w:r>
        <w:rPr>
          <w:spacing w:val="-4"/>
        </w:rPr>
        <w:t> </w:t>
      </w:r>
      <w:r>
        <w:rPr/>
        <w:t>to comply</w:t>
      </w:r>
      <w:r>
        <w:rPr>
          <w:spacing w:val="-7"/>
        </w:rPr>
        <w:t> </w:t>
      </w:r>
      <w:r>
        <w:rPr/>
        <w:t>with</w:t>
      </w:r>
      <w:r>
        <w:rPr>
          <w:spacing w:val="-2"/>
        </w:rPr>
        <w:t> </w:t>
      </w:r>
      <w:r>
        <w:rPr/>
        <w:t>the rules and therefore had no right of audience until the non-compliance was purged. Mr</w:t>
      </w:r>
    </w:p>
    <w:p>
      <w:pPr>
        <w:pStyle w:val="BodyText"/>
        <w:spacing w:after="0" w:line="480" w:lineRule="auto"/>
        <w:sectPr>
          <w:headerReference w:type="default" r:id="rId5"/>
          <w:type w:val="continuous"/>
          <w:pgSz w:w="11910" w:h="16840"/>
          <w:pgMar w:header="751" w:footer="0" w:top="1340" w:bottom="280" w:left="1417" w:right="708"/>
          <w:pgNumType w:start="1"/>
        </w:sectPr>
      </w:pPr>
    </w:p>
    <w:p>
      <w:pPr>
        <w:pStyle w:val="BodyText"/>
        <w:spacing w:line="480" w:lineRule="auto" w:before="80"/>
        <w:ind w:left="23" w:right="766"/>
        <w:rPr>
          <w:b/>
        </w:rPr>
      </w:pPr>
      <w:r>
        <w:rPr/>
        <w:t>Makonya</w:t>
      </w:r>
      <w:r>
        <w:rPr>
          <w:spacing w:val="40"/>
        </w:rPr>
        <w:t> </w:t>
      </w:r>
      <w:r>
        <w:rPr/>
        <w:t>who appeared on behalf of the applicant, submitted that the respondent fell foul of provisions of Rule 29(b)(i)</w:t>
      </w:r>
      <w:r>
        <w:rPr>
          <w:spacing w:val="-1"/>
        </w:rPr>
        <w:t> </w:t>
      </w:r>
      <w:r>
        <w:rPr/>
        <w:t>of the</w:t>
      </w:r>
      <w:r>
        <w:rPr>
          <w:spacing w:val="-2"/>
        </w:rPr>
        <w:t> </w:t>
      </w:r>
      <w:r>
        <w:rPr/>
        <w:t>Rules of</w:t>
      </w:r>
      <w:r>
        <w:rPr>
          <w:spacing w:val="-1"/>
        </w:rPr>
        <w:t> </w:t>
      </w:r>
      <w:r>
        <w:rPr/>
        <w:t>this Court, 2017. It was submitted on behalf of</w:t>
      </w:r>
      <w:r>
        <w:rPr>
          <w:spacing w:val="-1"/>
        </w:rPr>
        <w:t> </w:t>
      </w:r>
      <w:r>
        <w:rPr/>
        <w:t>the applicant that under the circumstances the application for review was unopposed and should be granted as prayed. It was submitted that respondent should face the consequences of the non-compliance. Some of the authorities cited</w:t>
      </w:r>
      <w:r>
        <w:rPr>
          <w:spacing w:val="40"/>
        </w:rPr>
        <w:t> </w:t>
      </w:r>
      <w:r>
        <w:rPr/>
        <w:t>in support of the applicant’s case were</w:t>
      </w:r>
      <w:r>
        <w:rPr>
          <w:spacing w:val="40"/>
        </w:rPr>
        <w:t> </w:t>
      </w:r>
      <w:r>
        <w:rPr>
          <w:b/>
        </w:rPr>
        <w:t>S v MacNab</w:t>
      </w:r>
      <w:r>
        <w:rPr>
          <w:b/>
          <w:spacing w:val="-3"/>
        </w:rPr>
        <w:t> </w:t>
      </w:r>
      <w:r>
        <w:rPr>
          <w:b/>
        </w:rPr>
        <w:t>1986(2)</w:t>
      </w:r>
      <w:r>
        <w:rPr>
          <w:b/>
          <w:spacing w:val="-2"/>
        </w:rPr>
        <w:t> </w:t>
      </w:r>
      <w:r>
        <w:rPr>
          <w:b/>
        </w:rPr>
        <w:t>ZLR</w:t>
      </w:r>
      <w:r>
        <w:rPr>
          <w:b/>
          <w:spacing w:val="-3"/>
        </w:rPr>
        <w:t> </w:t>
      </w:r>
      <w:r>
        <w:rPr>
          <w:b/>
        </w:rPr>
        <w:t>280;Brooklands</w:t>
      </w:r>
      <w:r>
        <w:rPr>
          <w:b/>
          <w:spacing w:val="-3"/>
        </w:rPr>
        <w:t> </w:t>
      </w:r>
      <w:r>
        <w:rPr>
          <w:b/>
        </w:rPr>
        <w:t>(Pvt)</w:t>
      </w:r>
      <w:r>
        <w:rPr>
          <w:b/>
          <w:spacing w:val="-5"/>
        </w:rPr>
        <w:t> </w:t>
      </w:r>
      <w:r>
        <w:rPr>
          <w:b/>
        </w:rPr>
        <w:t>Ltd</w:t>
      </w:r>
      <w:r>
        <w:rPr>
          <w:b/>
          <w:spacing w:val="-3"/>
        </w:rPr>
        <w:t> </w:t>
      </w:r>
      <w:r>
        <w:rPr>
          <w:b/>
        </w:rPr>
        <w:t>v</w:t>
      </w:r>
      <w:r>
        <w:rPr>
          <w:b/>
          <w:spacing w:val="-1"/>
        </w:rPr>
        <w:t> </w:t>
      </w:r>
      <w:r>
        <w:rPr>
          <w:b/>
        </w:rPr>
        <w:t>Save</w:t>
      </w:r>
      <w:r>
        <w:rPr>
          <w:b/>
          <w:spacing w:val="-4"/>
        </w:rPr>
        <w:t> </w:t>
      </w:r>
      <w:r>
        <w:rPr>
          <w:b/>
        </w:rPr>
        <w:t>Valley</w:t>
      </w:r>
      <w:r>
        <w:rPr>
          <w:b/>
          <w:spacing w:val="-3"/>
        </w:rPr>
        <w:t> </w:t>
      </w:r>
      <w:r>
        <w:rPr>
          <w:b/>
        </w:rPr>
        <w:t>Conservancy</w:t>
      </w:r>
      <w:r>
        <w:rPr>
          <w:b/>
          <w:spacing w:val="-3"/>
        </w:rPr>
        <w:t> </w:t>
      </w:r>
      <w:r>
        <w:rPr>
          <w:b/>
        </w:rPr>
        <w:t>HH</w:t>
      </w:r>
      <w:r>
        <w:rPr>
          <w:b/>
          <w:spacing w:val="-3"/>
        </w:rPr>
        <w:t> </w:t>
      </w:r>
      <w:r>
        <w:rPr>
          <w:b/>
        </w:rPr>
        <w:t>283/13.</w:t>
      </w:r>
    </w:p>
    <w:p>
      <w:pPr>
        <w:pStyle w:val="BodyText"/>
        <w:spacing w:line="480" w:lineRule="auto" w:before="161"/>
        <w:ind w:left="23" w:right="718"/>
      </w:pPr>
      <w:r>
        <w:rPr/>
        <w:t>In response, Ms Banga who appeared on behalf of the respondent stated that one of the reasons which resulted in the respondent failing to file the notice in time was violence which was</w:t>
      </w:r>
      <w:r>
        <w:rPr>
          <w:spacing w:val="-3"/>
        </w:rPr>
        <w:t> </w:t>
      </w:r>
      <w:r>
        <w:rPr/>
        <w:t>expected</w:t>
      </w:r>
      <w:r>
        <w:rPr>
          <w:spacing w:val="-3"/>
        </w:rPr>
        <w:t> </w:t>
      </w:r>
      <w:r>
        <w:rPr/>
        <w:t>to</w:t>
      </w:r>
      <w:r>
        <w:rPr>
          <w:spacing w:val="-3"/>
        </w:rPr>
        <w:t> </w:t>
      </w:r>
      <w:r>
        <w:rPr/>
        <w:t>happen</w:t>
      </w:r>
      <w:r>
        <w:rPr>
          <w:spacing w:val="-1"/>
        </w:rPr>
        <w:t> </w:t>
      </w:r>
      <w:r>
        <w:rPr/>
        <w:t>on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31</w:t>
      </w:r>
      <w:r>
        <w:rPr>
          <w:vertAlign w:val="superscript"/>
        </w:rPr>
        <w:t>st</w:t>
      </w:r>
      <w:r>
        <w:rPr>
          <w:spacing w:val="-3"/>
          <w:vertAlign w:val="baseline"/>
        </w:rPr>
        <w:t> </w:t>
      </w:r>
      <w:r>
        <w:rPr>
          <w:vertAlign w:val="baseline"/>
        </w:rPr>
        <w:t>of</w:t>
      </w:r>
      <w:r>
        <w:rPr>
          <w:spacing w:val="-3"/>
          <w:vertAlign w:val="baseline"/>
        </w:rPr>
        <w:t> </w:t>
      </w:r>
      <w:r>
        <w:rPr>
          <w:vertAlign w:val="baseline"/>
        </w:rPr>
        <w:t>March</w:t>
      </w:r>
      <w:r>
        <w:rPr>
          <w:spacing w:val="-3"/>
          <w:vertAlign w:val="baseline"/>
        </w:rPr>
        <w:t> </w:t>
      </w:r>
      <w:r>
        <w:rPr>
          <w:vertAlign w:val="baseline"/>
        </w:rPr>
        <w:t>and</w:t>
      </w:r>
      <w:r>
        <w:rPr>
          <w:spacing w:val="-1"/>
          <w:vertAlign w:val="baseline"/>
        </w:rPr>
        <w:t> </w:t>
      </w:r>
      <w:r>
        <w:rPr>
          <w:vertAlign w:val="baseline"/>
        </w:rPr>
        <w:t>1</w:t>
      </w:r>
      <w:r>
        <w:rPr>
          <w:vertAlign w:val="superscript"/>
        </w:rPr>
        <w:t>st</w:t>
      </w:r>
      <w:r>
        <w:rPr>
          <w:spacing w:val="-3"/>
          <w:vertAlign w:val="baseline"/>
        </w:rPr>
        <w:t> </w:t>
      </w:r>
      <w:r>
        <w:rPr>
          <w:vertAlign w:val="baseline"/>
        </w:rPr>
        <w:t>April</w:t>
      </w:r>
      <w:r>
        <w:rPr>
          <w:spacing w:val="-3"/>
          <w:vertAlign w:val="baseline"/>
        </w:rPr>
        <w:t> </w:t>
      </w:r>
      <w:r>
        <w:rPr>
          <w:vertAlign w:val="baseline"/>
        </w:rPr>
        <w:t>2025.</w:t>
      </w:r>
      <w:r>
        <w:rPr>
          <w:spacing w:val="-1"/>
          <w:vertAlign w:val="baseline"/>
        </w:rPr>
        <w:t> </w:t>
      </w:r>
      <w:r>
        <w:rPr>
          <w:vertAlign w:val="baseline"/>
        </w:rPr>
        <w:t>In</w:t>
      </w:r>
      <w:r>
        <w:rPr>
          <w:spacing w:val="-3"/>
          <w:vertAlign w:val="baseline"/>
        </w:rPr>
        <w:t> </w:t>
      </w:r>
      <w:r>
        <w:rPr>
          <w:vertAlign w:val="baseline"/>
        </w:rPr>
        <w:t>view</w:t>
      </w:r>
      <w:r>
        <w:rPr>
          <w:spacing w:val="-4"/>
          <w:vertAlign w:val="baseline"/>
        </w:rPr>
        <w:t> </w:t>
      </w:r>
      <w:r>
        <w:rPr>
          <w:vertAlign w:val="baseline"/>
        </w:rPr>
        <w:t>of</w:t>
      </w:r>
      <w:r>
        <w:rPr>
          <w:spacing w:val="-2"/>
          <w:vertAlign w:val="baseline"/>
        </w:rPr>
        <w:t> </w:t>
      </w:r>
      <w:r>
        <w:rPr>
          <w:vertAlign w:val="baseline"/>
        </w:rPr>
        <w:t>that</w:t>
      </w:r>
      <w:r>
        <w:rPr>
          <w:spacing w:val="-3"/>
          <w:vertAlign w:val="baseline"/>
        </w:rPr>
        <w:t> </w:t>
      </w:r>
      <w:r>
        <w:rPr>
          <w:vertAlign w:val="baseline"/>
        </w:rPr>
        <w:t>situation</w:t>
      </w:r>
      <w:r>
        <w:rPr>
          <w:spacing w:val="-3"/>
          <w:vertAlign w:val="baseline"/>
        </w:rPr>
        <w:t> </w:t>
      </w:r>
      <w:r>
        <w:rPr>
          <w:vertAlign w:val="baseline"/>
        </w:rPr>
        <w:t>their offices were closed. Ms Banga asked the Court to exercise its discretion to condone the late filing under the circumstances.</w:t>
      </w:r>
    </w:p>
    <w:p>
      <w:pPr>
        <w:pStyle w:val="BodyText"/>
        <w:spacing w:line="480" w:lineRule="auto" w:before="159"/>
        <w:ind w:left="23" w:right="773"/>
      </w:pPr>
      <w:r>
        <w:rPr/>
        <w:t>In response</w:t>
      </w:r>
      <w:r>
        <w:rPr>
          <w:spacing w:val="-2"/>
        </w:rPr>
        <w:t> </w:t>
      </w:r>
      <w:r>
        <w:rPr/>
        <w:t>Mr</w:t>
      </w:r>
      <w:r>
        <w:rPr>
          <w:spacing w:val="-3"/>
        </w:rPr>
        <w:t> </w:t>
      </w:r>
      <w:r>
        <w:rPr/>
        <w:t>Makonya</w:t>
      </w:r>
      <w:r>
        <w:rPr>
          <w:spacing w:val="40"/>
        </w:rPr>
        <w:t> </w:t>
      </w:r>
      <w:r>
        <w:rPr/>
        <w:t>submitted</w:t>
      </w:r>
      <w:r>
        <w:rPr>
          <w:spacing w:val="-2"/>
        </w:rPr>
        <w:t> </w:t>
      </w:r>
      <w:r>
        <w:rPr/>
        <w:t>that</w:t>
      </w:r>
      <w:r>
        <w:rPr>
          <w:spacing w:val="-1"/>
        </w:rPr>
        <w:t> </w:t>
      </w:r>
      <w:r>
        <w:rPr/>
        <w:t>the</w:t>
      </w:r>
      <w:r>
        <w:rPr>
          <w:spacing w:val="-2"/>
        </w:rPr>
        <w:t> </w:t>
      </w:r>
      <w:r>
        <w:rPr/>
        <w:t>Rules</w:t>
      </w:r>
      <w:r>
        <w:rPr>
          <w:spacing w:val="-5"/>
        </w:rPr>
        <w:t> </w:t>
      </w:r>
      <w:r>
        <w:rPr/>
        <w:t>do</w:t>
      </w:r>
      <w:r>
        <w:rPr>
          <w:spacing w:val="-2"/>
        </w:rPr>
        <w:t> </w:t>
      </w:r>
      <w:r>
        <w:rPr/>
        <w:t>not</w:t>
      </w:r>
      <w:r>
        <w:rPr>
          <w:spacing w:val="-1"/>
        </w:rPr>
        <w:t> </w:t>
      </w:r>
      <w:r>
        <w:rPr/>
        <w:t>make</w:t>
      </w:r>
      <w:r>
        <w:rPr>
          <w:spacing w:val="-4"/>
        </w:rPr>
        <w:t> </w:t>
      </w:r>
      <w:r>
        <w:rPr/>
        <w:t>the</w:t>
      </w:r>
      <w:r>
        <w:rPr>
          <w:spacing w:val="-2"/>
        </w:rPr>
        <w:t> </w:t>
      </w:r>
      <w:r>
        <w:rPr/>
        <w:t>last</w:t>
      </w:r>
      <w:r>
        <w:rPr>
          <w:spacing w:val="-2"/>
        </w:rPr>
        <w:t> </w:t>
      </w:r>
      <w:r>
        <w:rPr/>
        <w:t>date</w:t>
      </w:r>
      <w:r>
        <w:rPr>
          <w:spacing w:val="-1"/>
        </w:rPr>
        <w:t> </w:t>
      </w:r>
      <w:r>
        <w:rPr/>
        <w:t>of</w:t>
      </w:r>
      <w:r>
        <w:rPr>
          <w:spacing w:val="-2"/>
        </w:rPr>
        <w:t> </w:t>
      </w:r>
      <w:r>
        <w:rPr/>
        <w:t>filing</w:t>
      </w:r>
      <w:r>
        <w:rPr>
          <w:spacing w:val="-4"/>
        </w:rPr>
        <w:t> </w:t>
      </w:r>
      <w:r>
        <w:rPr/>
        <w:t>the</w:t>
      </w:r>
      <w:r>
        <w:rPr>
          <w:spacing w:val="-2"/>
        </w:rPr>
        <w:t> </w:t>
      </w:r>
      <w:r>
        <w:rPr/>
        <w:t>only date on which to file process. He pointed out that before that date the respondent was well aware that they had a deadline to meet. In the circumstances the respondent ought to have taken action before the 31</w:t>
      </w:r>
      <w:r>
        <w:rPr>
          <w:vertAlign w:val="superscript"/>
        </w:rPr>
        <w:t>st</w:t>
      </w:r>
      <w:r>
        <w:rPr>
          <w:spacing w:val="80"/>
          <w:vertAlign w:val="baseline"/>
        </w:rPr>
        <w:t> </w:t>
      </w:r>
      <w:r>
        <w:rPr>
          <w:vertAlign w:val="baseline"/>
        </w:rPr>
        <w:t>of March 2025. It was submitted that the threats of violence which were associated with the 31</w:t>
      </w:r>
      <w:r>
        <w:rPr>
          <w:vertAlign w:val="superscript"/>
        </w:rPr>
        <w:t>st</w:t>
      </w:r>
      <w:r>
        <w:rPr>
          <w:vertAlign w:val="baseline"/>
        </w:rPr>
        <w:t> of March 2025 could not be used as an excuse for non- compliance with the Rules. The</w:t>
      </w:r>
      <w:r>
        <w:rPr>
          <w:spacing w:val="-1"/>
          <w:vertAlign w:val="baseline"/>
        </w:rPr>
        <w:t> </w:t>
      </w:r>
      <w:r>
        <w:rPr>
          <w:vertAlign w:val="baseline"/>
        </w:rPr>
        <w:t>respondent had therefore</w:t>
      </w:r>
      <w:r>
        <w:rPr>
          <w:spacing w:val="-1"/>
          <w:vertAlign w:val="baseline"/>
        </w:rPr>
        <w:t> </w:t>
      </w:r>
      <w:r>
        <w:rPr>
          <w:vertAlign w:val="baseline"/>
        </w:rPr>
        <w:t>not shown good cause for failing</w:t>
      </w:r>
      <w:r>
        <w:rPr>
          <w:spacing w:val="-2"/>
          <w:vertAlign w:val="baseline"/>
        </w:rPr>
        <w:t> </w:t>
      </w:r>
      <w:r>
        <w:rPr>
          <w:vertAlign w:val="baseline"/>
        </w:rPr>
        <w:t>to comply with the Rules. Mr Makonya urged the Court to uphold the preliminary point and grant the application for review.</w:t>
      </w:r>
    </w:p>
    <w:p>
      <w:pPr>
        <w:pStyle w:val="BodyText"/>
        <w:spacing w:before="162"/>
        <w:ind w:left="23"/>
      </w:pPr>
      <w:r>
        <w:rPr/>
        <w:t>The</w:t>
      </w:r>
      <w:r>
        <w:rPr>
          <w:spacing w:val="-3"/>
        </w:rPr>
        <w:t> </w:t>
      </w:r>
      <w:r>
        <w:rPr/>
        <w:t>Rules</w:t>
      </w:r>
      <w:r>
        <w:rPr>
          <w:spacing w:val="-1"/>
        </w:rPr>
        <w:t> </w:t>
      </w:r>
      <w:r>
        <w:rPr/>
        <w:t>provide</w:t>
      </w:r>
      <w:r>
        <w:rPr>
          <w:spacing w:val="-1"/>
        </w:rPr>
        <w:t> </w:t>
      </w:r>
      <w:r>
        <w:rPr/>
        <w:t>as </w:t>
      </w:r>
      <w:r>
        <w:rPr>
          <w:spacing w:val="-2"/>
        </w:rPr>
        <w:t>follows:</w:t>
      </w:r>
    </w:p>
    <w:p>
      <w:pPr>
        <w:pStyle w:val="BodyText"/>
        <w:spacing w:before="159"/>
      </w:pPr>
    </w:p>
    <w:p>
      <w:pPr>
        <w:spacing w:before="0"/>
        <w:ind w:left="1463" w:right="0" w:firstLine="0"/>
        <w:jc w:val="left"/>
        <w:rPr>
          <w:b/>
          <w:sz w:val="24"/>
        </w:rPr>
      </w:pPr>
      <w:r>
        <w:rPr>
          <w:rFonts w:ascii="Calibri" w:hAnsi="Calibri"/>
          <w:sz w:val="22"/>
        </w:rPr>
        <w:t>‘</w:t>
      </w:r>
      <w:r>
        <w:rPr>
          <w:rFonts w:ascii="Calibri" w:hAnsi="Calibri"/>
          <w:spacing w:val="-1"/>
          <w:sz w:val="22"/>
        </w:rPr>
        <w:t> </w:t>
      </w:r>
      <w:r>
        <w:rPr>
          <w:sz w:val="24"/>
        </w:rPr>
        <w:t>29.</w:t>
      </w:r>
      <w:r>
        <w:rPr>
          <w:spacing w:val="-1"/>
          <w:sz w:val="24"/>
        </w:rPr>
        <w:t> </w:t>
      </w:r>
      <w:r>
        <w:rPr>
          <w:b/>
          <w:sz w:val="24"/>
        </w:rPr>
        <w:t>Where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party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fails to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file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notice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of</w:t>
      </w:r>
      <w:r>
        <w:rPr>
          <w:b/>
          <w:spacing w:val="1"/>
          <w:sz w:val="24"/>
        </w:rPr>
        <w:t> </w:t>
      </w:r>
      <w:r>
        <w:rPr>
          <w:b/>
          <w:spacing w:val="-2"/>
          <w:sz w:val="24"/>
        </w:rPr>
        <w:t>response</w:t>
      </w:r>
    </w:p>
    <w:p>
      <w:pPr>
        <w:pStyle w:val="BodyText"/>
        <w:spacing w:before="161"/>
        <w:rPr>
          <w:b/>
        </w:rPr>
      </w:pPr>
    </w:p>
    <w:p>
      <w:pPr>
        <w:pStyle w:val="BodyText"/>
        <w:spacing w:line="480" w:lineRule="auto"/>
        <w:ind w:left="743" w:right="773"/>
      </w:pPr>
      <w:r>
        <w:rPr/>
        <w:t>Where</w:t>
      </w:r>
      <w:r>
        <w:rPr>
          <w:spacing w:val="-5"/>
        </w:rPr>
        <w:t> </w:t>
      </w:r>
      <w:r>
        <w:rPr/>
        <w:t>the</w:t>
      </w:r>
      <w:r>
        <w:rPr>
          <w:spacing w:val="-3"/>
        </w:rPr>
        <w:t> </w:t>
      </w:r>
      <w:r>
        <w:rPr/>
        <w:t>respondent</w:t>
      </w:r>
      <w:r>
        <w:rPr>
          <w:spacing w:val="-3"/>
        </w:rPr>
        <w:t> </w:t>
      </w:r>
      <w:r>
        <w:rPr/>
        <w:t>fails</w:t>
      </w:r>
      <w:r>
        <w:rPr>
          <w:spacing w:val="-3"/>
        </w:rPr>
        <w:t> </w:t>
      </w:r>
      <w:r>
        <w:rPr/>
        <w:t>to</w:t>
      </w:r>
      <w:r>
        <w:rPr>
          <w:spacing w:val="-3"/>
        </w:rPr>
        <w:t> </w:t>
      </w:r>
      <w:r>
        <w:rPr/>
        <w:t>file</w:t>
      </w:r>
      <w:r>
        <w:rPr>
          <w:spacing w:val="-4"/>
        </w:rPr>
        <w:t> </w:t>
      </w:r>
      <w:r>
        <w:rPr/>
        <w:t>a</w:t>
      </w:r>
      <w:r>
        <w:rPr>
          <w:spacing w:val="-4"/>
        </w:rPr>
        <w:t> </w:t>
      </w:r>
      <w:r>
        <w:rPr/>
        <w:t>notice</w:t>
      </w:r>
      <w:r>
        <w:rPr>
          <w:spacing w:val="-4"/>
        </w:rPr>
        <w:t> </w:t>
      </w:r>
      <w:r>
        <w:rPr/>
        <w:t>of</w:t>
      </w:r>
      <w:r>
        <w:rPr>
          <w:spacing w:val="-3"/>
        </w:rPr>
        <w:t> </w:t>
      </w:r>
      <w:r>
        <w:rPr/>
        <w:t>response</w:t>
      </w:r>
      <w:r>
        <w:rPr>
          <w:spacing w:val="-3"/>
        </w:rPr>
        <w:t> </w:t>
      </w:r>
      <w:r>
        <w:rPr/>
        <w:t>within</w:t>
      </w:r>
      <w:r>
        <w:rPr>
          <w:spacing w:val="-3"/>
        </w:rPr>
        <w:t> </w:t>
      </w:r>
      <w:r>
        <w:rPr/>
        <w:t>the</w:t>
      </w:r>
      <w:r>
        <w:rPr>
          <w:spacing w:val="-4"/>
        </w:rPr>
        <w:t> </w:t>
      </w:r>
      <w:r>
        <w:rPr/>
        <w:t>period</w:t>
      </w:r>
      <w:r>
        <w:rPr>
          <w:spacing w:val="-3"/>
        </w:rPr>
        <w:t> </w:t>
      </w:r>
      <w:r>
        <w:rPr/>
        <w:t>specified</w:t>
      </w:r>
      <w:r>
        <w:rPr>
          <w:spacing w:val="-3"/>
        </w:rPr>
        <w:t> </w:t>
      </w:r>
      <w:r>
        <w:rPr/>
        <w:t>in rules 14, 19 or 20 and that</w:t>
      </w:r>
    </w:p>
    <w:p>
      <w:pPr>
        <w:pStyle w:val="BodyText"/>
        <w:spacing w:after="0" w:line="480" w:lineRule="auto"/>
        <w:sectPr>
          <w:pgSz w:w="11910" w:h="16840"/>
          <w:pgMar w:header="751" w:footer="0" w:top="1340" w:bottom="280" w:left="1417" w:right="708"/>
        </w:sectPr>
      </w:pPr>
    </w:p>
    <w:p>
      <w:pPr>
        <w:pStyle w:val="BodyText"/>
        <w:spacing w:line="480" w:lineRule="auto" w:before="80"/>
        <w:ind w:left="743" w:right="718"/>
      </w:pPr>
      <w:r>
        <w:rPr/>
        <w:t>party</w:t>
      </w:r>
      <w:r>
        <w:rPr>
          <w:spacing w:val="-5"/>
        </w:rPr>
        <w:t> </w:t>
      </w:r>
      <w:r>
        <w:rPr/>
        <w:t>fails</w:t>
      </w:r>
      <w:r>
        <w:rPr>
          <w:spacing w:val="-2"/>
        </w:rPr>
        <w:t> </w:t>
      </w:r>
      <w:r>
        <w:rPr/>
        <w:t>to</w:t>
      </w:r>
      <w:r>
        <w:rPr>
          <w:spacing w:val="-2"/>
        </w:rPr>
        <w:t> </w:t>
      </w:r>
      <w:r>
        <w:rPr/>
        <w:t>comply,</w:t>
      </w:r>
      <w:r>
        <w:rPr>
          <w:spacing w:val="-2"/>
        </w:rPr>
        <w:t> </w:t>
      </w:r>
      <w:r>
        <w:rPr/>
        <w:t>the</w:t>
      </w:r>
      <w:r>
        <w:rPr>
          <w:spacing w:val="-1"/>
        </w:rPr>
        <w:t> </w:t>
      </w:r>
      <w:r>
        <w:rPr/>
        <w:t>matter</w:t>
      </w:r>
      <w:r>
        <w:rPr>
          <w:spacing w:val="-4"/>
        </w:rPr>
        <w:t> </w:t>
      </w:r>
      <w:r>
        <w:rPr/>
        <w:t>shall</w:t>
      </w:r>
      <w:r>
        <w:rPr>
          <w:spacing w:val="-2"/>
        </w:rPr>
        <w:t> </w:t>
      </w:r>
      <w:r>
        <w:rPr/>
        <w:t>nevertheless be</w:t>
      </w:r>
      <w:r>
        <w:rPr>
          <w:spacing w:val="-3"/>
        </w:rPr>
        <w:t> </w:t>
      </w:r>
      <w:r>
        <w:rPr/>
        <w:t>set</w:t>
      </w:r>
      <w:r>
        <w:rPr>
          <w:spacing w:val="-2"/>
        </w:rPr>
        <w:t> </w:t>
      </w:r>
      <w:r>
        <w:rPr/>
        <w:t>down</w:t>
      </w:r>
      <w:r>
        <w:rPr>
          <w:spacing w:val="-2"/>
        </w:rPr>
        <w:t> </w:t>
      </w:r>
      <w:r>
        <w:rPr/>
        <w:t>in</w:t>
      </w:r>
      <w:r>
        <w:rPr>
          <w:spacing w:val="-2"/>
        </w:rPr>
        <w:t> </w:t>
      </w:r>
      <w:r>
        <w:rPr/>
        <w:t>terms</w:t>
      </w:r>
      <w:r>
        <w:rPr>
          <w:spacing w:val="-2"/>
        </w:rPr>
        <w:t> </w:t>
      </w:r>
      <w:r>
        <w:rPr/>
        <w:t>of</w:t>
      </w:r>
      <w:r>
        <w:rPr>
          <w:spacing w:val="-3"/>
        </w:rPr>
        <w:t> </w:t>
      </w:r>
      <w:r>
        <w:rPr/>
        <w:t>rule</w:t>
      </w:r>
      <w:r>
        <w:rPr>
          <w:spacing w:val="-2"/>
        </w:rPr>
        <w:t> </w:t>
      </w:r>
      <w:r>
        <w:rPr/>
        <w:t>28</w:t>
      </w:r>
      <w:r>
        <w:rPr>
          <w:spacing w:val="-2"/>
        </w:rPr>
        <w:t> </w:t>
      </w:r>
      <w:r>
        <w:rPr/>
        <w:t>and if, on the day of hearing, the defaulting party—</w:t>
      </w:r>
    </w:p>
    <w:p>
      <w:pPr>
        <w:pStyle w:val="ListParagraph"/>
        <w:numPr>
          <w:ilvl w:val="0"/>
          <w:numId w:val="1"/>
        </w:numPr>
        <w:tabs>
          <w:tab w:pos="1067" w:val="left" w:leader="none"/>
        </w:tabs>
        <w:spacing w:line="480" w:lineRule="auto" w:before="161" w:after="0"/>
        <w:ind w:left="743" w:right="881" w:firstLine="0"/>
        <w:jc w:val="left"/>
        <w:rPr>
          <w:sz w:val="24"/>
        </w:rPr>
      </w:pPr>
      <w:r>
        <w:rPr>
          <w:sz w:val="24"/>
        </w:rPr>
        <w:t>appears</w:t>
      </w:r>
      <w:r>
        <w:rPr>
          <w:spacing w:val="-1"/>
          <w:sz w:val="24"/>
        </w:rPr>
        <w:t> </w:t>
      </w:r>
      <w:r>
        <w:rPr>
          <w:sz w:val="24"/>
        </w:rPr>
        <w:t>and</w:t>
      </w:r>
      <w:r>
        <w:rPr>
          <w:spacing w:val="-2"/>
          <w:sz w:val="24"/>
        </w:rPr>
        <w:t> </w:t>
      </w:r>
      <w:r>
        <w:rPr>
          <w:sz w:val="24"/>
        </w:rPr>
        <w:t>shows good</w:t>
      </w:r>
      <w:r>
        <w:rPr>
          <w:spacing w:val="-2"/>
          <w:sz w:val="24"/>
        </w:rPr>
        <w:t> </w:t>
      </w:r>
      <w:r>
        <w:rPr>
          <w:sz w:val="24"/>
        </w:rPr>
        <w:t>cause</w:t>
      </w:r>
      <w:r>
        <w:rPr>
          <w:spacing w:val="-3"/>
          <w:sz w:val="24"/>
        </w:rPr>
        <w:t> </w:t>
      </w:r>
      <w:r>
        <w:rPr>
          <w:sz w:val="24"/>
        </w:rPr>
        <w:t>why</w:t>
      </w:r>
      <w:r>
        <w:rPr>
          <w:spacing w:val="-7"/>
          <w:sz w:val="24"/>
        </w:rPr>
        <w:t> </w:t>
      </w:r>
      <w:r>
        <w:rPr>
          <w:sz w:val="24"/>
        </w:rPr>
        <w:t>he</w:t>
      </w:r>
      <w:r>
        <w:rPr>
          <w:spacing w:val="-3"/>
          <w:sz w:val="24"/>
        </w:rPr>
        <w:t> </w:t>
      </w:r>
      <w:r>
        <w:rPr>
          <w:sz w:val="24"/>
        </w:rPr>
        <w:t>or</w:t>
      </w:r>
      <w:r>
        <w:rPr>
          <w:spacing w:val="-2"/>
          <w:sz w:val="24"/>
        </w:rPr>
        <w:t> </w:t>
      </w:r>
      <w:r>
        <w:rPr>
          <w:sz w:val="24"/>
        </w:rPr>
        <w:t>she</w:t>
      </w:r>
      <w:r>
        <w:rPr>
          <w:spacing w:val="-4"/>
          <w:sz w:val="24"/>
        </w:rPr>
        <w:t> </w:t>
      </w:r>
      <w:r>
        <w:rPr>
          <w:sz w:val="24"/>
        </w:rPr>
        <w:t>did</w:t>
      </w:r>
      <w:r>
        <w:rPr>
          <w:spacing w:val="-2"/>
          <w:sz w:val="24"/>
        </w:rPr>
        <w:t> </w:t>
      </w:r>
      <w:r>
        <w:rPr>
          <w:sz w:val="24"/>
        </w:rPr>
        <w:t>not</w:t>
      </w:r>
      <w:r>
        <w:rPr>
          <w:spacing w:val="-2"/>
          <w:sz w:val="24"/>
        </w:rPr>
        <w:t> </w:t>
      </w:r>
      <w:r>
        <w:rPr>
          <w:sz w:val="24"/>
        </w:rPr>
        <w:t>file</w:t>
      </w:r>
      <w:r>
        <w:rPr>
          <w:spacing w:val="-3"/>
          <w:sz w:val="24"/>
        </w:rPr>
        <w:t> </w:t>
      </w:r>
      <w:r>
        <w:rPr>
          <w:sz w:val="24"/>
        </w:rPr>
        <w:t>a</w:t>
      </w:r>
      <w:r>
        <w:rPr>
          <w:spacing w:val="-3"/>
          <w:sz w:val="24"/>
        </w:rPr>
        <w:t> </w:t>
      </w:r>
      <w:r>
        <w:rPr>
          <w:sz w:val="24"/>
        </w:rPr>
        <w:t>notice</w:t>
      </w:r>
      <w:r>
        <w:rPr>
          <w:spacing w:val="-3"/>
          <w:sz w:val="24"/>
        </w:rPr>
        <w:t> </w:t>
      </w:r>
      <w:r>
        <w:rPr>
          <w:sz w:val="24"/>
        </w:rPr>
        <w:t>of</w:t>
      </w:r>
      <w:r>
        <w:rPr>
          <w:spacing w:val="-2"/>
          <w:sz w:val="24"/>
        </w:rPr>
        <w:t> </w:t>
      </w:r>
      <w:r>
        <w:rPr>
          <w:sz w:val="24"/>
        </w:rPr>
        <w:t>response,</w:t>
      </w:r>
      <w:r>
        <w:rPr>
          <w:spacing w:val="-2"/>
          <w:sz w:val="24"/>
        </w:rPr>
        <w:t> </w:t>
      </w:r>
      <w:r>
        <w:rPr>
          <w:sz w:val="24"/>
        </w:rPr>
        <w:t>the Court</w:t>
      </w:r>
      <w:r>
        <w:rPr>
          <w:spacing w:val="-2"/>
          <w:sz w:val="24"/>
        </w:rPr>
        <w:t> </w:t>
      </w:r>
      <w:r>
        <w:rPr>
          <w:sz w:val="24"/>
        </w:rPr>
        <w:t>may</w:t>
      </w:r>
      <w:r>
        <w:rPr>
          <w:spacing w:val="-7"/>
          <w:sz w:val="24"/>
        </w:rPr>
        <w:t> </w:t>
      </w:r>
      <w:r>
        <w:rPr>
          <w:sz w:val="24"/>
        </w:rPr>
        <w:t>according</w:t>
      </w:r>
      <w:r>
        <w:rPr>
          <w:spacing w:val="-5"/>
          <w:sz w:val="24"/>
        </w:rPr>
        <w:t> </w:t>
      </w:r>
      <w:r>
        <w:rPr>
          <w:sz w:val="24"/>
        </w:rPr>
        <w:t>to the</w:t>
      </w:r>
      <w:r>
        <w:rPr>
          <w:spacing w:val="-3"/>
          <w:sz w:val="24"/>
        </w:rPr>
        <w:t> </w:t>
      </w:r>
      <w:r>
        <w:rPr>
          <w:sz w:val="24"/>
        </w:rPr>
        <w:t>nature</w:t>
      </w:r>
      <w:r>
        <w:rPr>
          <w:spacing w:val="-4"/>
          <w:sz w:val="24"/>
        </w:rPr>
        <w:t> </w:t>
      </w:r>
      <w:r>
        <w:rPr>
          <w:sz w:val="24"/>
        </w:rPr>
        <w:t>of</w:t>
      </w:r>
      <w:r>
        <w:rPr>
          <w:spacing w:val="-2"/>
          <w:sz w:val="24"/>
        </w:rPr>
        <w:t> </w:t>
      </w:r>
      <w:r>
        <w:rPr>
          <w:sz w:val="24"/>
        </w:rPr>
        <w:t>the</w:t>
      </w:r>
      <w:r>
        <w:rPr>
          <w:spacing w:val="-4"/>
          <w:sz w:val="24"/>
        </w:rPr>
        <w:t> </w:t>
      </w:r>
      <w:r>
        <w:rPr>
          <w:sz w:val="24"/>
        </w:rPr>
        <w:t>case,</w:t>
      </w:r>
      <w:r>
        <w:rPr>
          <w:spacing w:val="-2"/>
          <w:sz w:val="24"/>
        </w:rPr>
        <w:t> </w:t>
      </w:r>
      <w:r>
        <w:rPr>
          <w:sz w:val="24"/>
        </w:rPr>
        <w:t>or</w:t>
      </w:r>
      <w:r>
        <w:rPr>
          <w:spacing w:val="-1"/>
          <w:sz w:val="24"/>
        </w:rPr>
        <w:t> </w:t>
      </w:r>
      <w:r>
        <w:rPr>
          <w:sz w:val="24"/>
        </w:rPr>
        <w:t>as</w:t>
      </w:r>
      <w:r>
        <w:rPr>
          <w:spacing w:val="-2"/>
          <w:sz w:val="24"/>
        </w:rPr>
        <w:t> </w:t>
      </w:r>
      <w:r>
        <w:rPr>
          <w:sz w:val="24"/>
        </w:rPr>
        <w:t>the</w:t>
      </w:r>
      <w:r>
        <w:rPr>
          <w:spacing w:val="-1"/>
          <w:sz w:val="24"/>
        </w:rPr>
        <w:t> </w:t>
      </w:r>
      <w:r>
        <w:rPr>
          <w:sz w:val="24"/>
        </w:rPr>
        <w:t>justice</w:t>
      </w:r>
      <w:r>
        <w:rPr>
          <w:spacing w:val="-4"/>
          <w:sz w:val="24"/>
        </w:rPr>
        <w:t> </w:t>
      </w:r>
      <w:r>
        <w:rPr>
          <w:sz w:val="24"/>
        </w:rPr>
        <w:t>of</w:t>
      </w:r>
      <w:r>
        <w:rPr>
          <w:spacing w:val="-2"/>
          <w:sz w:val="24"/>
        </w:rPr>
        <w:t> </w:t>
      </w:r>
      <w:r>
        <w:rPr>
          <w:sz w:val="24"/>
        </w:rPr>
        <w:t>the</w:t>
      </w:r>
      <w:r>
        <w:rPr>
          <w:spacing w:val="-4"/>
          <w:sz w:val="24"/>
        </w:rPr>
        <w:t> </w:t>
      </w:r>
      <w:r>
        <w:rPr>
          <w:sz w:val="24"/>
        </w:rPr>
        <w:t>case</w:t>
      </w:r>
      <w:r>
        <w:rPr>
          <w:spacing w:val="-1"/>
          <w:sz w:val="24"/>
        </w:rPr>
        <w:t> </w:t>
      </w:r>
      <w:r>
        <w:rPr>
          <w:sz w:val="24"/>
        </w:rPr>
        <w:t>requires—</w:t>
      </w:r>
    </w:p>
    <w:p>
      <w:pPr>
        <w:pStyle w:val="ListParagraph"/>
        <w:numPr>
          <w:ilvl w:val="1"/>
          <w:numId w:val="1"/>
        </w:numPr>
        <w:tabs>
          <w:tab w:pos="1028" w:val="left" w:leader="none"/>
        </w:tabs>
        <w:spacing w:line="240" w:lineRule="auto" w:before="158" w:after="0"/>
        <w:ind w:left="1028" w:right="0" w:hanging="285"/>
        <w:jc w:val="left"/>
        <w:rPr>
          <w:sz w:val="24"/>
        </w:rPr>
      </w:pPr>
      <w:r>
        <w:rPr>
          <w:sz w:val="24"/>
        </w:rPr>
        <w:t>postpone</w:t>
      </w:r>
      <w:r>
        <w:rPr>
          <w:spacing w:val="-2"/>
          <w:sz w:val="24"/>
        </w:rPr>
        <w:t> </w:t>
      </w:r>
      <w:r>
        <w:rPr>
          <w:sz w:val="24"/>
        </w:rPr>
        <w:t>the matter</w:t>
      </w:r>
      <w:r>
        <w:rPr>
          <w:spacing w:val="-1"/>
          <w:sz w:val="24"/>
        </w:rPr>
        <w:t> </w:t>
      </w:r>
      <w:r>
        <w:rPr>
          <w:sz w:val="24"/>
        </w:rPr>
        <w:t>to</w:t>
      </w:r>
      <w:r>
        <w:rPr>
          <w:spacing w:val="1"/>
          <w:sz w:val="24"/>
        </w:rPr>
        <w:t> </w:t>
      </w:r>
      <w:r>
        <w:rPr>
          <w:sz w:val="24"/>
        </w:rPr>
        <w:t>enable</w:t>
      </w:r>
      <w:r>
        <w:rPr>
          <w:spacing w:val="-1"/>
          <w:sz w:val="24"/>
        </w:rPr>
        <w:t> </w:t>
      </w:r>
      <w:r>
        <w:rPr>
          <w:sz w:val="24"/>
        </w:rPr>
        <w:t>the</w:t>
      </w:r>
      <w:r>
        <w:rPr>
          <w:spacing w:val="-1"/>
          <w:sz w:val="24"/>
        </w:rPr>
        <w:t> </w:t>
      </w:r>
      <w:r>
        <w:rPr>
          <w:sz w:val="24"/>
        </w:rPr>
        <w:t>defaulting</w:t>
      </w:r>
      <w:r>
        <w:rPr>
          <w:spacing w:val="-3"/>
          <w:sz w:val="24"/>
        </w:rPr>
        <w:t> </w:t>
      </w:r>
      <w:r>
        <w:rPr>
          <w:sz w:val="24"/>
        </w:rPr>
        <w:t>party</w:t>
      </w:r>
      <w:r>
        <w:rPr>
          <w:spacing w:val="-6"/>
          <w:sz w:val="24"/>
        </w:rPr>
        <w:t> </w:t>
      </w:r>
      <w:r>
        <w:rPr>
          <w:sz w:val="24"/>
        </w:rPr>
        <w:t>to comply; </w:t>
      </w:r>
      <w:r>
        <w:rPr>
          <w:spacing w:val="-5"/>
          <w:sz w:val="24"/>
        </w:rPr>
        <w:t>or</w:t>
      </w:r>
    </w:p>
    <w:p>
      <w:pPr>
        <w:pStyle w:val="BodyText"/>
        <w:spacing w:before="161"/>
      </w:pPr>
    </w:p>
    <w:p>
      <w:pPr>
        <w:pStyle w:val="ListParagraph"/>
        <w:numPr>
          <w:ilvl w:val="1"/>
          <w:numId w:val="1"/>
        </w:numPr>
        <w:tabs>
          <w:tab w:pos="1096" w:val="left" w:leader="none"/>
        </w:tabs>
        <w:spacing w:line="621" w:lineRule="auto" w:before="0" w:after="0"/>
        <w:ind w:left="743" w:right="5566" w:firstLine="0"/>
        <w:jc w:val="left"/>
        <w:rPr>
          <w:sz w:val="24"/>
        </w:rPr>
      </w:pPr>
      <w:r>
        <w:rPr>
          <w:sz w:val="24"/>
        </w:rPr>
        <w:t>proceed</w:t>
      </w:r>
      <w:r>
        <w:rPr>
          <w:spacing w:val="-10"/>
          <w:sz w:val="24"/>
        </w:rPr>
        <w:t> </w:t>
      </w:r>
      <w:r>
        <w:rPr>
          <w:sz w:val="24"/>
        </w:rPr>
        <w:t>to</w:t>
      </w:r>
      <w:r>
        <w:rPr>
          <w:spacing w:val="-10"/>
          <w:sz w:val="24"/>
        </w:rPr>
        <w:t> </w:t>
      </w:r>
      <w:r>
        <w:rPr>
          <w:sz w:val="24"/>
        </w:rPr>
        <w:t>determine</w:t>
      </w:r>
      <w:r>
        <w:rPr>
          <w:spacing w:val="-9"/>
          <w:sz w:val="24"/>
        </w:rPr>
        <w:t> </w:t>
      </w:r>
      <w:r>
        <w:rPr>
          <w:sz w:val="24"/>
        </w:rPr>
        <w:t>the</w:t>
      </w:r>
      <w:r>
        <w:rPr>
          <w:spacing w:val="-10"/>
          <w:sz w:val="24"/>
        </w:rPr>
        <w:t> </w:t>
      </w:r>
      <w:r>
        <w:rPr>
          <w:sz w:val="24"/>
        </w:rPr>
        <w:t>matter; </w:t>
      </w:r>
      <w:r>
        <w:rPr>
          <w:spacing w:val="-6"/>
          <w:sz w:val="24"/>
        </w:rPr>
        <w:t>or</w:t>
      </w:r>
    </w:p>
    <w:p>
      <w:pPr>
        <w:pStyle w:val="ListParagraph"/>
        <w:numPr>
          <w:ilvl w:val="0"/>
          <w:numId w:val="1"/>
        </w:numPr>
        <w:tabs>
          <w:tab w:pos="1080" w:val="left" w:leader="none"/>
        </w:tabs>
        <w:spacing w:line="480" w:lineRule="auto" w:before="0" w:after="0"/>
        <w:ind w:left="743" w:right="846" w:firstLine="0"/>
        <w:jc w:val="left"/>
        <w:rPr>
          <w:sz w:val="24"/>
        </w:rPr>
      </w:pPr>
      <w:r>
        <w:rPr>
          <w:sz w:val="24"/>
        </w:rPr>
        <w:t>does not appear or </w:t>
      </w:r>
      <w:r>
        <w:rPr>
          <w:b/>
          <w:sz w:val="24"/>
        </w:rPr>
        <w:t>fails to show good cause why he or she did not file a response,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shall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be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barred,</w:t>
      </w:r>
      <w:r>
        <w:rPr>
          <w:b/>
          <w:spacing w:val="-1"/>
          <w:sz w:val="24"/>
        </w:rPr>
        <w:t> </w:t>
      </w:r>
      <w:r>
        <w:rPr>
          <w:sz w:val="24"/>
        </w:rPr>
        <w:t>and</w:t>
      </w:r>
      <w:r>
        <w:rPr>
          <w:spacing w:val="-3"/>
          <w:sz w:val="24"/>
        </w:rPr>
        <w:t> </w:t>
      </w:r>
      <w:r>
        <w:rPr>
          <w:sz w:val="24"/>
        </w:rPr>
        <w:t>the</w:t>
      </w:r>
      <w:r>
        <w:rPr>
          <w:spacing w:val="-4"/>
          <w:sz w:val="24"/>
        </w:rPr>
        <w:t> </w:t>
      </w:r>
      <w:r>
        <w:rPr>
          <w:sz w:val="24"/>
        </w:rPr>
        <w:t>Court</w:t>
      </w:r>
      <w:r>
        <w:rPr>
          <w:spacing w:val="-3"/>
          <w:sz w:val="24"/>
        </w:rPr>
        <w:t> </w:t>
      </w:r>
      <w:r>
        <w:rPr>
          <w:sz w:val="24"/>
        </w:rPr>
        <w:t>may,</w:t>
      </w:r>
      <w:r>
        <w:rPr>
          <w:spacing w:val="-1"/>
          <w:sz w:val="24"/>
        </w:rPr>
        <w:t> </w:t>
      </w:r>
      <w:r>
        <w:rPr>
          <w:sz w:val="24"/>
        </w:rPr>
        <w:t>according</w:t>
      </w:r>
      <w:r>
        <w:rPr>
          <w:spacing w:val="-6"/>
          <w:sz w:val="24"/>
        </w:rPr>
        <w:t> </w:t>
      </w:r>
      <w:r>
        <w:rPr>
          <w:sz w:val="24"/>
        </w:rPr>
        <w:t>to</w:t>
      </w:r>
      <w:r>
        <w:rPr>
          <w:spacing w:val="-3"/>
          <w:sz w:val="24"/>
        </w:rPr>
        <w:t> </w:t>
      </w:r>
      <w:r>
        <w:rPr>
          <w:sz w:val="24"/>
        </w:rPr>
        <w:t>the</w:t>
      </w:r>
      <w:r>
        <w:rPr>
          <w:spacing w:val="-2"/>
          <w:sz w:val="24"/>
        </w:rPr>
        <w:t> </w:t>
      </w:r>
      <w:r>
        <w:rPr>
          <w:sz w:val="24"/>
        </w:rPr>
        <w:t>nature</w:t>
      </w:r>
      <w:r>
        <w:rPr>
          <w:spacing w:val="-5"/>
          <w:sz w:val="24"/>
        </w:rPr>
        <w:t> </w:t>
      </w:r>
      <w:r>
        <w:rPr>
          <w:sz w:val="24"/>
        </w:rPr>
        <w:t>of</w:t>
      </w:r>
      <w:r>
        <w:rPr>
          <w:spacing w:val="-3"/>
          <w:sz w:val="24"/>
        </w:rPr>
        <w:t> </w:t>
      </w:r>
      <w:r>
        <w:rPr>
          <w:sz w:val="24"/>
        </w:rPr>
        <w:t>the</w:t>
      </w:r>
      <w:r>
        <w:rPr>
          <w:spacing w:val="-5"/>
          <w:sz w:val="24"/>
        </w:rPr>
        <w:t> </w:t>
      </w:r>
      <w:r>
        <w:rPr>
          <w:sz w:val="24"/>
        </w:rPr>
        <w:t>case,</w:t>
      </w:r>
      <w:r>
        <w:rPr>
          <w:spacing w:val="-3"/>
          <w:sz w:val="24"/>
        </w:rPr>
        <w:t> </w:t>
      </w:r>
      <w:r>
        <w:rPr>
          <w:sz w:val="24"/>
        </w:rPr>
        <w:t>or as the jus-tice of the case requires—</w:t>
      </w:r>
    </w:p>
    <w:p>
      <w:pPr>
        <w:pStyle w:val="ListParagraph"/>
        <w:numPr>
          <w:ilvl w:val="1"/>
          <w:numId w:val="1"/>
        </w:numPr>
        <w:tabs>
          <w:tab w:pos="1028" w:val="left" w:leader="none"/>
        </w:tabs>
        <w:spacing w:line="240" w:lineRule="auto" w:before="155" w:after="0"/>
        <w:ind w:left="1028" w:right="0" w:hanging="285"/>
        <w:jc w:val="left"/>
        <w:rPr>
          <w:sz w:val="24"/>
        </w:rPr>
      </w:pPr>
      <w:r>
        <w:rPr>
          <w:sz w:val="24"/>
        </w:rPr>
        <w:t>enter</w:t>
      </w:r>
      <w:r>
        <w:rPr>
          <w:spacing w:val="-2"/>
          <w:sz w:val="24"/>
        </w:rPr>
        <w:t> </w:t>
      </w:r>
      <w:r>
        <w:rPr>
          <w:sz w:val="24"/>
        </w:rPr>
        <w:t>a</w:t>
      </w:r>
      <w:r>
        <w:rPr>
          <w:spacing w:val="-2"/>
          <w:sz w:val="24"/>
        </w:rPr>
        <w:t> </w:t>
      </w:r>
      <w:r>
        <w:rPr>
          <w:sz w:val="24"/>
        </w:rPr>
        <w:t>default</w:t>
      </w:r>
      <w:r>
        <w:rPr>
          <w:spacing w:val="-2"/>
          <w:sz w:val="24"/>
        </w:rPr>
        <w:t> </w:t>
      </w:r>
      <w:r>
        <w:rPr>
          <w:sz w:val="24"/>
        </w:rPr>
        <w:t>judgment</w:t>
      </w:r>
      <w:r>
        <w:rPr>
          <w:spacing w:val="-1"/>
          <w:sz w:val="24"/>
        </w:rPr>
        <w:t> </w:t>
      </w:r>
      <w:r>
        <w:rPr>
          <w:sz w:val="24"/>
        </w:rPr>
        <w:t>against</w:t>
      </w:r>
      <w:r>
        <w:rPr>
          <w:spacing w:val="-2"/>
          <w:sz w:val="24"/>
        </w:rPr>
        <w:t> </w:t>
      </w:r>
      <w:r>
        <w:rPr>
          <w:sz w:val="24"/>
        </w:rPr>
        <w:t>the</w:t>
      </w:r>
      <w:r>
        <w:rPr>
          <w:spacing w:val="-2"/>
          <w:sz w:val="24"/>
        </w:rPr>
        <w:t> </w:t>
      </w:r>
      <w:r>
        <w:rPr>
          <w:sz w:val="24"/>
        </w:rPr>
        <w:t>defaulting</w:t>
      </w:r>
      <w:r>
        <w:rPr>
          <w:spacing w:val="-2"/>
          <w:sz w:val="24"/>
        </w:rPr>
        <w:t> </w:t>
      </w:r>
      <w:r>
        <w:rPr>
          <w:sz w:val="24"/>
        </w:rPr>
        <w:t>party;</w:t>
      </w:r>
      <w:r>
        <w:rPr>
          <w:spacing w:val="-1"/>
          <w:sz w:val="24"/>
        </w:rPr>
        <w:t> </w:t>
      </w:r>
      <w:r>
        <w:rPr>
          <w:spacing w:val="-5"/>
          <w:sz w:val="24"/>
        </w:rPr>
        <w:t>or</w:t>
      </w:r>
    </w:p>
    <w:p>
      <w:pPr>
        <w:pStyle w:val="BodyText"/>
        <w:spacing w:before="159"/>
      </w:pPr>
    </w:p>
    <w:p>
      <w:pPr>
        <w:pStyle w:val="ListParagraph"/>
        <w:numPr>
          <w:ilvl w:val="1"/>
          <w:numId w:val="1"/>
        </w:numPr>
        <w:tabs>
          <w:tab w:pos="1096" w:val="left" w:leader="none"/>
        </w:tabs>
        <w:spacing w:line="240" w:lineRule="auto" w:before="0" w:after="0"/>
        <w:ind w:left="1096" w:right="0" w:hanging="353"/>
        <w:jc w:val="left"/>
        <w:rPr>
          <w:sz w:val="24"/>
        </w:rPr>
      </w:pPr>
      <w:r>
        <w:rPr>
          <w:sz w:val="24"/>
        </w:rPr>
        <w:t>proceed</w:t>
      </w:r>
      <w:r>
        <w:rPr>
          <w:spacing w:val="-3"/>
          <w:sz w:val="24"/>
        </w:rPr>
        <w:t> </w:t>
      </w:r>
      <w:r>
        <w:rPr>
          <w:sz w:val="24"/>
        </w:rPr>
        <w:t>to</w:t>
      </w:r>
      <w:r>
        <w:rPr>
          <w:spacing w:val="-1"/>
          <w:sz w:val="24"/>
        </w:rPr>
        <w:t> </w:t>
      </w:r>
      <w:r>
        <w:rPr>
          <w:sz w:val="24"/>
        </w:rPr>
        <w:t>determine the</w:t>
      </w:r>
      <w:r>
        <w:rPr>
          <w:spacing w:val="-1"/>
          <w:sz w:val="24"/>
        </w:rPr>
        <w:t> </w:t>
      </w:r>
      <w:r>
        <w:rPr>
          <w:sz w:val="24"/>
        </w:rPr>
        <w:t>matter.’(</w:t>
      </w:r>
      <w:r>
        <w:rPr>
          <w:spacing w:val="-1"/>
          <w:sz w:val="24"/>
        </w:rPr>
        <w:t> </w:t>
      </w:r>
      <w:r>
        <w:rPr>
          <w:sz w:val="24"/>
        </w:rPr>
        <w:t>Emphasis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added).</w:t>
      </w:r>
    </w:p>
    <w:p>
      <w:pPr>
        <w:pStyle w:val="BodyText"/>
        <w:spacing w:before="161"/>
      </w:pPr>
    </w:p>
    <w:p>
      <w:pPr>
        <w:pStyle w:val="BodyText"/>
        <w:spacing w:line="480" w:lineRule="auto"/>
        <w:ind w:left="23" w:right="812"/>
      </w:pPr>
      <w:r>
        <w:rPr/>
        <w:t>In the present matter the respondent says one of the reasons that caused it to fail to comply with the Rules is that there were threats of violence on the 31</w:t>
      </w:r>
      <w:r>
        <w:rPr>
          <w:vertAlign w:val="superscript"/>
        </w:rPr>
        <w:t>st</w:t>
      </w:r>
      <w:r>
        <w:rPr>
          <w:vertAlign w:val="baseline"/>
        </w:rPr>
        <w:t> of March 205. It did not indicate</w:t>
      </w:r>
      <w:r>
        <w:rPr>
          <w:spacing w:val="-2"/>
          <w:vertAlign w:val="baseline"/>
        </w:rPr>
        <w:t> </w:t>
      </w:r>
      <w:r>
        <w:rPr>
          <w:vertAlign w:val="baseline"/>
        </w:rPr>
        <w:t>any</w:t>
      </w:r>
      <w:r>
        <w:rPr>
          <w:spacing w:val="-7"/>
          <w:vertAlign w:val="baseline"/>
        </w:rPr>
        <w:t> </w:t>
      </w:r>
      <w:r>
        <w:rPr>
          <w:vertAlign w:val="baseline"/>
        </w:rPr>
        <w:t>other</w:t>
      </w:r>
      <w:r>
        <w:rPr>
          <w:spacing w:val="-2"/>
          <w:vertAlign w:val="baseline"/>
        </w:rPr>
        <w:t> </w:t>
      </w:r>
      <w:r>
        <w:rPr>
          <w:vertAlign w:val="baseline"/>
        </w:rPr>
        <w:t>reason despite</w:t>
      </w:r>
      <w:r>
        <w:rPr>
          <w:spacing w:val="-3"/>
          <w:vertAlign w:val="baseline"/>
        </w:rPr>
        <w:t> </w:t>
      </w:r>
      <w:r>
        <w:rPr>
          <w:vertAlign w:val="baseline"/>
        </w:rPr>
        <w:t>the</w:t>
      </w:r>
      <w:r>
        <w:rPr>
          <w:spacing w:val="-2"/>
          <w:vertAlign w:val="baseline"/>
        </w:rPr>
        <w:t> </w:t>
      </w:r>
      <w:r>
        <w:rPr>
          <w:vertAlign w:val="baseline"/>
        </w:rPr>
        <w:t>assertion</w:t>
      </w:r>
      <w:r>
        <w:rPr>
          <w:spacing w:val="-2"/>
          <w:vertAlign w:val="baseline"/>
        </w:rPr>
        <w:t> </w:t>
      </w:r>
      <w:r>
        <w:rPr>
          <w:vertAlign w:val="baseline"/>
        </w:rPr>
        <w:t>that the</w:t>
      </w:r>
      <w:r>
        <w:rPr>
          <w:spacing w:val="-2"/>
          <w:vertAlign w:val="baseline"/>
        </w:rPr>
        <w:t> </w:t>
      </w:r>
      <w:r>
        <w:rPr>
          <w:vertAlign w:val="baseline"/>
        </w:rPr>
        <w:t>threats</w:t>
      </w:r>
      <w:r>
        <w:rPr>
          <w:spacing w:val="-2"/>
          <w:vertAlign w:val="baseline"/>
        </w:rPr>
        <w:t> </w:t>
      </w:r>
      <w:r>
        <w:rPr>
          <w:vertAlign w:val="baseline"/>
        </w:rPr>
        <w:t>of</w:t>
      </w:r>
      <w:r>
        <w:rPr>
          <w:spacing w:val="-2"/>
          <w:vertAlign w:val="baseline"/>
        </w:rPr>
        <w:t> </w:t>
      </w:r>
      <w:r>
        <w:rPr>
          <w:vertAlign w:val="baseline"/>
        </w:rPr>
        <w:t>violence</w:t>
      </w:r>
      <w:r>
        <w:rPr>
          <w:spacing w:val="-3"/>
          <w:vertAlign w:val="baseline"/>
        </w:rPr>
        <w:t> </w:t>
      </w:r>
      <w:r>
        <w:rPr>
          <w:vertAlign w:val="baseline"/>
        </w:rPr>
        <w:t>were</w:t>
      </w:r>
      <w:r>
        <w:rPr>
          <w:spacing w:val="-3"/>
          <w:vertAlign w:val="baseline"/>
        </w:rPr>
        <w:t> </w:t>
      </w:r>
      <w:r>
        <w:rPr>
          <w:vertAlign w:val="baseline"/>
        </w:rPr>
        <w:t>only</w:t>
      </w:r>
      <w:r>
        <w:rPr>
          <w:spacing w:val="-7"/>
          <w:vertAlign w:val="baseline"/>
        </w:rPr>
        <w:t> </w:t>
      </w:r>
      <w:r>
        <w:rPr>
          <w:vertAlign w:val="baseline"/>
        </w:rPr>
        <w:t>one</w:t>
      </w:r>
      <w:r>
        <w:rPr>
          <w:spacing w:val="-3"/>
          <w:vertAlign w:val="baseline"/>
        </w:rPr>
        <w:t> </w:t>
      </w:r>
      <w:r>
        <w:rPr>
          <w:vertAlign w:val="baseline"/>
        </w:rPr>
        <w:t>such reason. The respondent does not say</w:t>
      </w:r>
      <w:r>
        <w:rPr>
          <w:spacing w:val="-1"/>
          <w:vertAlign w:val="baseline"/>
        </w:rPr>
        <w:t> </w:t>
      </w:r>
      <w:r>
        <w:rPr>
          <w:vertAlign w:val="baseline"/>
        </w:rPr>
        <w:t>why</w:t>
      </w:r>
      <w:r>
        <w:rPr>
          <w:spacing w:val="-3"/>
          <w:vertAlign w:val="baseline"/>
        </w:rPr>
        <w:t> </w:t>
      </w:r>
      <w:r>
        <w:rPr>
          <w:vertAlign w:val="baseline"/>
        </w:rPr>
        <w:t>it could not file the notice on any</w:t>
      </w:r>
      <w:r>
        <w:rPr>
          <w:spacing w:val="-1"/>
          <w:vertAlign w:val="baseline"/>
        </w:rPr>
        <w:t> </w:t>
      </w:r>
      <w:r>
        <w:rPr>
          <w:vertAlign w:val="baseline"/>
        </w:rPr>
        <w:t>other day</w:t>
      </w:r>
      <w:r>
        <w:rPr>
          <w:spacing w:val="-3"/>
          <w:vertAlign w:val="baseline"/>
        </w:rPr>
        <w:t> </w:t>
      </w:r>
      <w:r>
        <w:rPr>
          <w:vertAlign w:val="baseline"/>
        </w:rPr>
        <w:t>or date instead of waiting for the 31</w:t>
      </w:r>
      <w:r>
        <w:rPr>
          <w:vertAlign w:val="superscript"/>
        </w:rPr>
        <w:t>st</w:t>
      </w:r>
      <w:r>
        <w:rPr>
          <w:vertAlign w:val="baseline"/>
        </w:rPr>
        <w:t> of March. In </w:t>
      </w:r>
      <w:r>
        <w:rPr>
          <w:b/>
          <w:vertAlign w:val="baseline"/>
        </w:rPr>
        <w:t>Sv McNab </w:t>
      </w:r>
      <w:r>
        <w:rPr>
          <w:vertAlign w:val="baseline"/>
        </w:rPr>
        <w:t>(supra) the court stated that :</w:t>
      </w:r>
    </w:p>
    <w:p>
      <w:pPr>
        <w:pStyle w:val="BodyText"/>
        <w:spacing w:line="480" w:lineRule="auto" w:before="162"/>
        <w:ind w:left="743" w:right="773" w:firstLine="60"/>
      </w:pPr>
      <w:r>
        <w:rPr/>
        <w:t>‘It</w:t>
      </w:r>
      <w:r>
        <w:rPr>
          <w:spacing w:val="-2"/>
        </w:rPr>
        <w:t> </w:t>
      </w:r>
      <w:r>
        <w:rPr/>
        <w:t>is</w:t>
      </w:r>
      <w:r>
        <w:rPr>
          <w:spacing w:val="-2"/>
        </w:rPr>
        <w:t> </w:t>
      </w:r>
      <w:r>
        <w:rPr/>
        <w:t>for</w:t>
      </w:r>
      <w:r>
        <w:rPr>
          <w:spacing w:val="-2"/>
        </w:rPr>
        <w:t> </w:t>
      </w:r>
      <w:r>
        <w:rPr/>
        <w:t>the</w:t>
      </w:r>
      <w:r>
        <w:rPr>
          <w:spacing w:val="-4"/>
        </w:rPr>
        <w:t> </w:t>
      </w:r>
      <w:r>
        <w:rPr/>
        <w:t>applicant</w:t>
      </w:r>
      <w:r>
        <w:rPr>
          <w:spacing w:val="-2"/>
        </w:rPr>
        <w:t> </w:t>
      </w:r>
      <w:r>
        <w:rPr/>
        <w:t>to</w:t>
      </w:r>
      <w:r>
        <w:rPr>
          <w:spacing w:val="-2"/>
        </w:rPr>
        <w:t> </w:t>
      </w:r>
      <w:r>
        <w:rPr/>
        <w:t>satisfy</w:t>
      </w:r>
      <w:r>
        <w:rPr>
          <w:spacing w:val="-7"/>
        </w:rPr>
        <w:t> </w:t>
      </w:r>
      <w:r>
        <w:rPr/>
        <w:t>this</w:t>
      </w:r>
      <w:r>
        <w:rPr>
          <w:spacing w:val="-2"/>
        </w:rPr>
        <w:t> </w:t>
      </w:r>
      <w:r>
        <w:rPr/>
        <w:t>court</w:t>
      </w:r>
      <w:r>
        <w:rPr>
          <w:spacing w:val="-2"/>
        </w:rPr>
        <w:t> </w:t>
      </w:r>
      <w:r>
        <w:rPr/>
        <w:t>that</w:t>
      </w:r>
      <w:r>
        <w:rPr>
          <w:spacing w:val="-2"/>
        </w:rPr>
        <w:t> </w:t>
      </w:r>
      <w:r>
        <w:rPr/>
        <w:t>there</w:t>
      </w:r>
      <w:r>
        <w:rPr>
          <w:spacing w:val="-3"/>
        </w:rPr>
        <w:t> </w:t>
      </w:r>
      <w:r>
        <w:rPr/>
        <w:t>is</w:t>
      </w:r>
      <w:r>
        <w:rPr>
          <w:spacing w:val="-2"/>
        </w:rPr>
        <w:t> </w:t>
      </w:r>
      <w:r>
        <w:rPr/>
        <w:t>sufficient</w:t>
      </w:r>
      <w:r>
        <w:rPr>
          <w:spacing w:val="-2"/>
        </w:rPr>
        <w:t> </w:t>
      </w:r>
      <w:r>
        <w:rPr/>
        <w:t>cause</w:t>
      </w:r>
      <w:r>
        <w:rPr>
          <w:spacing w:val="-3"/>
        </w:rPr>
        <w:t> </w:t>
      </w:r>
      <w:r>
        <w:rPr/>
        <w:t>for</w:t>
      </w:r>
      <w:r>
        <w:rPr>
          <w:spacing w:val="-2"/>
        </w:rPr>
        <w:t> </w:t>
      </w:r>
      <w:r>
        <w:rPr/>
        <w:t>excusing him from compliance…’</w:t>
      </w:r>
    </w:p>
    <w:p>
      <w:pPr>
        <w:pStyle w:val="BodyText"/>
        <w:spacing w:line="480" w:lineRule="auto" w:before="158"/>
        <w:ind w:left="23" w:right="718"/>
      </w:pPr>
      <w:r>
        <w:rPr/>
        <w:t>In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present</w:t>
      </w:r>
      <w:r>
        <w:rPr>
          <w:spacing w:val="-1"/>
        </w:rPr>
        <w:t> </w:t>
      </w:r>
      <w:r>
        <w:rPr/>
        <w:t>case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respondent’s</w:t>
      </w:r>
      <w:r>
        <w:rPr>
          <w:spacing w:val="-2"/>
        </w:rPr>
        <w:t> </w:t>
      </w:r>
      <w:r>
        <w:rPr/>
        <w:t>explanation</w:t>
      </w:r>
      <w:r>
        <w:rPr>
          <w:spacing w:val="-2"/>
        </w:rPr>
        <w:t> </w:t>
      </w:r>
      <w:r>
        <w:rPr/>
        <w:t>does</w:t>
      </w:r>
      <w:r>
        <w:rPr>
          <w:spacing w:val="-2"/>
        </w:rPr>
        <w:t> </w:t>
      </w:r>
      <w:r>
        <w:rPr/>
        <w:t>not</w:t>
      </w:r>
      <w:r>
        <w:rPr>
          <w:spacing w:val="-2"/>
        </w:rPr>
        <w:t> </w:t>
      </w:r>
      <w:r>
        <w:rPr/>
        <w:t>in</w:t>
      </w:r>
      <w:r>
        <w:rPr>
          <w:spacing w:val="-2"/>
        </w:rPr>
        <w:t> </w:t>
      </w:r>
      <w:r>
        <w:rPr/>
        <w:t>my</w:t>
      </w:r>
      <w:r>
        <w:rPr>
          <w:spacing w:val="-7"/>
        </w:rPr>
        <w:t> </w:t>
      </w:r>
      <w:r>
        <w:rPr/>
        <w:t>view</w:t>
      </w:r>
      <w:r>
        <w:rPr>
          <w:spacing w:val="-3"/>
        </w:rPr>
        <w:t> </w:t>
      </w:r>
      <w:r>
        <w:rPr/>
        <w:t>amount</w:t>
      </w:r>
      <w:r>
        <w:rPr>
          <w:spacing w:val="-2"/>
        </w:rPr>
        <w:t> </w:t>
      </w:r>
      <w:r>
        <w:rPr/>
        <w:t>to</w:t>
      </w:r>
      <w:r>
        <w:rPr>
          <w:spacing w:val="-2"/>
        </w:rPr>
        <w:t> </w:t>
      </w:r>
      <w:r>
        <w:rPr/>
        <w:t>good</w:t>
      </w:r>
      <w:r>
        <w:rPr>
          <w:spacing w:val="-2"/>
        </w:rPr>
        <w:t> </w:t>
      </w:r>
      <w:r>
        <w:rPr/>
        <w:t>cause</w:t>
      </w:r>
      <w:r>
        <w:rPr>
          <w:spacing w:val="-3"/>
        </w:rPr>
        <w:t> </w:t>
      </w:r>
      <w:r>
        <w:rPr/>
        <w:t>as envisaged by the Rule. If</w:t>
      </w:r>
      <w:r>
        <w:rPr>
          <w:spacing w:val="40"/>
        </w:rPr>
        <w:t> </w:t>
      </w:r>
      <w:r>
        <w:rPr/>
        <w:t>the anticipated violence was only one of the reasons, the other reasons ought to have been proffered. It is trite that rules are made</w:t>
      </w:r>
      <w:r>
        <w:rPr>
          <w:spacing w:val="40"/>
        </w:rPr>
        <w:t> </w:t>
      </w:r>
      <w:r>
        <w:rPr/>
        <w:t>for proper running of the</w:t>
      </w:r>
    </w:p>
    <w:p>
      <w:pPr>
        <w:pStyle w:val="BodyText"/>
        <w:spacing w:after="0" w:line="480" w:lineRule="auto"/>
        <w:sectPr>
          <w:pgSz w:w="11910" w:h="16840"/>
          <w:pgMar w:header="751" w:footer="0" w:top="1340" w:bottom="280" w:left="1417" w:right="708"/>
        </w:sectPr>
      </w:pPr>
    </w:p>
    <w:p>
      <w:pPr>
        <w:pStyle w:val="BodyText"/>
        <w:spacing w:line="480" w:lineRule="auto" w:before="80"/>
        <w:ind w:left="23" w:right="665"/>
      </w:pPr>
      <w:r>
        <w:rPr/>
        <w:t>courts. </w:t>
      </w:r>
      <w:r>
        <w:rPr>
          <w:b/>
        </w:rPr>
        <w:t>Chikura and Anor v Al Shams Global BVI Limited SC17/2017.</w:t>
      </w:r>
      <w:r>
        <w:rPr>
          <w:b/>
          <w:spacing w:val="80"/>
        </w:rPr>
        <w:t> </w:t>
      </w:r>
      <w:r>
        <w:rPr/>
        <w:t>Their non – observance therefore affects such proper running of courts and the administration of justice. What is</w:t>
      </w:r>
      <w:r>
        <w:rPr>
          <w:spacing w:val="40"/>
        </w:rPr>
        <w:t> </w:t>
      </w:r>
      <w:r>
        <w:rPr/>
        <w:t>distressing , is that non-compliance with rules</w:t>
      </w:r>
      <w:r>
        <w:rPr>
          <w:spacing w:val="40"/>
        </w:rPr>
        <w:t> </w:t>
      </w:r>
      <w:r>
        <w:rPr/>
        <w:t>delays finality to litigation and is therefore inconsistent with the purpose of the Labour Act , Chapter 28:01.The situation is particularly</w:t>
      </w:r>
      <w:r>
        <w:rPr>
          <w:spacing w:val="40"/>
        </w:rPr>
        <w:t> </w:t>
      </w:r>
      <w:r>
        <w:rPr/>
        <w:t>unacceptable where a litigant is legally represented . Legal practitioners being officers</w:t>
      </w:r>
      <w:r>
        <w:rPr>
          <w:spacing w:val="-3"/>
        </w:rPr>
        <w:t> </w:t>
      </w:r>
      <w:r>
        <w:rPr/>
        <w:t>of</w:t>
      </w:r>
      <w:r>
        <w:rPr>
          <w:spacing w:val="-3"/>
        </w:rPr>
        <w:t> </w:t>
      </w:r>
      <w:r>
        <w:rPr/>
        <w:t>the</w:t>
      </w:r>
      <w:r>
        <w:rPr>
          <w:spacing w:val="-4"/>
        </w:rPr>
        <w:t> </w:t>
      </w:r>
      <w:r>
        <w:rPr/>
        <w:t>court</w:t>
      </w:r>
      <w:r>
        <w:rPr>
          <w:spacing w:val="-3"/>
        </w:rPr>
        <w:t> </w:t>
      </w:r>
      <w:r>
        <w:rPr/>
        <w:t>are</w:t>
      </w:r>
      <w:r>
        <w:rPr>
          <w:spacing w:val="-3"/>
        </w:rPr>
        <w:t> </w:t>
      </w:r>
      <w:r>
        <w:rPr/>
        <w:t>expected</w:t>
      </w:r>
      <w:r>
        <w:rPr>
          <w:spacing w:val="-3"/>
        </w:rPr>
        <w:t> </w:t>
      </w:r>
      <w:r>
        <w:rPr/>
        <w:t>to</w:t>
      </w:r>
      <w:r>
        <w:rPr>
          <w:spacing w:val="-3"/>
        </w:rPr>
        <w:t> </w:t>
      </w:r>
      <w:r>
        <w:rPr/>
        <w:t>ensure</w:t>
      </w:r>
      <w:r>
        <w:rPr>
          <w:spacing w:val="-4"/>
        </w:rPr>
        <w:t> </w:t>
      </w:r>
      <w:r>
        <w:rPr/>
        <w:t>that</w:t>
      </w:r>
      <w:r>
        <w:rPr>
          <w:spacing w:val="-1"/>
        </w:rPr>
        <w:t> </w:t>
      </w:r>
      <w:r>
        <w:rPr/>
        <w:t>rules</w:t>
      </w:r>
      <w:r>
        <w:rPr>
          <w:spacing w:val="-3"/>
        </w:rPr>
        <w:t> </w:t>
      </w:r>
      <w:r>
        <w:rPr/>
        <w:t>of</w:t>
      </w:r>
      <w:r>
        <w:rPr>
          <w:spacing w:val="-3"/>
        </w:rPr>
        <w:t> </w:t>
      </w:r>
      <w:r>
        <w:rPr/>
        <w:t>court</w:t>
      </w:r>
      <w:r>
        <w:rPr>
          <w:spacing w:val="-3"/>
        </w:rPr>
        <w:t> </w:t>
      </w:r>
      <w:r>
        <w:rPr/>
        <w:t>are</w:t>
      </w:r>
      <w:r>
        <w:rPr>
          <w:spacing w:val="-2"/>
        </w:rPr>
        <w:t> </w:t>
      </w:r>
      <w:r>
        <w:rPr/>
        <w:t>complied</w:t>
      </w:r>
      <w:r>
        <w:rPr>
          <w:spacing w:val="-3"/>
        </w:rPr>
        <w:t> </w:t>
      </w:r>
      <w:r>
        <w:rPr/>
        <w:t>with.</w:t>
      </w:r>
      <w:r>
        <w:rPr>
          <w:spacing w:val="-2"/>
        </w:rPr>
        <w:t> </w:t>
      </w:r>
      <w:r>
        <w:rPr/>
        <w:t>Their</w:t>
      </w:r>
      <w:r>
        <w:rPr>
          <w:spacing w:val="-3"/>
        </w:rPr>
        <w:t> </w:t>
      </w:r>
      <w:r>
        <w:rPr/>
        <w:t>failure to do so cannot be condoned.</w:t>
      </w:r>
    </w:p>
    <w:p>
      <w:pPr>
        <w:pStyle w:val="BodyText"/>
        <w:spacing w:line="480" w:lineRule="auto" w:before="162"/>
        <w:ind w:left="23" w:right="773"/>
      </w:pPr>
      <w:r>
        <w:rPr/>
        <w:t>In</w:t>
      </w:r>
      <w:r>
        <w:rPr>
          <w:spacing w:val="-3"/>
        </w:rPr>
        <w:t> </w:t>
      </w:r>
      <w:r>
        <w:rPr/>
        <w:t>view</w:t>
      </w:r>
      <w:r>
        <w:rPr>
          <w:spacing w:val="-3"/>
        </w:rPr>
        <w:t> </w:t>
      </w:r>
      <w:r>
        <w:rPr/>
        <w:t>of</w:t>
      </w:r>
      <w:r>
        <w:rPr>
          <w:spacing w:val="-5"/>
        </w:rPr>
        <w:t> </w:t>
      </w:r>
      <w:r>
        <w:rPr/>
        <w:t>the</w:t>
      </w:r>
      <w:r>
        <w:rPr>
          <w:spacing w:val="-2"/>
        </w:rPr>
        <w:t> </w:t>
      </w:r>
      <w:r>
        <w:rPr/>
        <w:t>foregoing,</w:t>
      </w:r>
      <w:r>
        <w:rPr>
          <w:spacing w:val="-1"/>
        </w:rPr>
        <w:t> </w:t>
      </w:r>
      <w:r>
        <w:rPr/>
        <w:t>the</w:t>
      </w:r>
      <w:r>
        <w:rPr>
          <w:spacing w:val="-4"/>
        </w:rPr>
        <w:t> </w:t>
      </w:r>
      <w:r>
        <w:rPr/>
        <w:t>preliminary</w:t>
      </w:r>
      <w:r>
        <w:rPr>
          <w:spacing w:val="-8"/>
        </w:rPr>
        <w:t> </w:t>
      </w:r>
      <w:r>
        <w:rPr/>
        <w:t>point</w:t>
      </w:r>
      <w:r>
        <w:rPr>
          <w:spacing w:val="-1"/>
        </w:rPr>
        <w:t> </w:t>
      </w:r>
      <w:r>
        <w:rPr/>
        <w:t>has</w:t>
      </w:r>
      <w:r>
        <w:rPr>
          <w:spacing w:val="-1"/>
        </w:rPr>
        <w:t> </w:t>
      </w:r>
      <w:r>
        <w:rPr/>
        <w:t>merit.</w:t>
      </w:r>
      <w:r>
        <w:rPr>
          <w:spacing w:val="-1"/>
        </w:rPr>
        <w:t> </w:t>
      </w:r>
      <w:r>
        <w:rPr/>
        <w:t>It</w:t>
      </w:r>
      <w:r>
        <w:rPr>
          <w:spacing w:val="-3"/>
        </w:rPr>
        <w:t> </w:t>
      </w:r>
      <w:r>
        <w:rPr/>
        <w:t>is</w:t>
      </w:r>
      <w:r>
        <w:rPr>
          <w:spacing w:val="-3"/>
        </w:rPr>
        <w:t> </w:t>
      </w:r>
      <w:r>
        <w:rPr/>
        <w:t>upheld.</w:t>
      </w:r>
      <w:r>
        <w:rPr>
          <w:spacing w:val="-1"/>
        </w:rPr>
        <w:t> </w:t>
      </w:r>
      <w:r>
        <w:rPr/>
        <w:t>This</w:t>
      </w:r>
      <w:r>
        <w:rPr>
          <w:spacing w:val="-1"/>
        </w:rPr>
        <w:t> </w:t>
      </w:r>
      <w:r>
        <w:rPr/>
        <w:t>means</w:t>
      </w:r>
      <w:r>
        <w:rPr>
          <w:spacing w:val="-3"/>
        </w:rPr>
        <w:t> </w:t>
      </w:r>
      <w:r>
        <w:rPr/>
        <w:t>that</w:t>
      </w:r>
      <w:r>
        <w:rPr>
          <w:spacing w:val="-2"/>
        </w:rPr>
        <w:t> </w:t>
      </w:r>
      <w:r>
        <w:rPr/>
        <w:t>the respondent is barred. Default judgment is therefore granted in favour of the applicant as </w:t>
      </w:r>
      <w:r>
        <w:rPr>
          <w:spacing w:val="-2"/>
        </w:rPr>
        <w:t>prayed.</w:t>
      </w:r>
    </w:p>
    <w:p>
      <w:pPr>
        <w:pStyle w:val="BodyText"/>
        <w:spacing w:line="274" w:lineRule="exact"/>
        <w:ind w:left="23"/>
      </w:pPr>
      <w:r>
        <w:rPr/>
        <w:t>Accordingly</w:t>
      </w:r>
      <w:r>
        <w:rPr>
          <w:spacing w:val="-5"/>
        </w:rPr>
        <w:t> </w:t>
      </w:r>
      <w:r>
        <w:rPr/>
        <w:t>, it is ordered</w:t>
      </w:r>
      <w:r>
        <w:rPr>
          <w:spacing w:val="1"/>
        </w:rPr>
        <w:t> </w:t>
      </w:r>
      <w:r>
        <w:rPr>
          <w:spacing w:val="-2"/>
        </w:rPr>
        <w:t>that:</w:t>
      </w:r>
    </w:p>
    <w:p>
      <w:pPr>
        <w:pStyle w:val="BodyText"/>
        <w:spacing w:before="160"/>
      </w:pPr>
    </w:p>
    <w:p>
      <w:pPr>
        <w:pStyle w:val="ListParagraph"/>
        <w:numPr>
          <w:ilvl w:val="0"/>
          <w:numId w:val="2"/>
        </w:numPr>
        <w:tabs>
          <w:tab w:pos="743" w:val="left" w:leader="none"/>
        </w:tabs>
        <w:spacing w:line="480" w:lineRule="auto" w:before="0" w:after="0"/>
        <w:ind w:left="743" w:right="1168" w:hanging="360"/>
        <w:jc w:val="left"/>
        <w:rPr>
          <w:sz w:val="24"/>
        </w:rPr>
      </w:pPr>
      <w:r>
        <w:rPr>
          <w:sz w:val="24"/>
        </w:rPr>
        <w:t>The</w:t>
      </w:r>
      <w:r>
        <w:rPr>
          <w:spacing w:val="-4"/>
          <w:sz w:val="24"/>
        </w:rPr>
        <w:t> </w:t>
      </w:r>
      <w:r>
        <w:rPr>
          <w:sz w:val="24"/>
        </w:rPr>
        <w:t>preliminary</w:t>
      </w:r>
      <w:r>
        <w:rPr>
          <w:spacing w:val="-7"/>
          <w:sz w:val="24"/>
        </w:rPr>
        <w:t> </w:t>
      </w:r>
      <w:r>
        <w:rPr>
          <w:sz w:val="24"/>
        </w:rPr>
        <w:t>point</w:t>
      </w:r>
      <w:r>
        <w:rPr>
          <w:spacing w:val="-2"/>
          <w:sz w:val="24"/>
        </w:rPr>
        <w:t> </w:t>
      </w:r>
      <w:r>
        <w:rPr>
          <w:sz w:val="24"/>
        </w:rPr>
        <w:t>raised</w:t>
      </w:r>
      <w:r>
        <w:rPr>
          <w:spacing w:val="-2"/>
          <w:sz w:val="24"/>
        </w:rPr>
        <w:t> </w:t>
      </w:r>
      <w:r>
        <w:rPr>
          <w:sz w:val="24"/>
        </w:rPr>
        <w:t>on</w:t>
      </w:r>
      <w:r>
        <w:rPr>
          <w:spacing w:val="-2"/>
          <w:sz w:val="24"/>
        </w:rPr>
        <w:t> </w:t>
      </w:r>
      <w:r>
        <w:rPr>
          <w:sz w:val="24"/>
        </w:rPr>
        <w:t>behalf</w:t>
      </w:r>
      <w:r>
        <w:rPr>
          <w:spacing w:val="-2"/>
          <w:sz w:val="24"/>
        </w:rPr>
        <w:t> </w:t>
      </w:r>
      <w:r>
        <w:rPr>
          <w:sz w:val="24"/>
        </w:rPr>
        <w:t>of</w:t>
      </w:r>
      <w:r>
        <w:rPr>
          <w:spacing w:val="-2"/>
          <w:sz w:val="24"/>
        </w:rPr>
        <w:t> </w:t>
      </w:r>
      <w:r>
        <w:rPr>
          <w:sz w:val="24"/>
        </w:rPr>
        <w:t>the</w:t>
      </w:r>
      <w:r>
        <w:rPr>
          <w:spacing w:val="-4"/>
          <w:sz w:val="24"/>
        </w:rPr>
        <w:t> </w:t>
      </w:r>
      <w:r>
        <w:rPr>
          <w:sz w:val="24"/>
        </w:rPr>
        <w:t>Applicant</w:t>
      </w:r>
      <w:r>
        <w:rPr>
          <w:spacing w:val="-2"/>
          <w:sz w:val="24"/>
        </w:rPr>
        <w:t> </w:t>
      </w:r>
      <w:r>
        <w:rPr>
          <w:sz w:val="24"/>
        </w:rPr>
        <w:t>being</w:t>
      </w:r>
      <w:r>
        <w:rPr>
          <w:spacing w:val="-5"/>
          <w:sz w:val="24"/>
        </w:rPr>
        <w:t> </w:t>
      </w:r>
      <w:r>
        <w:rPr>
          <w:sz w:val="24"/>
        </w:rPr>
        <w:t>merited,</w:t>
      </w:r>
      <w:r>
        <w:rPr>
          <w:spacing w:val="-2"/>
          <w:sz w:val="24"/>
        </w:rPr>
        <w:t> </w:t>
      </w:r>
      <w:r>
        <w:rPr>
          <w:sz w:val="24"/>
        </w:rPr>
        <w:t>it</w:t>
      </w:r>
      <w:r>
        <w:rPr>
          <w:spacing w:val="-2"/>
          <w:sz w:val="24"/>
        </w:rPr>
        <w:t> </w:t>
      </w:r>
      <w:r>
        <w:rPr>
          <w:sz w:val="24"/>
        </w:rPr>
        <w:t>be</w:t>
      </w:r>
      <w:r>
        <w:rPr>
          <w:spacing w:val="-1"/>
          <w:sz w:val="24"/>
        </w:rPr>
        <w:t> </w:t>
      </w:r>
      <w:r>
        <w:rPr>
          <w:sz w:val="24"/>
        </w:rPr>
        <w:t>and</w:t>
      </w:r>
      <w:r>
        <w:rPr>
          <w:spacing w:val="-2"/>
          <w:sz w:val="24"/>
        </w:rPr>
        <w:t> </w:t>
      </w:r>
      <w:r>
        <w:rPr>
          <w:sz w:val="24"/>
        </w:rPr>
        <w:t>is hereby upheld.</w:t>
      </w:r>
    </w:p>
    <w:p>
      <w:pPr>
        <w:pStyle w:val="ListParagraph"/>
        <w:numPr>
          <w:ilvl w:val="0"/>
          <w:numId w:val="2"/>
        </w:numPr>
        <w:tabs>
          <w:tab w:pos="743" w:val="left" w:leader="none"/>
        </w:tabs>
        <w:spacing w:line="480" w:lineRule="auto" w:before="1" w:after="0"/>
        <w:ind w:left="743" w:right="915" w:hanging="360"/>
        <w:jc w:val="left"/>
        <w:rPr>
          <w:sz w:val="24"/>
        </w:rPr>
      </w:pPr>
      <w:r>
        <w:rPr>
          <w:sz w:val="24"/>
        </w:rPr>
        <w:t>The</w:t>
      </w:r>
      <w:r>
        <w:rPr>
          <w:spacing w:val="-4"/>
          <w:sz w:val="24"/>
        </w:rPr>
        <w:t> </w:t>
      </w:r>
      <w:r>
        <w:rPr>
          <w:sz w:val="24"/>
        </w:rPr>
        <w:t>Respondent</w:t>
      </w:r>
      <w:r>
        <w:rPr>
          <w:spacing w:val="-2"/>
          <w:sz w:val="24"/>
        </w:rPr>
        <w:t> </w:t>
      </w:r>
      <w:r>
        <w:rPr>
          <w:sz w:val="24"/>
        </w:rPr>
        <w:t>having</w:t>
      </w:r>
      <w:r>
        <w:rPr>
          <w:spacing w:val="-5"/>
          <w:sz w:val="24"/>
        </w:rPr>
        <w:t> </w:t>
      </w:r>
      <w:r>
        <w:rPr>
          <w:sz w:val="24"/>
        </w:rPr>
        <w:t>failed</w:t>
      </w:r>
      <w:r>
        <w:rPr>
          <w:spacing w:val="-2"/>
          <w:sz w:val="24"/>
        </w:rPr>
        <w:t> </w:t>
      </w:r>
      <w:r>
        <w:rPr>
          <w:sz w:val="24"/>
        </w:rPr>
        <w:t>to</w:t>
      </w:r>
      <w:r>
        <w:rPr>
          <w:spacing w:val="-2"/>
          <w:sz w:val="24"/>
        </w:rPr>
        <w:t> </w:t>
      </w:r>
      <w:r>
        <w:rPr>
          <w:sz w:val="24"/>
        </w:rPr>
        <w:t>show</w:t>
      </w:r>
      <w:r>
        <w:rPr>
          <w:spacing w:val="-1"/>
          <w:sz w:val="24"/>
        </w:rPr>
        <w:t> </w:t>
      </w:r>
      <w:r>
        <w:rPr>
          <w:sz w:val="24"/>
        </w:rPr>
        <w:t>good cause</w:t>
      </w:r>
      <w:r>
        <w:rPr>
          <w:spacing w:val="-1"/>
          <w:sz w:val="24"/>
        </w:rPr>
        <w:t> </w:t>
      </w:r>
      <w:r>
        <w:rPr>
          <w:sz w:val="24"/>
        </w:rPr>
        <w:t>,</w:t>
      </w:r>
      <w:r>
        <w:rPr>
          <w:spacing w:val="-2"/>
          <w:sz w:val="24"/>
        </w:rPr>
        <w:t> </w:t>
      </w:r>
      <w:r>
        <w:rPr>
          <w:sz w:val="24"/>
        </w:rPr>
        <w:t>as</w:t>
      </w:r>
      <w:r>
        <w:rPr>
          <w:spacing w:val="-2"/>
          <w:sz w:val="24"/>
        </w:rPr>
        <w:t> </w:t>
      </w:r>
      <w:r>
        <w:rPr>
          <w:sz w:val="24"/>
        </w:rPr>
        <w:t>required by</w:t>
      </w:r>
      <w:r>
        <w:rPr>
          <w:spacing w:val="-7"/>
          <w:sz w:val="24"/>
        </w:rPr>
        <w:t> </w:t>
      </w:r>
      <w:r>
        <w:rPr>
          <w:sz w:val="24"/>
        </w:rPr>
        <w:t>Rule</w:t>
      </w:r>
      <w:r>
        <w:rPr>
          <w:spacing w:val="-2"/>
          <w:sz w:val="24"/>
        </w:rPr>
        <w:t> </w:t>
      </w:r>
      <w:r>
        <w:rPr>
          <w:sz w:val="24"/>
        </w:rPr>
        <w:t>29</w:t>
      </w:r>
      <w:r>
        <w:rPr>
          <w:spacing w:val="-2"/>
          <w:sz w:val="24"/>
        </w:rPr>
        <w:t> </w:t>
      </w:r>
      <w:r>
        <w:rPr>
          <w:sz w:val="24"/>
        </w:rPr>
        <w:t>(b)</w:t>
      </w:r>
      <w:r>
        <w:rPr>
          <w:spacing w:val="-4"/>
          <w:sz w:val="24"/>
        </w:rPr>
        <w:t> </w:t>
      </w:r>
      <w:r>
        <w:rPr>
          <w:sz w:val="24"/>
        </w:rPr>
        <w:t>,</w:t>
      </w:r>
      <w:r>
        <w:rPr>
          <w:spacing w:val="-2"/>
          <w:sz w:val="24"/>
        </w:rPr>
        <w:t> </w:t>
      </w:r>
      <w:r>
        <w:rPr>
          <w:sz w:val="24"/>
        </w:rPr>
        <w:t>why it failed to timeously file the notice of response, a default judgment is accordingly entered in favour of the Applicant.</w:t>
      </w:r>
    </w:p>
    <w:p>
      <w:pPr>
        <w:pStyle w:val="ListParagraph"/>
        <w:numPr>
          <w:ilvl w:val="0"/>
          <w:numId w:val="2"/>
        </w:numPr>
        <w:tabs>
          <w:tab w:pos="743" w:val="left" w:leader="none"/>
        </w:tabs>
        <w:spacing w:line="480" w:lineRule="auto" w:before="0" w:after="0"/>
        <w:ind w:left="743" w:right="744" w:hanging="360"/>
        <w:jc w:val="left"/>
        <w:rPr>
          <w:sz w:val="24"/>
        </w:rPr>
      </w:pPr>
      <w:r>
        <w:rPr>
          <w:sz w:val="24"/>
        </w:rPr>
        <w:t>The</w:t>
      </w:r>
      <w:r>
        <w:rPr>
          <w:spacing w:val="-4"/>
          <w:sz w:val="24"/>
        </w:rPr>
        <w:t> </w:t>
      </w:r>
      <w:r>
        <w:rPr>
          <w:sz w:val="24"/>
        </w:rPr>
        <w:t>determination</w:t>
      </w:r>
      <w:r>
        <w:rPr>
          <w:spacing w:val="-2"/>
          <w:sz w:val="24"/>
        </w:rPr>
        <w:t> </w:t>
      </w:r>
      <w:r>
        <w:rPr>
          <w:sz w:val="24"/>
        </w:rPr>
        <w:t>by</w:t>
      </w:r>
      <w:r>
        <w:rPr>
          <w:spacing w:val="-7"/>
          <w:sz w:val="24"/>
        </w:rPr>
        <w:t> </w:t>
      </w:r>
      <w:r>
        <w:rPr>
          <w:sz w:val="24"/>
        </w:rPr>
        <w:t>the</w:t>
      </w:r>
      <w:r>
        <w:rPr>
          <w:spacing w:val="-2"/>
          <w:sz w:val="24"/>
        </w:rPr>
        <w:t> </w:t>
      </w:r>
      <w:r>
        <w:rPr>
          <w:sz w:val="24"/>
        </w:rPr>
        <w:t>Disciplinary</w:t>
      </w:r>
      <w:r>
        <w:rPr>
          <w:spacing w:val="-5"/>
          <w:sz w:val="24"/>
        </w:rPr>
        <w:t> </w:t>
      </w:r>
      <w:r>
        <w:rPr>
          <w:sz w:val="24"/>
        </w:rPr>
        <w:t>Officer</w:t>
      </w:r>
      <w:r>
        <w:rPr>
          <w:spacing w:val="-2"/>
          <w:sz w:val="24"/>
        </w:rPr>
        <w:t> </w:t>
      </w:r>
      <w:r>
        <w:rPr>
          <w:sz w:val="24"/>
        </w:rPr>
        <w:t>dated</w:t>
      </w:r>
      <w:r>
        <w:rPr>
          <w:spacing w:val="-3"/>
          <w:sz w:val="24"/>
        </w:rPr>
        <w:t> </w:t>
      </w:r>
      <w:r>
        <w:rPr>
          <w:sz w:val="24"/>
        </w:rPr>
        <w:t>26April</w:t>
      </w:r>
      <w:r>
        <w:rPr>
          <w:spacing w:val="-2"/>
          <w:sz w:val="24"/>
        </w:rPr>
        <w:t> </w:t>
      </w:r>
      <w:r>
        <w:rPr>
          <w:sz w:val="24"/>
        </w:rPr>
        <w:t>2023</w:t>
      </w:r>
      <w:r>
        <w:rPr>
          <w:spacing w:val="-3"/>
          <w:sz w:val="24"/>
        </w:rPr>
        <w:t> </w:t>
      </w:r>
      <w:r>
        <w:rPr>
          <w:sz w:val="24"/>
        </w:rPr>
        <w:t>be</w:t>
      </w:r>
      <w:r>
        <w:rPr>
          <w:spacing w:val="-3"/>
          <w:sz w:val="24"/>
        </w:rPr>
        <w:t> </w:t>
      </w:r>
      <w:r>
        <w:rPr>
          <w:sz w:val="24"/>
        </w:rPr>
        <w:t>and</w:t>
      </w:r>
      <w:r>
        <w:rPr>
          <w:spacing w:val="-2"/>
          <w:sz w:val="24"/>
        </w:rPr>
        <w:t> </w:t>
      </w:r>
      <w:r>
        <w:rPr>
          <w:sz w:val="24"/>
        </w:rPr>
        <w:t>is</w:t>
      </w:r>
      <w:r>
        <w:rPr>
          <w:spacing w:val="-3"/>
          <w:sz w:val="24"/>
        </w:rPr>
        <w:t> </w:t>
      </w:r>
      <w:r>
        <w:rPr>
          <w:sz w:val="24"/>
        </w:rPr>
        <w:t>hereby</w:t>
      </w:r>
      <w:r>
        <w:rPr>
          <w:spacing w:val="-7"/>
          <w:sz w:val="24"/>
        </w:rPr>
        <w:t> </w:t>
      </w:r>
      <w:r>
        <w:rPr>
          <w:sz w:val="24"/>
        </w:rPr>
        <w:t>set </w:t>
      </w:r>
      <w:r>
        <w:rPr>
          <w:spacing w:val="-2"/>
          <w:sz w:val="24"/>
        </w:rPr>
        <w:t>aside.</w:t>
      </w:r>
    </w:p>
    <w:p>
      <w:pPr>
        <w:pStyle w:val="ListParagraph"/>
        <w:numPr>
          <w:ilvl w:val="0"/>
          <w:numId w:val="2"/>
        </w:numPr>
        <w:tabs>
          <w:tab w:pos="743" w:val="left" w:leader="none"/>
        </w:tabs>
        <w:spacing w:line="480" w:lineRule="auto" w:before="0" w:after="0"/>
        <w:ind w:left="743" w:right="922" w:hanging="360"/>
        <w:jc w:val="left"/>
        <w:rPr>
          <w:sz w:val="24"/>
        </w:rPr>
      </w:pPr>
      <w:r>
        <w:rPr>
          <w:sz w:val="24"/>
        </w:rPr>
        <w:t>The Respondent be and is hereby ordered tom reinstate the Applicant to his post without loss of salary</w:t>
      </w:r>
      <w:r>
        <w:rPr>
          <w:spacing w:val="-3"/>
          <w:sz w:val="24"/>
        </w:rPr>
        <w:t> </w:t>
      </w:r>
      <w:r>
        <w:rPr>
          <w:sz w:val="24"/>
        </w:rPr>
        <w:t>or benefits with effect from the date of dismissal. In the event that reinstatement is no longer possible the Respondent be and is hereby ordered to award</w:t>
      </w:r>
      <w:r>
        <w:rPr>
          <w:spacing w:val="40"/>
          <w:sz w:val="24"/>
        </w:rPr>
        <w:t> </w:t>
      </w:r>
      <w:r>
        <w:rPr>
          <w:sz w:val="24"/>
        </w:rPr>
        <w:t>the</w:t>
      </w:r>
      <w:r>
        <w:rPr>
          <w:spacing w:val="-3"/>
          <w:sz w:val="24"/>
        </w:rPr>
        <w:t> </w:t>
      </w:r>
      <w:r>
        <w:rPr>
          <w:sz w:val="24"/>
        </w:rPr>
        <w:t>Applicant</w:t>
      </w:r>
      <w:r>
        <w:rPr>
          <w:spacing w:val="-3"/>
          <w:sz w:val="24"/>
        </w:rPr>
        <w:t> </w:t>
      </w:r>
      <w:r>
        <w:rPr>
          <w:sz w:val="24"/>
        </w:rPr>
        <w:t>damages</w:t>
      </w:r>
      <w:r>
        <w:rPr>
          <w:spacing w:val="-3"/>
          <w:sz w:val="24"/>
        </w:rPr>
        <w:t> </w:t>
      </w:r>
      <w:r>
        <w:rPr>
          <w:sz w:val="24"/>
        </w:rPr>
        <w:t>in</w:t>
      </w:r>
      <w:r>
        <w:rPr>
          <w:spacing w:val="-3"/>
          <w:sz w:val="24"/>
        </w:rPr>
        <w:t> </w:t>
      </w:r>
      <w:r>
        <w:rPr>
          <w:sz w:val="24"/>
        </w:rPr>
        <w:t>lieu</w:t>
      </w:r>
      <w:r>
        <w:rPr>
          <w:spacing w:val="-3"/>
          <w:sz w:val="24"/>
        </w:rPr>
        <w:t> </w:t>
      </w:r>
      <w:r>
        <w:rPr>
          <w:sz w:val="24"/>
        </w:rPr>
        <w:t>of</w:t>
      </w:r>
      <w:r>
        <w:rPr>
          <w:spacing w:val="-5"/>
          <w:sz w:val="24"/>
        </w:rPr>
        <w:t> </w:t>
      </w:r>
      <w:r>
        <w:rPr>
          <w:sz w:val="24"/>
        </w:rPr>
        <w:t>reinstatement</w:t>
      </w:r>
      <w:r>
        <w:rPr>
          <w:spacing w:val="-3"/>
          <w:sz w:val="24"/>
        </w:rPr>
        <w:t> </w:t>
      </w:r>
      <w:r>
        <w:rPr>
          <w:sz w:val="24"/>
        </w:rPr>
        <w:t>as</w:t>
      </w:r>
      <w:r>
        <w:rPr>
          <w:spacing w:val="-3"/>
          <w:sz w:val="24"/>
        </w:rPr>
        <w:t> </w:t>
      </w:r>
      <w:r>
        <w:rPr>
          <w:sz w:val="24"/>
        </w:rPr>
        <w:t>agreed</w:t>
      </w:r>
      <w:r>
        <w:rPr>
          <w:spacing w:val="-3"/>
          <w:sz w:val="24"/>
        </w:rPr>
        <w:t> </w:t>
      </w:r>
      <w:r>
        <w:rPr>
          <w:sz w:val="24"/>
        </w:rPr>
        <w:t>between</w:t>
      </w:r>
      <w:r>
        <w:rPr>
          <w:spacing w:val="-3"/>
          <w:sz w:val="24"/>
        </w:rPr>
        <w:t> </w:t>
      </w:r>
      <w:r>
        <w:rPr>
          <w:sz w:val="24"/>
        </w:rPr>
        <w:t>the</w:t>
      </w:r>
      <w:r>
        <w:rPr>
          <w:spacing w:val="-4"/>
          <w:sz w:val="24"/>
        </w:rPr>
        <w:t> </w:t>
      </w:r>
      <w:r>
        <w:rPr>
          <w:sz w:val="24"/>
        </w:rPr>
        <w:t>parties. Should parties fail to agree either party is free to approach this Court for </w:t>
      </w:r>
      <w:r>
        <w:rPr>
          <w:spacing w:val="-2"/>
          <w:sz w:val="24"/>
        </w:rPr>
        <w:t>quantification.</w:t>
      </w:r>
    </w:p>
    <w:p>
      <w:pPr>
        <w:pStyle w:val="ListParagraph"/>
        <w:spacing w:after="0" w:line="480" w:lineRule="auto"/>
        <w:jc w:val="left"/>
        <w:rPr>
          <w:sz w:val="24"/>
        </w:rPr>
        <w:sectPr>
          <w:pgSz w:w="11910" w:h="16840"/>
          <w:pgMar w:header="751" w:footer="0" w:top="1340" w:bottom="280" w:left="1417" w:right="708"/>
        </w:sectPr>
      </w:pPr>
    </w:p>
    <w:p>
      <w:pPr>
        <w:pStyle w:val="ListParagraph"/>
        <w:numPr>
          <w:ilvl w:val="0"/>
          <w:numId w:val="2"/>
        </w:numPr>
        <w:tabs>
          <w:tab w:pos="743" w:val="left" w:leader="none"/>
        </w:tabs>
        <w:spacing w:line="480" w:lineRule="auto" w:before="80" w:after="0"/>
        <w:ind w:left="743" w:right="969" w:hanging="360"/>
        <w:jc w:val="left"/>
        <w:rPr>
          <w:sz w:val="24"/>
        </w:rPr>
      </w:pPr>
      <w:r>
        <w:rPr>
          <w:sz w:val="24"/>
        </w:rPr>
        <w:t>The</w:t>
      </w:r>
      <w:r>
        <w:rPr>
          <w:spacing w:val="-4"/>
          <w:sz w:val="24"/>
        </w:rPr>
        <w:t> </w:t>
      </w:r>
      <w:r>
        <w:rPr>
          <w:sz w:val="24"/>
        </w:rPr>
        <w:t>matter</w:t>
      </w:r>
      <w:r>
        <w:rPr>
          <w:spacing w:val="-4"/>
          <w:sz w:val="24"/>
        </w:rPr>
        <w:t> </w:t>
      </w:r>
      <w:r>
        <w:rPr>
          <w:sz w:val="24"/>
        </w:rPr>
        <w:t>is</w:t>
      </w:r>
      <w:r>
        <w:rPr>
          <w:spacing w:val="-2"/>
          <w:sz w:val="24"/>
        </w:rPr>
        <w:t> </w:t>
      </w:r>
      <w:r>
        <w:rPr>
          <w:sz w:val="24"/>
        </w:rPr>
        <w:t>remitted</w:t>
      </w:r>
      <w:r>
        <w:rPr>
          <w:spacing w:val="-1"/>
          <w:sz w:val="24"/>
        </w:rPr>
        <w:t> </w:t>
      </w:r>
      <w:r>
        <w:rPr>
          <w:sz w:val="24"/>
        </w:rPr>
        <w:t>back</w:t>
      </w:r>
      <w:r>
        <w:rPr>
          <w:spacing w:val="-2"/>
          <w:sz w:val="24"/>
        </w:rPr>
        <w:t> </w:t>
      </w:r>
      <w:r>
        <w:rPr>
          <w:sz w:val="24"/>
        </w:rPr>
        <w:t>to</w:t>
      </w:r>
      <w:r>
        <w:rPr>
          <w:spacing w:val="-2"/>
          <w:sz w:val="24"/>
        </w:rPr>
        <w:t> </w:t>
      </w:r>
      <w:r>
        <w:rPr>
          <w:sz w:val="24"/>
        </w:rPr>
        <w:t>the</w:t>
      </w:r>
      <w:r>
        <w:rPr>
          <w:spacing w:val="-3"/>
          <w:sz w:val="24"/>
        </w:rPr>
        <w:t> </w:t>
      </w:r>
      <w:r>
        <w:rPr>
          <w:sz w:val="24"/>
        </w:rPr>
        <w:t>employer</w:t>
      </w:r>
      <w:r>
        <w:rPr>
          <w:spacing w:val="-2"/>
          <w:sz w:val="24"/>
        </w:rPr>
        <w:t> </w:t>
      </w:r>
      <w:r>
        <w:rPr>
          <w:sz w:val="24"/>
        </w:rPr>
        <w:t>for</w:t>
      </w:r>
      <w:r>
        <w:rPr>
          <w:spacing w:val="-2"/>
          <w:sz w:val="24"/>
        </w:rPr>
        <w:t> </w:t>
      </w:r>
      <w:r>
        <w:rPr>
          <w:sz w:val="24"/>
        </w:rPr>
        <w:t>a</w:t>
      </w:r>
      <w:r>
        <w:rPr>
          <w:spacing w:val="-2"/>
          <w:sz w:val="24"/>
        </w:rPr>
        <w:t> </w:t>
      </w:r>
      <w:r>
        <w:rPr>
          <w:sz w:val="24"/>
        </w:rPr>
        <w:t>hearing</w:t>
      </w:r>
      <w:r>
        <w:rPr>
          <w:spacing w:val="-5"/>
          <w:sz w:val="24"/>
        </w:rPr>
        <w:t> </w:t>
      </w:r>
      <w:r>
        <w:rPr>
          <w:sz w:val="24"/>
        </w:rPr>
        <w:t>de</w:t>
      </w:r>
      <w:r>
        <w:rPr>
          <w:spacing w:val="-3"/>
          <w:sz w:val="24"/>
        </w:rPr>
        <w:t> </w:t>
      </w:r>
      <w:r>
        <w:rPr>
          <w:sz w:val="24"/>
        </w:rPr>
        <w:t>novo</w:t>
      </w:r>
      <w:r>
        <w:rPr>
          <w:spacing w:val="40"/>
          <w:sz w:val="24"/>
        </w:rPr>
        <w:t> </w:t>
      </w:r>
      <w:r>
        <w:rPr>
          <w:sz w:val="24"/>
        </w:rPr>
        <w:t>in</w:t>
      </w:r>
      <w:r>
        <w:rPr>
          <w:spacing w:val="-2"/>
          <w:sz w:val="24"/>
        </w:rPr>
        <w:t> </w:t>
      </w:r>
      <w:r>
        <w:rPr>
          <w:sz w:val="24"/>
        </w:rPr>
        <w:t>a</w:t>
      </w:r>
      <w:r>
        <w:rPr>
          <w:spacing w:val="-2"/>
          <w:sz w:val="24"/>
        </w:rPr>
        <w:t> </w:t>
      </w:r>
      <w:r>
        <w:rPr>
          <w:sz w:val="24"/>
        </w:rPr>
        <w:t>procedurally correct manner.</w:t>
      </w:r>
    </w:p>
    <w:p>
      <w:pPr>
        <w:pStyle w:val="ListParagraph"/>
        <w:numPr>
          <w:ilvl w:val="0"/>
          <w:numId w:val="2"/>
        </w:numPr>
        <w:tabs>
          <w:tab w:pos="742" w:val="left" w:leader="none"/>
        </w:tabs>
        <w:spacing w:line="240" w:lineRule="auto" w:before="0" w:after="0"/>
        <w:ind w:left="742" w:right="0" w:hanging="359"/>
        <w:jc w:val="left"/>
        <w:rPr>
          <w:sz w:val="24"/>
        </w:rPr>
      </w:pPr>
      <w:r>
        <w:rPr>
          <w:sz w:val="24"/>
        </w:rPr>
        <w:t>Respondent</w:t>
      </w:r>
      <w:r>
        <w:rPr>
          <w:spacing w:val="-2"/>
          <w:sz w:val="24"/>
        </w:rPr>
        <w:t> </w:t>
      </w:r>
      <w:r>
        <w:rPr>
          <w:sz w:val="24"/>
        </w:rPr>
        <w:t>bears</w:t>
      </w:r>
      <w:r>
        <w:rPr>
          <w:spacing w:val="-1"/>
          <w:sz w:val="24"/>
        </w:rPr>
        <w:t> </w:t>
      </w:r>
      <w:r>
        <w:rPr>
          <w:sz w:val="24"/>
        </w:rPr>
        <w:t>the </w:t>
      </w:r>
      <w:r>
        <w:rPr>
          <w:spacing w:val="-2"/>
          <w:sz w:val="24"/>
        </w:rPr>
        <w:t>costs.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48"/>
      </w:pPr>
    </w:p>
    <w:p>
      <w:pPr>
        <w:spacing w:before="0"/>
        <w:ind w:left="383" w:right="0" w:firstLine="0"/>
        <w:jc w:val="left"/>
        <w:rPr>
          <w:b/>
          <w:sz w:val="24"/>
        </w:rPr>
      </w:pPr>
      <w:r>
        <w:rPr>
          <w:b/>
          <w:sz w:val="24"/>
        </w:rPr>
        <w:t>MAGOGE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LAW,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RESPONDENT’S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LEGAL </w:t>
      </w:r>
      <w:r>
        <w:rPr>
          <w:b/>
          <w:spacing w:val="-2"/>
          <w:sz w:val="24"/>
        </w:rPr>
        <w:t>PRACTITIONERS.</w:t>
      </w:r>
    </w:p>
    <w:p>
      <w:pPr>
        <w:pStyle w:val="BodyText"/>
        <w:spacing w:before="114"/>
        <w:rPr>
          <w:b/>
          <w:sz w:val="20"/>
        </w:rPr>
      </w:pPr>
      <w:r>
        <w:rPr>
          <w:b/>
          <w:sz w:val="20"/>
        </w:rPr>
        <w:drawing>
          <wp:anchor distT="0" distB="0" distL="0" distR="0" allowOverlap="1" layoutInCell="1" locked="0" behindDoc="1" simplePos="0" relativeHeight="487587840">
            <wp:simplePos x="0" y="0"/>
            <wp:positionH relativeFrom="page">
              <wp:posOffset>1420367</wp:posOffset>
            </wp:positionH>
            <wp:positionV relativeFrom="paragraph">
              <wp:posOffset>233848</wp:posOffset>
            </wp:positionV>
            <wp:extent cx="3592438" cy="1298257"/>
            <wp:effectExtent l="0" t="0" r="0" b="0"/>
            <wp:wrapTopAndBottom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92438" cy="12982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10" w:h="16840"/>
      <w:pgMar w:header="751" w:footer="0" w:top="1340" w:bottom="280" w:left="1417" w:right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libri">
    <w:altName w:val="Calibri"/>
    <w:charset w:val="1"/>
    <w:family w:val="roman"/>
    <w:pitch w:val="variable"/>
  </w:font>
</w:fonts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32544">
              <wp:simplePos x="0" y="0"/>
              <wp:positionH relativeFrom="page">
                <wp:posOffset>6539230</wp:posOffset>
              </wp:positionH>
              <wp:positionV relativeFrom="page">
                <wp:posOffset>464311</wp:posOffset>
              </wp:positionV>
              <wp:extent cx="160020" cy="165735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16002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45" w:lineRule="exact" w:before="0"/>
                            <w:ind w:left="60" w:right="0" w:firstLine="0"/>
                            <w:jc w:val="left"/>
                            <w:rPr>
                              <w:rFonts w:ascii="Calibri"/>
                              <w:sz w:val="22"/>
                            </w:rPr>
                          </w:pPr>
                          <w:r>
                            <w:rPr>
                              <w:rFonts w:ascii="Calibri"/>
                              <w:spacing w:val="-10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10"/>
                              <w:sz w:val="22"/>
                            </w:rPr>
                            <w:instrText> PAGE </w:instrText>
                          </w:r>
                          <w:r>
                            <w:rPr>
                              <w:rFonts w:ascii="Calibri"/>
                              <w:spacing w:val="-10"/>
                              <w:sz w:val="22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spacing w:val="-10"/>
                              <w:sz w:val="22"/>
                            </w:rPr>
                            <w:t>1</w:t>
                          </w:r>
                          <w:r>
                            <w:rPr>
                              <w:rFonts w:ascii="Calibri"/>
                              <w:spacing w:val="-10"/>
                              <w:sz w:val="22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514.900024pt;margin-top:36.559982pt;width:12.6pt;height:13.05pt;mso-position-horizontal-relative:page;mso-position-vertical-relative:page;z-index:-15783936" type="#_x0000_t202" id="docshape1" filled="false" stroked="false">
              <v:textbox inset="0,0,0,0">
                <w:txbxContent>
                  <w:p>
                    <w:pPr>
                      <w:spacing w:line="245" w:lineRule="exact" w:before="0"/>
                      <w:ind w:left="60" w:right="0" w:firstLine="0"/>
                      <w:jc w:val="left"/>
                      <w:rPr>
                        <w:rFonts w:ascii="Calibri"/>
                        <w:sz w:val="22"/>
                      </w:rPr>
                    </w:pPr>
                    <w:r>
                      <w:rPr>
                        <w:rFonts w:ascii="Calibri"/>
                        <w:spacing w:val="-10"/>
                        <w:sz w:val="22"/>
                      </w:rPr>
                      <w:fldChar w:fldCharType="begin"/>
                    </w:r>
                    <w:r>
                      <w:rPr>
                        <w:rFonts w:ascii="Calibri"/>
                        <w:spacing w:val="-10"/>
                        <w:sz w:val="22"/>
                      </w:rPr>
                      <w:instrText> PAGE </w:instrText>
                    </w:r>
                    <w:r>
                      <w:rPr>
                        <w:rFonts w:ascii="Calibri"/>
                        <w:spacing w:val="-10"/>
                        <w:sz w:val="22"/>
                      </w:rPr>
                      <w:fldChar w:fldCharType="separate"/>
                    </w:r>
                    <w:r>
                      <w:rPr>
                        <w:rFonts w:ascii="Calibri"/>
                        <w:spacing w:val="-10"/>
                        <w:sz w:val="22"/>
                      </w:rPr>
                      <w:t>1</w:t>
                    </w:r>
                    <w:r>
                      <w:rPr>
                        <w:rFonts w:ascii="Calibri"/>
                        <w:spacing w:val="-10"/>
                        <w:sz w:val="22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1"/>
      <w:numFmt w:val="decimal"/>
      <w:lvlText w:val="%1."/>
      <w:lvlJc w:val="left"/>
      <w:pPr>
        <w:ind w:left="743" w:hanging="36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644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548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452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356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26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164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068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973" w:hanging="360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1"/>
      <w:numFmt w:val="lowerLetter"/>
      <w:lvlText w:val="(%1)"/>
      <w:lvlJc w:val="left"/>
      <w:pPr>
        <w:ind w:left="743" w:hanging="32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-2"/>
        <w:w w:val="100"/>
        <w:sz w:val="24"/>
        <w:szCs w:val="24"/>
        <w:lang w:val="en-US" w:eastAsia="en-US" w:bidi="ar-SA"/>
      </w:rPr>
    </w:lvl>
    <w:lvl w:ilvl="1">
      <w:start w:val="1"/>
      <w:numFmt w:val="lowerRoman"/>
      <w:lvlText w:val="(%2)"/>
      <w:lvlJc w:val="left"/>
      <w:pPr>
        <w:ind w:left="1028" w:hanging="286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993" w:hanging="286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966" w:hanging="286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940" w:hanging="286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913" w:hanging="286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887" w:hanging="286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860" w:hanging="286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834" w:hanging="286"/>
      </w:pPr>
      <w:rPr>
        <w:rFonts w:hint="default"/>
        <w:lang w:val="en-US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743" w:hanging="360"/>
    </w:pPr>
    <w:rPr>
      <w:rFonts w:ascii="Times New Roman" w:hAnsi="Times New Roman" w:eastAsia="Times New Roman" w:cs="Times New Roman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image" Target="media/image1.png"/><Relationship Id="rId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Euna Makamure</dc:creator>
  <dcterms:created xsi:type="dcterms:W3CDTF">2025-05-23T14:23:36Z</dcterms:created>
  <dcterms:modified xsi:type="dcterms:W3CDTF">2025-05-23T14:23:36Z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2025-05-14T00:00:00Z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2025-05-23T00:00:00Z</vt:filetime>
  </property>
  <property fmtid="{D5CDD505-2E9C-101B-9397-08002B2CF9AE}" pid="5" name="Producer">
    <vt:lpwstr>䵩捲潳潦璮⁗潲搠㈰ㄹ㬠浯摩晩敤⁵獩湧⁩呥硴′⸱⸷⁢礠ㅔ㍘吀</vt:lpwstr>
  </property>
</Properties>
</file>