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3ED79A" w14:textId="7A7F8442" w:rsidR="00020EF3" w:rsidRDefault="00F65E52" w:rsidP="00F65E52">
      <w:pPr>
        <w:spacing w:after="0"/>
        <w:rPr>
          <w:rFonts w:ascii="Times New Roman" w:hAnsi="Times New Roman" w:cs="Times New Roman"/>
          <w:sz w:val="24"/>
          <w:szCs w:val="24"/>
          <w:lang w:val="en-US"/>
        </w:rPr>
      </w:pPr>
      <w:bookmarkStart w:id="0" w:name="_GoBack"/>
      <w:bookmarkEnd w:id="0"/>
      <w:r w:rsidRPr="00F65E52">
        <w:rPr>
          <w:rFonts w:ascii="Times New Roman" w:hAnsi="Times New Roman" w:cs="Times New Roman"/>
          <w:sz w:val="24"/>
          <w:szCs w:val="24"/>
          <w:lang w:val="en-US"/>
        </w:rPr>
        <w:t xml:space="preserve">W &amp; E SILKS </w:t>
      </w:r>
      <w:r>
        <w:rPr>
          <w:rFonts w:ascii="Times New Roman" w:hAnsi="Times New Roman" w:cs="Times New Roman"/>
          <w:sz w:val="24"/>
          <w:szCs w:val="24"/>
          <w:lang w:val="en-US"/>
        </w:rPr>
        <w:t>(PRIVATE) LIMITED</w:t>
      </w:r>
    </w:p>
    <w:p w14:paraId="0901D02A" w14:textId="0904A405" w:rsidR="00F65E52" w:rsidRDefault="00F65E52" w:rsidP="00F65E52">
      <w:pPr>
        <w:spacing w:after="0"/>
        <w:rPr>
          <w:rFonts w:ascii="Times New Roman" w:hAnsi="Times New Roman" w:cs="Times New Roman"/>
          <w:sz w:val="24"/>
          <w:szCs w:val="24"/>
          <w:lang w:val="en-US"/>
        </w:rPr>
      </w:pPr>
      <w:r>
        <w:rPr>
          <w:rFonts w:ascii="Times New Roman" w:hAnsi="Times New Roman" w:cs="Times New Roman"/>
          <w:sz w:val="24"/>
          <w:szCs w:val="24"/>
          <w:lang w:val="en-US"/>
        </w:rPr>
        <w:t>versus</w:t>
      </w:r>
    </w:p>
    <w:p w14:paraId="31C47CFD" w14:textId="1583775B" w:rsidR="00F65E52" w:rsidRDefault="00F65E52" w:rsidP="00F65E52">
      <w:pPr>
        <w:spacing w:after="0"/>
        <w:rPr>
          <w:rFonts w:ascii="Times New Roman" w:hAnsi="Times New Roman" w:cs="Times New Roman"/>
          <w:sz w:val="24"/>
          <w:szCs w:val="24"/>
          <w:lang w:val="en-US"/>
        </w:rPr>
      </w:pPr>
      <w:r>
        <w:rPr>
          <w:rFonts w:ascii="Times New Roman" w:hAnsi="Times New Roman" w:cs="Times New Roman"/>
          <w:sz w:val="24"/>
          <w:szCs w:val="24"/>
          <w:lang w:val="en-US"/>
        </w:rPr>
        <w:t>FYNATEX DISTRIBUTORS (PRIVATE) LIMITED</w:t>
      </w:r>
    </w:p>
    <w:p w14:paraId="6F868D1C" w14:textId="17E06E13" w:rsidR="00F65E52" w:rsidRDefault="00F65E52" w:rsidP="00F65E52">
      <w:pPr>
        <w:spacing w:after="0"/>
        <w:rPr>
          <w:rFonts w:ascii="Times New Roman" w:hAnsi="Times New Roman" w:cs="Times New Roman"/>
          <w:sz w:val="24"/>
          <w:szCs w:val="24"/>
          <w:lang w:val="en-US"/>
        </w:rPr>
      </w:pPr>
    </w:p>
    <w:p w14:paraId="17EB8EF8" w14:textId="42D87F2F" w:rsidR="00F65E52" w:rsidRDefault="00F65E52" w:rsidP="00F65E52">
      <w:pPr>
        <w:spacing w:after="0"/>
        <w:rPr>
          <w:rFonts w:ascii="Times New Roman" w:hAnsi="Times New Roman" w:cs="Times New Roman"/>
          <w:sz w:val="24"/>
          <w:szCs w:val="24"/>
          <w:lang w:val="en-US"/>
        </w:rPr>
      </w:pPr>
    </w:p>
    <w:p w14:paraId="069405AB" w14:textId="079D2200" w:rsidR="00F65E52" w:rsidRDefault="00F65E52" w:rsidP="00F65E52">
      <w:pPr>
        <w:spacing w:after="0"/>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322E0C21" w14:textId="134EDE14" w:rsidR="00F65E52" w:rsidRDefault="00F65E52" w:rsidP="00F65E52">
      <w:pPr>
        <w:spacing w:after="0"/>
        <w:rPr>
          <w:rFonts w:ascii="Times New Roman" w:hAnsi="Times New Roman" w:cs="Times New Roman"/>
          <w:sz w:val="24"/>
          <w:szCs w:val="24"/>
          <w:lang w:val="en-US"/>
        </w:rPr>
      </w:pPr>
      <w:r>
        <w:rPr>
          <w:rFonts w:ascii="Times New Roman" w:hAnsi="Times New Roman" w:cs="Times New Roman"/>
          <w:sz w:val="24"/>
          <w:szCs w:val="24"/>
          <w:lang w:val="en-US"/>
        </w:rPr>
        <w:t>CHITAPI J</w:t>
      </w:r>
    </w:p>
    <w:p w14:paraId="53AA5631" w14:textId="07308B75" w:rsidR="00F65E52" w:rsidRDefault="00F65E52" w:rsidP="00F65E52">
      <w:pPr>
        <w:spacing w:after="0"/>
        <w:rPr>
          <w:rFonts w:ascii="Times New Roman" w:hAnsi="Times New Roman" w:cs="Times New Roman"/>
          <w:sz w:val="24"/>
          <w:szCs w:val="24"/>
          <w:lang w:val="en-US"/>
        </w:rPr>
      </w:pPr>
      <w:r>
        <w:rPr>
          <w:rFonts w:ascii="Times New Roman" w:hAnsi="Times New Roman" w:cs="Times New Roman"/>
          <w:sz w:val="24"/>
          <w:szCs w:val="24"/>
          <w:lang w:val="en-US"/>
        </w:rPr>
        <w:t>HARARE, 21 January 2022 and</w:t>
      </w:r>
      <w:r w:rsidR="00AE6E0A">
        <w:rPr>
          <w:rFonts w:ascii="Times New Roman" w:hAnsi="Times New Roman" w:cs="Times New Roman"/>
          <w:sz w:val="24"/>
          <w:szCs w:val="24"/>
          <w:lang w:val="en-US"/>
        </w:rPr>
        <w:t xml:space="preserve"> 1</w:t>
      </w:r>
      <w:r w:rsidR="00A10E67">
        <w:rPr>
          <w:rFonts w:ascii="Times New Roman" w:hAnsi="Times New Roman" w:cs="Times New Roman"/>
          <w:sz w:val="24"/>
          <w:szCs w:val="24"/>
          <w:lang w:val="en-US"/>
        </w:rPr>
        <w:t xml:space="preserve">5 </w:t>
      </w:r>
      <w:r>
        <w:rPr>
          <w:rFonts w:ascii="Times New Roman" w:hAnsi="Times New Roman" w:cs="Times New Roman"/>
          <w:sz w:val="24"/>
          <w:szCs w:val="24"/>
          <w:lang w:val="en-US"/>
        </w:rPr>
        <w:t>Ma</w:t>
      </w:r>
      <w:r w:rsidR="00AE6E0A">
        <w:rPr>
          <w:rFonts w:ascii="Times New Roman" w:hAnsi="Times New Roman" w:cs="Times New Roman"/>
          <w:sz w:val="24"/>
          <w:szCs w:val="24"/>
          <w:lang w:val="en-US"/>
        </w:rPr>
        <w:t>y</w:t>
      </w:r>
      <w:r>
        <w:rPr>
          <w:rFonts w:ascii="Times New Roman" w:hAnsi="Times New Roman" w:cs="Times New Roman"/>
          <w:sz w:val="24"/>
          <w:szCs w:val="24"/>
          <w:lang w:val="en-US"/>
        </w:rPr>
        <w:t xml:space="preserve"> 2023</w:t>
      </w:r>
    </w:p>
    <w:p w14:paraId="20A8D081" w14:textId="0753AF45" w:rsidR="00F65E52" w:rsidRDefault="00F65E52" w:rsidP="00F65E52">
      <w:pPr>
        <w:spacing w:after="0"/>
        <w:rPr>
          <w:rFonts w:ascii="Times New Roman" w:hAnsi="Times New Roman" w:cs="Times New Roman"/>
          <w:sz w:val="24"/>
          <w:szCs w:val="24"/>
          <w:lang w:val="en-US"/>
        </w:rPr>
      </w:pPr>
    </w:p>
    <w:p w14:paraId="3077ABB4" w14:textId="7A02F6B9" w:rsidR="00F65E52" w:rsidRDefault="00F65E52" w:rsidP="00F65E52">
      <w:pPr>
        <w:spacing w:after="0"/>
        <w:rPr>
          <w:rFonts w:ascii="Times New Roman" w:hAnsi="Times New Roman" w:cs="Times New Roman"/>
          <w:sz w:val="24"/>
          <w:szCs w:val="24"/>
          <w:lang w:val="en-US"/>
        </w:rPr>
      </w:pPr>
    </w:p>
    <w:p w14:paraId="5EC00B58" w14:textId="4E9240FB" w:rsidR="00F65E52" w:rsidRPr="00F65E52" w:rsidRDefault="00F65E52" w:rsidP="00F65E52">
      <w:pPr>
        <w:spacing w:after="0"/>
        <w:rPr>
          <w:rFonts w:ascii="Times New Roman" w:hAnsi="Times New Roman" w:cs="Times New Roman"/>
          <w:b/>
          <w:bCs/>
          <w:sz w:val="24"/>
          <w:szCs w:val="24"/>
          <w:lang w:val="en-US"/>
        </w:rPr>
      </w:pPr>
      <w:r w:rsidRPr="00F65E52">
        <w:rPr>
          <w:rFonts w:ascii="Times New Roman" w:hAnsi="Times New Roman" w:cs="Times New Roman"/>
          <w:b/>
          <w:bCs/>
          <w:sz w:val="24"/>
          <w:szCs w:val="24"/>
          <w:lang w:val="en-US"/>
        </w:rPr>
        <w:t>Opposed Chamber Application for Leave to Execute Pending Appeal</w:t>
      </w:r>
    </w:p>
    <w:p w14:paraId="5BD3A962" w14:textId="565D26DE" w:rsidR="00F65E52" w:rsidRDefault="00F65E52" w:rsidP="00F65E52">
      <w:pPr>
        <w:spacing w:after="0"/>
        <w:rPr>
          <w:rFonts w:ascii="Times New Roman" w:hAnsi="Times New Roman" w:cs="Times New Roman"/>
          <w:sz w:val="24"/>
          <w:szCs w:val="24"/>
          <w:lang w:val="en-US"/>
        </w:rPr>
      </w:pPr>
    </w:p>
    <w:p w14:paraId="4EA9001E" w14:textId="77777777" w:rsidR="00F65E52" w:rsidRDefault="00F65E52" w:rsidP="00F65E52">
      <w:pPr>
        <w:spacing w:after="0"/>
        <w:rPr>
          <w:rFonts w:ascii="Times New Roman" w:hAnsi="Times New Roman" w:cs="Times New Roman"/>
          <w:sz w:val="24"/>
          <w:szCs w:val="24"/>
          <w:lang w:val="en-US"/>
        </w:rPr>
      </w:pPr>
    </w:p>
    <w:p w14:paraId="04370772" w14:textId="0AE9F717" w:rsidR="00F65E52" w:rsidRDefault="00F65E52" w:rsidP="00F65E52">
      <w:pPr>
        <w:spacing w:after="0"/>
        <w:rPr>
          <w:rFonts w:ascii="Times New Roman" w:hAnsi="Times New Roman" w:cs="Times New Roman"/>
          <w:sz w:val="24"/>
          <w:szCs w:val="24"/>
          <w:lang w:val="en-US"/>
        </w:rPr>
      </w:pPr>
      <w:r w:rsidRPr="0000534F">
        <w:rPr>
          <w:rFonts w:ascii="Times New Roman" w:hAnsi="Times New Roman" w:cs="Times New Roman"/>
          <w:i/>
          <w:iCs/>
          <w:sz w:val="24"/>
          <w:szCs w:val="24"/>
          <w:lang w:val="en-US"/>
        </w:rPr>
        <w:t xml:space="preserve">E </w:t>
      </w:r>
      <w:proofErr w:type="spellStart"/>
      <w:r w:rsidRPr="0000534F">
        <w:rPr>
          <w:rFonts w:ascii="Times New Roman" w:hAnsi="Times New Roman" w:cs="Times New Roman"/>
          <w:i/>
          <w:iCs/>
          <w:sz w:val="24"/>
          <w:szCs w:val="24"/>
          <w:lang w:val="en-US"/>
        </w:rPr>
        <w:t>Mubayiwa</w:t>
      </w:r>
      <w:proofErr w:type="spellEnd"/>
      <w:r>
        <w:rPr>
          <w:rFonts w:ascii="Times New Roman" w:hAnsi="Times New Roman" w:cs="Times New Roman"/>
          <w:sz w:val="24"/>
          <w:szCs w:val="24"/>
          <w:lang w:val="en-US"/>
        </w:rPr>
        <w:t>, for the applicant</w:t>
      </w:r>
    </w:p>
    <w:p w14:paraId="4CB8E7A6" w14:textId="0705125B" w:rsidR="00F65E52" w:rsidRDefault="00F65E52" w:rsidP="00F65E52">
      <w:pPr>
        <w:spacing w:after="0"/>
        <w:rPr>
          <w:rFonts w:ascii="Times New Roman" w:hAnsi="Times New Roman" w:cs="Times New Roman"/>
          <w:sz w:val="24"/>
          <w:szCs w:val="24"/>
          <w:lang w:val="en-US"/>
        </w:rPr>
      </w:pPr>
      <w:r w:rsidRPr="0000534F">
        <w:rPr>
          <w:rFonts w:ascii="Times New Roman" w:hAnsi="Times New Roman" w:cs="Times New Roman"/>
          <w:i/>
          <w:iCs/>
          <w:sz w:val="24"/>
          <w:szCs w:val="24"/>
          <w:lang w:val="en-US"/>
        </w:rPr>
        <w:t xml:space="preserve">T </w:t>
      </w:r>
      <w:proofErr w:type="spellStart"/>
      <w:r w:rsidRPr="0000534F">
        <w:rPr>
          <w:rFonts w:ascii="Times New Roman" w:hAnsi="Times New Roman" w:cs="Times New Roman"/>
          <w:i/>
          <w:iCs/>
          <w:sz w:val="24"/>
          <w:szCs w:val="24"/>
          <w:lang w:val="en-US"/>
        </w:rPr>
        <w:t>Mjungwa</w:t>
      </w:r>
      <w:proofErr w:type="spellEnd"/>
      <w:r>
        <w:rPr>
          <w:rFonts w:ascii="Times New Roman" w:hAnsi="Times New Roman" w:cs="Times New Roman"/>
          <w:sz w:val="24"/>
          <w:szCs w:val="24"/>
          <w:lang w:val="en-US"/>
        </w:rPr>
        <w:t>, for the respondent</w:t>
      </w:r>
    </w:p>
    <w:p w14:paraId="689DD85D" w14:textId="0A82678B" w:rsidR="00F65E52" w:rsidRDefault="00F65E52" w:rsidP="00F65E52">
      <w:pPr>
        <w:spacing w:after="0"/>
        <w:rPr>
          <w:rFonts w:ascii="Times New Roman" w:hAnsi="Times New Roman" w:cs="Times New Roman"/>
          <w:sz w:val="24"/>
          <w:szCs w:val="24"/>
          <w:lang w:val="en-US"/>
        </w:rPr>
      </w:pPr>
    </w:p>
    <w:p w14:paraId="47CAE75C" w14:textId="4E1A802D" w:rsidR="00F65E52" w:rsidRDefault="00F65E52" w:rsidP="00F65E52">
      <w:pPr>
        <w:spacing w:after="0" w:line="360" w:lineRule="auto"/>
        <w:rPr>
          <w:rFonts w:ascii="Times New Roman" w:hAnsi="Times New Roman" w:cs="Times New Roman"/>
          <w:sz w:val="24"/>
          <w:szCs w:val="24"/>
          <w:lang w:val="en-US"/>
        </w:rPr>
      </w:pPr>
    </w:p>
    <w:p w14:paraId="69B40A53" w14:textId="04A565EE" w:rsidR="00F65E52" w:rsidRDefault="00F65E52" w:rsidP="00F65E52">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CHITAPI J:</w:t>
      </w:r>
      <w:r>
        <w:rPr>
          <w:rFonts w:ascii="Times New Roman" w:hAnsi="Times New Roman" w:cs="Times New Roman"/>
          <w:sz w:val="24"/>
          <w:szCs w:val="24"/>
          <w:lang w:val="en-US"/>
        </w:rPr>
        <w:tab/>
        <w:t>The applicant is the owner of a property called Shop No. 1</w:t>
      </w:r>
      <w:r w:rsidR="007B5222">
        <w:rPr>
          <w:rFonts w:ascii="Times New Roman" w:hAnsi="Times New Roman" w:cs="Times New Roman"/>
          <w:sz w:val="24"/>
          <w:szCs w:val="24"/>
          <w:lang w:val="en-US"/>
        </w:rPr>
        <w:t>,</w:t>
      </w:r>
      <w:r>
        <w:rPr>
          <w:rFonts w:ascii="Times New Roman" w:hAnsi="Times New Roman" w:cs="Times New Roman"/>
          <w:sz w:val="24"/>
          <w:szCs w:val="24"/>
          <w:lang w:val="en-US"/>
        </w:rPr>
        <w:t xml:space="preserve"> 32 Julius Nyerere Way, Harare.  It leased the property to the respondent by written lease agreement executed on 17 January 2018 due for termination on 31 March 2018.  Upon the expiry of the lease agreement, the applicant sought the </w:t>
      </w:r>
      <w:r w:rsidR="00AE6E0A">
        <w:rPr>
          <w:rFonts w:ascii="Times New Roman" w:hAnsi="Times New Roman" w:cs="Times New Roman"/>
          <w:sz w:val="24"/>
          <w:szCs w:val="24"/>
          <w:lang w:val="en-US"/>
        </w:rPr>
        <w:t>evic</w:t>
      </w:r>
      <w:r>
        <w:rPr>
          <w:rFonts w:ascii="Times New Roman" w:hAnsi="Times New Roman" w:cs="Times New Roman"/>
          <w:sz w:val="24"/>
          <w:szCs w:val="24"/>
          <w:lang w:val="en-US"/>
        </w:rPr>
        <w:t>tion of the respondent and an order to confirm the cancellation of the agreement.</w:t>
      </w:r>
      <w:r w:rsidR="002C2112">
        <w:rPr>
          <w:rFonts w:ascii="Times New Roman" w:hAnsi="Times New Roman" w:cs="Times New Roman"/>
          <w:sz w:val="24"/>
          <w:szCs w:val="24"/>
          <w:lang w:val="en-US"/>
        </w:rPr>
        <w:t xml:space="preserve">  The applicant also pleaded that it required the leased premises for its own use.</w:t>
      </w:r>
    </w:p>
    <w:p w14:paraId="5206818E" w14:textId="14FA9204" w:rsidR="002C2112" w:rsidRDefault="002C2112" w:rsidP="00F65E52">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Consequent on the judgment being delivered, the respondent noted an appeal to the Supreme Court on &amp; October 2021.  The appeal </w:t>
      </w:r>
      <w:r w:rsidR="00AE6E0A">
        <w:rPr>
          <w:rFonts w:ascii="Times New Roman" w:hAnsi="Times New Roman" w:cs="Times New Roman"/>
          <w:sz w:val="24"/>
          <w:szCs w:val="24"/>
          <w:lang w:val="en-US"/>
        </w:rPr>
        <w:t>i</w:t>
      </w:r>
      <w:r>
        <w:rPr>
          <w:rFonts w:ascii="Times New Roman" w:hAnsi="Times New Roman" w:cs="Times New Roman"/>
          <w:sz w:val="24"/>
          <w:szCs w:val="24"/>
          <w:lang w:val="en-US"/>
        </w:rPr>
        <w:t>s pending determination in the Supreme Court under case No. SC 377/21.  The appeal is based on three grounds of appeal as set out in the notice of appeal as follows:</w:t>
      </w:r>
    </w:p>
    <w:p w14:paraId="58B38915" w14:textId="30CC882C" w:rsidR="002C2112" w:rsidRPr="00D87319" w:rsidRDefault="002C2112" w:rsidP="00D87319">
      <w:pPr>
        <w:spacing w:after="0" w:line="240" w:lineRule="auto"/>
        <w:jc w:val="both"/>
        <w:rPr>
          <w:rFonts w:ascii="Times New Roman" w:hAnsi="Times New Roman" w:cs="Times New Roman"/>
          <w:lang w:val="en-US"/>
        </w:rPr>
      </w:pPr>
      <w:r>
        <w:rPr>
          <w:rFonts w:ascii="Times New Roman" w:hAnsi="Times New Roman" w:cs="Times New Roman"/>
          <w:sz w:val="24"/>
          <w:szCs w:val="24"/>
          <w:lang w:val="en-US"/>
        </w:rPr>
        <w:tab/>
      </w:r>
      <w:r w:rsidRPr="00D87319">
        <w:rPr>
          <w:rFonts w:ascii="Times New Roman" w:hAnsi="Times New Roman" w:cs="Times New Roman"/>
          <w:lang w:val="en-US"/>
        </w:rPr>
        <w:t>“GROUNDS OF APPEAL</w:t>
      </w:r>
    </w:p>
    <w:p w14:paraId="3190DA6D" w14:textId="18D1C29C" w:rsidR="002C2112" w:rsidRPr="00D87319" w:rsidRDefault="002C2112" w:rsidP="00D87319">
      <w:pPr>
        <w:pStyle w:val="ListParagraph"/>
        <w:numPr>
          <w:ilvl w:val="0"/>
          <w:numId w:val="1"/>
        </w:numPr>
        <w:spacing w:after="0" w:line="240" w:lineRule="auto"/>
        <w:jc w:val="both"/>
        <w:rPr>
          <w:rFonts w:ascii="Times New Roman" w:hAnsi="Times New Roman" w:cs="Times New Roman"/>
          <w:lang w:val="en-US"/>
        </w:rPr>
      </w:pPr>
      <w:r w:rsidRPr="00D87319">
        <w:rPr>
          <w:rFonts w:ascii="Times New Roman" w:hAnsi="Times New Roman" w:cs="Times New Roman"/>
          <w:lang w:val="en-US"/>
        </w:rPr>
        <w:t xml:space="preserve">The court </w:t>
      </w:r>
      <w:r w:rsidRPr="00D87319">
        <w:rPr>
          <w:rFonts w:ascii="Times New Roman" w:hAnsi="Times New Roman" w:cs="Times New Roman"/>
          <w:i/>
          <w:iCs/>
          <w:lang w:val="en-US"/>
        </w:rPr>
        <w:t>a quo</w:t>
      </w:r>
      <w:r w:rsidRPr="00D87319">
        <w:rPr>
          <w:rFonts w:ascii="Times New Roman" w:hAnsi="Times New Roman" w:cs="Times New Roman"/>
          <w:lang w:val="en-US"/>
        </w:rPr>
        <w:t xml:space="preserve"> erred and misdirected at law in not considering whether or not the lease agreement between the parties had been novated, despite this issue having been duly placed before the court </w:t>
      </w:r>
      <w:r w:rsidRPr="00D87319">
        <w:rPr>
          <w:rFonts w:ascii="Times New Roman" w:hAnsi="Times New Roman" w:cs="Times New Roman"/>
          <w:i/>
          <w:iCs/>
          <w:lang w:val="en-US"/>
        </w:rPr>
        <w:t>a quo</w:t>
      </w:r>
      <w:r w:rsidRPr="00D87319">
        <w:rPr>
          <w:rFonts w:ascii="Times New Roman" w:hAnsi="Times New Roman" w:cs="Times New Roman"/>
          <w:lang w:val="en-US"/>
        </w:rPr>
        <w:t xml:space="preserve"> by the appellant.</w:t>
      </w:r>
    </w:p>
    <w:p w14:paraId="4223A2AE" w14:textId="597F5328" w:rsidR="002C2112" w:rsidRPr="00D87319" w:rsidRDefault="002C2112" w:rsidP="00D87319">
      <w:pPr>
        <w:pStyle w:val="ListParagraph"/>
        <w:numPr>
          <w:ilvl w:val="0"/>
          <w:numId w:val="1"/>
        </w:numPr>
        <w:spacing w:after="0" w:line="240" w:lineRule="auto"/>
        <w:jc w:val="both"/>
        <w:rPr>
          <w:rFonts w:ascii="Times New Roman" w:hAnsi="Times New Roman" w:cs="Times New Roman"/>
          <w:lang w:val="en-US"/>
        </w:rPr>
      </w:pPr>
      <w:r w:rsidRPr="00D87319">
        <w:rPr>
          <w:rFonts w:ascii="Times New Roman" w:hAnsi="Times New Roman" w:cs="Times New Roman"/>
          <w:lang w:val="en-US"/>
        </w:rPr>
        <w:t xml:space="preserve">The court </w:t>
      </w:r>
      <w:r w:rsidRPr="005C4BCD">
        <w:rPr>
          <w:rFonts w:ascii="Times New Roman" w:hAnsi="Times New Roman" w:cs="Times New Roman"/>
          <w:i/>
          <w:iCs/>
          <w:lang w:val="en-US"/>
        </w:rPr>
        <w:t>a quo</w:t>
      </w:r>
      <w:r w:rsidRPr="00D87319">
        <w:rPr>
          <w:rFonts w:ascii="Times New Roman" w:hAnsi="Times New Roman" w:cs="Times New Roman"/>
          <w:lang w:val="en-US"/>
        </w:rPr>
        <w:t xml:space="preserve"> erred in founding the eviction of the appellant on the basis of statutory tenancy and late payment of rentals by the appellant, despite the respondent not having sought such relief before the trial court and having only sought the eviction of the appellant on the basis of the termination of the lease agreement by the effluxion of time.</w:t>
      </w:r>
    </w:p>
    <w:p w14:paraId="04A60FEF" w14:textId="2584E11E" w:rsidR="002C2112" w:rsidRPr="00D87319" w:rsidRDefault="002C2112" w:rsidP="00D87319">
      <w:pPr>
        <w:pStyle w:val="ListParagraph"/>
        <w:numPr>
          <w:ilvl w:val="0"/>
          <w:numId w:val="1"/>
        </w:numPr>
        <w:spacing w:after="0" w:line="240" w:lineRule="auto"/>
        <w:jc w:val="both"/>
        <w:rPr>
          <w:rFonts w:ascii="Times New Roman" w:hAnsi="Times New Roman" w:cs="Times New Roman"/>
          <w:lang w:val="en-US"/>
        </w:rPr>
      </w:pPr>
      <w:r w:rsidRPr="00D87319">
        <w:rPr>
          <w:rFonts w:ascii="Times New Roman" w:hAnsi="Times New Roman" w:cs="Times New Roman"/>
          <w:lang w:val="en-US"/>
        </w:rPr>
        <w:t xml:space="preserve">The court </w:t>
      </w:r>
      <w:r w:rsidRPr="00B53B72">
        <w:rPr>
          <w:rFonts w:ascii="Times New Roman" w:hAnsi="Times New Roman" w:cs="Times New Roman"/>
          <w:i/>
          <w:lang w:val="en-US"/>
        </w:rPr>
        <w:t>a quo</w:t>
      </w:r>
      <w:r w:rsidRPr="00D87319">
        <w:rPr>
          <w:rFonts w:ascii="Times New Roman" w:hAnsi="Times New Roman" w:cs="Times New Roman"/>
          <w:lang w:val="en-US"/>
        </w:rPr>
        <w:t xml:space="preserve"> erred and misdirected itself at law in find that the principle of substantial compliance does not apply to statutory tenancy, despite the principle being one that is applicable to all statutory enactments.”</w:t>
      </w:r>
    </w:p>
    <w:p w14:paraId="75BD03C0" w14:textId="613E9192" w:rsidR="002C2112" w:rsidRPr="00D87319" w:rsidRDefault="002C2112" w:rsidP="00D87319">
      <w:pPr>
        <w:spacing w:after="0" w:line="240" w:lineRule="auto"/>
        <w:ind w:left="720"/>
        <w:jc w:val="both"/>
        <w:rPr>
          <w:rFonts w:ascii="Times New Roman" w:hAnsi="Times New Roman" w:cs="Times New Roman"/>
          <w:lang w:val="en-US"/>
        </w:rPr>
      </w:pPr>
    </w:p>
    <w:p w14:paraId="3863888C" w14:textId="7D2B6353" w:rsidR="002C2112" w:rsidRDefault="002C2112" w:rsidP="00D8731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approach of the court in determining an application for leave to execute pending appeal is set out in several judgments of the superior courts of this jurisdiction.  In the case </w:t>
      </w:r>
      <w:r w:rsidRPr="00D87319">
        <w:rPr>
          <w:rFonts w:ascii="Times New Roman" w:hAnsi="Times New Roman" w:cs="Times New Roman"/>
          <w:i/>
          <w:iCs/>
          <w:sz w:val="24"/>
          <w:szCs w:val="24"/>
          <w:lang w:val="en-US"/>
        </w:rPr>
        <w:lastRenderedPageBreak/>
        <w:t>Zimbabwe Mining Development Corporation</w:t>
      </w:r>
      <w:r>
        <w:rPr>
          <w:rFonts w:ascii="Times New Roman" w:hAnsi="Times New Roman" w:cs="Times New Roman"/>
          <w:sz w:val="24"/>
          <w:szCs w:val="24"/>
          <w:lang w:val="en-US"/>
        </w:rPr>
        <w:t xml:space="preserve"> </w:t>
      </w:r>
      <w:r w:rsidRPr="00D87319">
        <w:rPr>
          <w:rFonts w:ascii="Times New Roman" w:hAnsi="Times New Roman" w:cs="Times New Roman"/>
          <w:i/>
          <w:iCs/>
          <w:sz w:val="24"/>
          <w:szCs w:val="24"/>
          <w:lang w:val="en-US"/>
        </w:rPr>
        <w:t>&amp; Anor</w:t>
      </w:r>
      <w:r>
        <w:rPr>
          <w:rFonts w:ascii="Times New Roman" w:hAnsi="Times New Roman" w:cs="Times New Roman"/>
          <w:sz w:val="24"/>
          <w:szCs w:val="24"/>
          <w:lang w:val="en-US"/>
        </w:rPr>
        <w:t xml:space="preserve"> v </w:t>
      </w:r>
      <w:r w:rsidRPr="00D87319">
        <w:rPr>
          <w:rFonts w:ascii="Times New Roman" w:hAnsi="Times New Roman" w:cs="Times New Roman"/>
          <w:i/>
          <w:iCs/>
          <w:sz w:val="24"/>
          <w:szCs w:val="24"/>
          <w:lang w:val="en-US"/>
        </w:rPr>
        <w:t xml:space="preserve">African Consolidated Resources PLC &amp; </w:t>
      </w:r>
      <w:proofErr w:type="spellStart"/>
      <w:r w:rsidRPr="00D87319">
        <w:rPr>
          <w:rFonts w:ascii="Times New Roman" w:hAnsi="Times New Roman" w:cs="Times New Roman"/>
          <w:i/>
          <w:iCs/>
          <w:sz w:val="24"/>
          <w:szCs w:val="24"/>
          <w:lang w:val="en-US"/>
        </w:rPr>
        <w:t>Ors</w:t>
      </w:r>
      <w:proofErr w:type="spellEnd"/>
      <w:r>
        <w:rPr>
          <w:rFonts w:ascii="Times New Roman" w:hAnsi="Times New Roman" w:cs="Times New Roman"/>
          <w:sz w:val="24"/>
          <w:szCs w:val="24"/>
          <w:lang w:val="en-US"/>
        </w:rPr>
        <w:t xml:space="preserve"> SC 1/10</w:t>
      </w:r>
      <w:r w:rsidR="00D87319">
        <w:rPr>
          <w:rFonts w:ascii="Times New Roman" w:hAnsi="Times New Roman" w:cs="Times New Roman"/>
          <w:sz w:val="24"/>
          <w:szCs w:val="24"/>
          <w:lang w:val="en-US"/>
        </w:rPr>
        <w:t>, it is stated:</w:t>
      </w:r>
    </w:p>
    <w:p w14:paraId="048E6616" w14:textId="0D54CBA8" w:rsidR="00D87319" w:rsidRPr="00930D22" w:rsidRDefault="00D87319" w:rsidP="001E2467">
      <w:pPr>
        <w:spacing w:after="0" w:line="240" w:lineRule="auto"/>
        <w:ind w:left="720"/>
        <w:jc w:val="both"/>
        <w:rPr>
          <w:rFonts w:ascii="Times New Roman" w:hAnsi="Times New Roman" w:cs="Times New Roman"/>
          <w:lang w:val="en-US"/>
        </w:rPr>
      </w:pPr>
      <w:r w:rsidRPr="00930D22">
        <w:rPr>
          <w:rFonts w:ascii="Times New Roman" w:hAnsi="Times New Roman" w:cs="Times New Roman"/>
          <w:lang w:val="en-US"/>
        </w:rPr>
        <w:t>“The court to which application for leave to execute is made has a wi</w:t>
      </w:r>
      <w:r w:rsidR="00AE6E0A">
        <w:rPr>
          <w:rFonts w:ascii="Times New Roman" w:hAnsi="Times New Roman" w:cs="Times New Roman"/>
          <w:lang w:val="en-US"/>
        </w:rPr>
        <w:t>d</w:t>
      </w:r>
      <w:r w:rsidRPr="00930D22">
        <w:rPr>
          <w:rFonts w:ascii="Times New Roman" w:hAnsi="Times New Roman" w:cs="Times New Roman"/>
          <w:lang w:val="en-US"/>
        </w:rPr>
        <w:t xml:space="preserve">e general discretion to grant or refuse leave, and if leave be granted, to determine the conditions upon which the right to execute shall be exercised (see </w:t>
      </w:r>
      <w:proofErr w:type="spellStart"/>
      <w:r w:rsidRPr="00930D22">
        <w:rPr>
          <w:rFonts w:ascii="Times New Roman" w:hAnsi="Times New Roman" w:cs="Times New Roman"/>
          <w:lang w:val="en-US"/>
        </w:rPr>
        <w:t>Voet</w:t>
      </w:r>
      <w:proofErr w:type="spellEnd"/>
      <w:r w:rsidRPr="00930D22">
        <w:rPr>
          <w:rFonts w:ascii="Times New Roman" w:hAnsi="Times New Roman" w:cs="Times New Roman"/>
          <w:lang w:val="en-US"/>
        </w:rPr>
        <w:t xml:space="preserve"> 49.7.3; </w:t>
      </w:r>
      <w:r w:rsidRPr="00930D22">
        <w:rPr>
          <w:rFonts w:ascii="Times New Roman" w:hAnsi="Times New Roman" w:cs="Times New Roman"/>
          <w:i/>
          <w:iCs/>
          <w:lang w:val="en-US"/>
        </w:rPr>
        <w:t>Ruby’s Case Store (Pty) Ltd</w:t>
      </w:r>
      <w:r w:rsidRPr="00930D22">
        <w:rPr>
          <w:rFonts w:ascii="Times New Roman" w:hAnsi="Times New Roman" w:cs="Times New Roman"/>
          <w:lang w:val="en-US"/>
        </w:rPr>
        <w:t xml:space="preserve"> v </w:t>
      </w:r>
      <w:r w:rsidRPr="00930D22">
        <w:rPr>
          <w:rFonts w:ascii="Times New Roman" w:hAnsi="Times New Roman" w:cs="Times New Roman"/>
          <w:i/>
          <w:iCs/>
          <w:lang w:val="en-US"/>
        </w:rPr>
        <w:t>Estate Marks and Anor supra</w:t>
      </w:r>
      <w:r w:rsidRPr="00930D22">
        <w:rPr>
          <w:rFonts w:ascii="Times New Roman" w:hAnsi="Times New Roman" w:cs="Times New Roman"/>
          <w:lang w:val="en-US"/>
        </w:rPr>
        <w:t xml:space="preserve"> at p 127).  This </w:t>
      </w:r>
      <w:r w:rsidR="00AE6E0A">
        <w:rPr>
          <w:rFonts w:ascii="Times New Roman" w:hAnsi="Times New Roman" w:cs="Times New Roman"/>
          <w:lang w:val="en-US"/>
        </w:rPr>
        <w:t>dis</w:t>
      </w:r>
      <w:r w:rsidRPr="00930D22">
        <w:rPr>
          <w:rFonts w:ascii="Times New Roman" w:hAnsi="Times New Roman" w:cs="Times New Roman"/>
          <w:lang w:val="en-US"/>
        </w:rPr>
        <w:t>cretion is part and parcel of the inherent jurisdiction which the court has to control its own judgments (</w:t>
      </w:r>
      <w:r w:rsidRPr="00930D22">
        <w:rPr>
          <w:rFonts w:ascii="Times New Roman" w:hAnsi="Times New Roman" w:cs="Times New Roman"/>
          <w:i/>
          <w:iCs/>
          <w:lang w:val="en-US"/>
        </w:rPr>
        <w:t xml:space="preserve">cf. </w:t>
      </w:r>
      <w:proofErr w:type="spellStart"/>
      <w:r w:rsidRPr="00930D22">
        <w:rPr>
          <w:rFonts w:ascii="Times New Roman" w:hAnsi="Times New Roman" w:cs="Times New Roman"/>
          <w:i/>
          <w:iCs/>
          <w:lang w:val="en-US"/>
        </w:rPr>
        <w:t>Fismer</w:t>
      </w:r>
      <w:proofErr w:type="spellEnd"/>
      <w:r w:rsidRPr="00930D22">
        <w:rPr>
          <w:rFonts w:ascii="Times New Roman" w:hAnsi="Times New Roman" w:cs="Times New Roman"/>
          <w:lang w:val="en-US"/>
        </w:rPr>
        <w:t xml:space="preserve"> v </w:t>
      </w:r>
      <w:r w:rsidRPr="00930D22">
        <w:rPr>
          <w:rFonts w:ascii="Times New Roman" w:hAnsi="Times New Roman" w:cs="Times New Roman"/>
          <w:i/>
          <w:iCs/>
          <w:lang w:val="en-US"/>
        </w:rPr>
        <w:t xml:space="preserve">Thornton </w:t>
      </w:r>
      <w:r w:rsidRPr="00930D22">
        <w:rPr>
          <w:rFonts w:ascii="Times New Roman" w:hAnsi="Times New Roman" w:cs="Times New Roman"/>
          <w:lang w:val="en-US"/>
        </w:rPr>
        <w:t xml:space="preserve">1929 AD at p 19).  In exercising this discretion, the court should in my view, determine what is just and equitable in all circumstances, and, in doing so, would normally have regard </w:t>
      </w:r>
      <w:r w:rsidRPr="00930D22">
        <w:rPr>
          <w:rFonts w:ascii="Times New Roman" w:hAnsi="Times New Roman" w:cs="Times New Roman"/>
          <w:i/>
          <w:iCs/>
          <w:lang w:val="en-US"/>
        </w:rPr>
        <w:t>inter-alia</w:t>
      </w:r>
      <w:r w:rsidRPr="00930D22">
        <w:rPr>
          <w:rFonts w:ascii="Times New Roman" w:hAnsi="Times New Roman" w:cs="Times New Roman"/>
          <w:lang w:val="en-US"/>
        </w:rPr>
        <w:t xml:space="preserve"> to the following factors:</w:t>
      </w:r>
    </w:p>
    <w:p w14:paraId="5B7F9047" w14:textId="4D0A4D20" w:rsidR="00D87319" w:rsidRPr="00930D22" w:rsidRDefault="00930D22" w:rsidP="001E2467">
      <w:pPr>
        <w:pStyle w:val="ListParagraph"/>
        <w:numPr>
          <w:ilvl w:val="0"/>
          <w:numId w:val="2"/>
        </w:numPr>
        <w:spacing w:after="0" w:line="240" w:lineRule="auto"/>
        <w:jc w:val="both"/>
        <w:rPr>
          <w:rFonts w:ascii="Times New Roman" w:hAnsi="Times New Roman" w:cs="Times New Roman"/>
          <w:lang w:val="en-US"/>
        </w:rPr>
      </w:pPr>
      <w:r w:rsidRPr="00930D22">
        <w:rPr>
          <w:rFonts w:ascii="Times New Roman" w:hAnsi="Times New Roman" w:cs="Times New Roman"/>
          <w:lang w:val="en-US"/>
        </w:rPr>
        <w:t>t</w:t>
      </w:r>
      <w:r w:rsidR="00D87319" w:rsidRPr="00930D22">
        <w:rPr>
          <w:rFonts w:ascii="Times New Roman" w:hAnsi="Times New Roman" w:cs="Times New Roman"/>
          <w:lang w:val="en-US"/>
        </w:rPr>
        <w:t>he potentiality of irreparable har</w:t>
      </w:r>
      <w:r w:rsidRPr="00930D22">
        <w:rPr>
          <w:rFonts w:ascii="Times New Roman" w:hAnsi="Times New Roman" w:cs="Times New Roman"/>
          <w:lang w:val="en-US"/>
        </w:rPr>
        <w:t>m</w:t>
      </w:r>
      <w:r w:rsidR="00D87319" w:rsidRPr="00930D22">
        <w:rPr>
          <w:rFonts w:ascii="Times New Roman" w:hAnsi="Times New Roman" w:cs="Times New Roman"/>
          <w:lang w:val="en-US"/>
        </w:rPr>
        <w:t xml:space="preserve"> or prejudice</w:t>
      </w:r>
      <w:r w:rsidRPr="00930D22">
        <w:rPr>
          <w:rFonts w:ascii="Times New Roman" w:hAnsi="Times New Roman" w:cs="Times New Roman"/>
          <w:lang w:val="en-US"/>
        </w:rPr>
        <w:t xml:space="preserve"> being sustained by the appellant on appeal (the respondent in the application), if leave to execute were to be granted’</w:t>
      </w:r>
    </w:p>
    <w:p w14:paraId="12460E8C" w14:textId="60C22B9B" w:rsidR="00930D22" w:rsidRPr="00930D22" w:rsidRDefault="00930D22" w:rsidP="001E2467">
      <w:pPr>
        <w:pStyle w:val="ListParagraph"/>
        <w:numPr>
          <w:ilvl w:val="0"/>
          <w:numId w:val="2"/>
        </w:numPr>
        <w:spacing w:after="0" w:line="240" w:lineRule="auto"/>
        <w:jc w:val="both"/>
        <w:rPr>
          <w:rFonts w:ascii="Times New Roman" w:hAnsi="Times New Roman" w:cs="Times New Roman"/>
          <w:lang w:val="en-US"/>
        </w:rPr>
      </w:pPr>
      <w:r w:rsidRPr="00930D22">
        <w:rPr>
          <w:rFonts w:ascii="Times New Roman" w:hAnsi="Times New Roman" w:cs="Times New Roman"/>
          <w:lang w:val="en-US"/>
        </w:rPr>
        <w:t>the potentiality of irreparable harm or prejudice being sustained by the respondent on appeal (the applicant in the application) if leave to execute were to be refused.</w:t>
      </w:r>
    </w:p>
    <w:p w14:paraId="140FD2D8" w14:textId="3E422855" w:rsidR="00930D22" w:rsidRPr="00930D22" w:rsidRDefault="00930D22" w:rsidP="001E2467">
      <w:pPr>
        <w:pStyle w:val="ListParagraph"/>
        <w:numPr>
          <w:ilvl w:val="0"/>
          <w:numId w:val="2"/>
        </w:numPr>
        <w:spacing w:after="0" w:line="240" w:lineRule="auto"/>
        <w:jc w:val="both"/>
        <w:rPr>
          <w:rFonts w:ascii="Times New Roman" w:hAnsi="Times New Roman" w:cs="Times New Roman"/>
          <w:lang w:val="en-US"/>
        </w:rPr>
      </w:pPr>
      <w:r w:rsidRPr="00930D22">
        <w:rPr>
          <w:rFonts w:ascii="Times New Roman" w:hAnsi="Times New Roman" w:cs="Times New Roman"/>
          <w:lang w:val="en-US"/>
        </w:rPr>
        <w:t xml:space="preserve">The prospects of success on appeal including more particularly the question as to whether the appeal is frivolous or vexatious or has been noted not with the </w:t>
      </w:r>
      <w:r w:rsidRPr="00930D22">
        <w:rPr>
          <w:rFonts w:ascii="Times New Roman" w:hAnsi="Times New Roman" w:cs="Times New Roman"/>
          <w:i/>
          <w:iCs/>
          <w:lang w:val="en-US"/>
        </w:rPr>
        <w:t xml:space="preserve">bona fide </w:t>
      </w:r>
      <w:r w:rsidRPr="00930D22">
        <w:rPr>
          <w:rFonts w:ascii="Times New Roman" w:hAnsi="Times New Roman" w:cs="Times New Roman"/>
          <w:lang w:val="en-US"/>
        </w:rPr>
        <w:t>intention of seeking to reverse the judgment but for some indirect purpose, e.g. to gain time to harness the other party, and</w:t>
      </w:r>
    </w:p>
    <w:p w14:paraId="0B121AC0" w14:textId="74AFF89C" w:rsidR="00930D22" w:rsidRPr="00930D22" w:rsidRDefault="00930D22" w:rsidP="001E2467">
      <w:pPr>
        <w:pStyle w:val="ListParagraph"/>
        <w:numPr>
          <w:ilvl w:val="0"/>
          <w:numId w:val="2"/>
        </w:numPr>
        <w:spacing w:after="0" w:line="240" w:lineRule="auto"/>
        <w:jc w:val="both"/>
        <w:rPr>
          <w:rFonts w:ascii="Times New Roman" w:hAnsi="Times New Roman" w:cs="Times New Roman"/>
          <w:lang w:val="en-US"/>
        </w:rPr>
      </w:pPr>
      <w:r w:rsidRPr="00930D22">
        <w:rPr>
          <w:rFonts w:ascii="Times New Roman" w:hAnsi="Times New Roman" w:cs="Times New Roman"/>
          <w:lang w:val="en-US"/>
        </w:rPr>
        <w:t xml:space="preserve">Where there is the potentiality of irreparable </w:t>
      </w:r>
      <w:proofErr w:type="spellStart"/>
      <w:r w:rsidRPr="00930D22">
        <w:rPr>
          <w:rFonts w:ascii="Times New Roman" w:hAnsi="Times New Roman" w:cs="Times New Roman"/>
          <w:lang w:val="en-US"/>
        </w:rPr>
        <w:t>hard</w:t>
      </w:r>
      <w:proofErr w:type="spellEnd"/>
      <w:r w:rsidRPr="00930D22">
        <w:rPr>
          <w:rFonts w:ascii="Times New Roman" w:hAnsi="Times New Roman" w:cs="Times New Roman"/>
          <w:lang w:val="en-US"/>
        </w:rPr>
        <w:t xml:space="preserve"> or prejudice to both appellant and respondent, the balance of convenience as the case may be.”</w:t>
      </w:r>
    </w:p>
    <w:p w14:paraId="1DE177C1" w14:textId="5B19A063" w:rsidR="00930D22" w:rsidRDefault="00930D22" w:rsidP="00930D22">
      <w:pPr>
        <w:pStyle w:val="ListParagraph"/>
        <w:spacing w:after="0" w:line="360" w:lineRule="auto"/>
        <w:ind w:left="1080"/>
        <w:jc w:val="both"/>
        <w:rPr>
          <w:rFonts w:ascii="Times New Roman" w:hAnsi="Times New Roman" w:cs="Times New Roman"/>
          <w:sz w:val="24"/>
          <w:szCs w:val="24"/>
          <w:lang w:val="en-US"/>
        </w:rPr>
      </w:pPr>
    </w:p>
    <w:p w14:paraId="32B11B54" w14:textId="483748E2" w:rsidR="00930D22" w:rsidRDefault="00930D22" w:rsidP="00930D2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See </w:t>
      </w:r>
      <w:proofErr w:type="spellStart"/>
      <w:r w:rsidRPr="00930D22">
        <w:rPr>
          <w:rFonts w:ascii="Times New Roman" w:hAnsi="Times New Roman" w:cs="Times New Roman"/>
          <w:i/>
          <w:iCs/>
          <w:sz w:val="24"/>
          <w:szCs w:val="24"/>
          <w:lang w:val="en-US"/>
        </w:rPr>
        <w:t>Netone</w:t>
      </w:r>
      <w:proofErr w:type="spellEnd"/>
      <w:r w:rsidRPr="00930D22">
        <w:rPr>
          <w:rFonts w:ascii="Times New Roman" w:hAnsi="Times New Roman" w:cs="Times New Roman"/>
          <w:i/>
          <w:iCs/>
          <w:sz w:val="24"/>
          <w:szCs w:val="24"/>
          <w:lang w:val="en-US"/>
        </w:rPr>
        <w:t xml:space="preserve"> </w:t>
      </w:r>
      <w:proofErr w:type="spellStart"/>
      <w:r w:rsidRPr="00930D22">
        <w:rPr>
          <w:rFonts w:ascii="Times New Roman" w:hAnsi="Times New Roman" w:cs="Times New Roman"/>
          <w:i/>
          <w:iCs/>
          <w:sz w:val="24"/>
          <w:szCs w:val="24"/>
          <w:lang w:val="en-US"/>
        </w:rPr>
        <w:t>Cellullar</w:t>
      </w:r>
      <w:proofErr w:type="spellEnd"/>
      <w:r w:rsidRPr="00930D22">
        <w:rPr>
          <w:rFonts w:ascii="Times New Roman" w:hAnsi="Times New Roman" w:cs="Times New Roman"/>
          <w:i/>
          <w:iCs/>
          <w:sz w:val="24"/>
          <w:szCs w:val="24"/>
          <w:lang w:val="en-US"/>
        </w:rPr>
        <w:t xml:space="preserve"> (</w:t>
      </w:r>
      <w:proofErr w:type="spellStart"/>
      <w:r w:rsidRPr="00930D22">
        <w:rPr>
          <w:rFonts w:ascii="Times New Roman" w:hAnsi="Times New Roman" w:cs="Times New Roman"/>
          <w:i/>
          <w:iCs/>
          <w:sz w:val="24"/>
          <w:szCs w:val="24"/>
          <w:lang w:val="en-US"/>
        </w:rPr>
        <w:t>Pvt</w:t>
      </w:r>
      <w:proofErr w:type="spellEnd"/>
      <w:r w:rsidRPr="00930D22">
        <w:rPr>
          <w:rFonts w:ascii="Times New Roman" w:hAnsi="Times New Roman" w:cs="Times New Roman"/>
          <w:i/>
          <w:iCs/>
          <w:sz w:val="24"/>
          <w:szCs w:val="24"/>
          <w:lang w:val="en-US"/>
        </w:rPr>
        <w:t>) Ltd</w:t>
      </w:r>
      <w:r>
        <w:rPr>
          <w:rFonts w:ascii="Times New Roman" w:hAnsi="Times New Roman" w:cs="Times New Roman"/>
          <w:sz w:val="24"/>
          <w:szCs w:val="24"/>
          <w:lang w:val="en-US"/>
        </w:rPr>
        <w:t xml:space="preserve"> v </w:t>
      </w:r>
      <w:proofErr w:type="spellStart"/>
      <w:r w:rsidRPr="00930D22">
        <w:rPr>
          <w:rFonts w:ascii="Times New Roman" w:hAnsi="Times New Roman" w:cs="Times New Roman"/>
          <w:i/>
          <w:iCs/>
          <w:sz w:val="24"/>
          <w:szCs w:val="24"/>
          <w:lang w:val="en-US"/>
        </w:rPr>
        <w:t>Netone</w:t>
      </w:r>
      <w:proofErr w:type="spellEnd"/>
      <w:r w:rsidRPr="00930D22">
        <w:rPr>
          <w:rFonts w:ascii="Times New Roman" w:hAnsi="Times New Roman" w:cs="Times New Roman"/>
          <w:i/>
          <w:iCs/>
          <w:sz w:val="24"/>
          <w:szCs w:val="24"/>
          <w:lang w:val="en-US"/>
        </w:rPr>
        <w:t xml:space="preserve"> Employees &amp; Anor</w:t>
      </w:r>
      <w:r>
        <w:rPr>
          <w:rFonts w:ascii="Times New Roman" w:hAnsi="Times New Roman" w:cs="Times New Roman"/>
          <w:sz w:val="24"/>
          <w:szCs w:val="24"/>
          <w:lang w:val="en-US"/>
        </w:rPr>
        <w:t xml:space="preserve"> 2005(1) ZLR 275 at p 281, </w:t>
      </w:r>
      <w:r w:rsidRPr="001E2467">
        <w:rPr>
          <w:rFonts w:ascii="Times New Roman" w:hAnsi="Times New Roman" w:cs="Times New Roman"/>
          <w:i/>
          <w:iCs/>
          <w:sz w:val="24"/>
          <w:szCs w:val="24"/>
          <w:lang w:val="en-US"/>
        </w:rPr>
        <w:t>Nzara</w:t>
      </w:r>
      <w:r>
        <w:rPr>
          <w:rFonts w:ascii="Times New Roman" w:hAnsi="Times New Roman" w:cs="Times New Roman"/>
          <w:sz w:val="24"/>
          <w:szCs w:val="24"/>
          <w:lang w:val="en-US"/>
        </w:rPr>
        <w:t xml:space="preserve"> v </w:t>
      </w:r>
      <w:proofErr w:type="spellStart"/>
      <w:r w:rsidRPr="001E2467">
        <w:rPr>
          <w:rFonts w:ascii="Times New Roman" w:hAnsi="Times New Roman" w:cs="Times New Roman"/>
          <w:i/>
          <w:iCs/>
          <w:sz w:val="24"/>
          <w:szCs w:val="24"/>
          <w:lang w:val="en-US"/>
        </w:rPr>
        <w:t>Tsanyau</w:t>
      </w:r>
      <w:proofErr w:type="spellEnd"/>
      <w:r w:rsidRPr="001E2467">
        <w:rPr>
          <w:rFonts w:ascii="Times New Roman" w:hAnsi="Times New Roman" w:cs="Times New Roman"/>
          <w:i/>
          <w:iCs/>
          <w:sz w:val="24"/>
          <w:szCs w:val="24"/>
          <w:lang w:val="en-US"/>
        </w:rPr>
        <w:t xml:space="preserve"> &amp; </w:t>
      </w:r>
      <w:proofErr w:type="spellStart"/>
      <w:r w:rsidRPr="001E2467">
        <w:rPr>
          <w:rFonts w:ascii="Times New Roman" w:hAnsi="Times New Roman" w:cs="Times New Roman"/>
          <w:i/>
          <w:iCs/>
          <w:sz w:val="24"/>
          <w:szCs w:val="24"/>
          <w:lang w:val="en-US"/>
        </w:rPr>
        <w:t>Ors</w:t>
      </w:r>
      <w:proofErr w:type="spellEnd"/>
      <w:r>
        <w:rPr>
          <w:rFonts w:ascii="Times New Roman" w:hAnsi="Times New Roman" w:cs="Times New Roman"/>
          <w:sz w:val="24"/>
          <w:szCs w:val="24"/>
          <w:lang w:val="en-US"/>
        </w:rPr>
        <w:t xml:space="preserve"> HH 303/14.</w:t>
      </w:r>
    </w:p>
    <w:p w14:paraId="0BF3D5FB" w14:textId="26105736" w:rsidR="00930D22" w:rsidRDefault="00930D22" w:rsidP="00930D2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relation to the material facts of the case the trial court had to determine four issues as agreed by the parties at the pre-trial conference.  The issue</w:t>
      </w:r>
      <w:r w:rsidR="00AE6E0A">
        <w:rPr>
          <w:rFonts w:ascii="Times New Roman" w:hAnsi="Times New Roman" w:cs="Times New Roman"/>
          <w:sz w:val="24"/>
          <w:szCs w:val="24"/>
          <w:lang w:val="en-US"/>
        </w:rPr>
        <w:t>s</w:t>
      </w:r>
      <w:r>
        <w:rPr>
          <w:rFonts w:ascii="Times New Roman" w:hAnsi="Times New Roman" w:cs="Times New Roman"/>
          <w:sz w:val="24"/>
          <w:szCs w:val="24"/>
          <w:lang w:val="en-US"/>
        </w:rPr>
        <w:t xml:space="preserve"> were firstly whether or not the respondent was a statutory tenant and whether the applicant’s claim that it required the premises to renovate them or for own use was established as a good an</w:t>
      </w:r>
      <w:r w:rsidR="00AE6E0A">
        <w:rPr>
          <w:rFonts w:ascii="Times New Roman" w:hAnsi="Times New Roman" w:cs="Times New Roman"/>
          <w:sz w:val="24"/>
          <w:szCs w:val="24"/>
          <w:lang w:val="en-US"/>
        </w:rPr>
        <w:t>d</w:t>
      </w:r>
      <w:r>
        <w:rPr>
          <w:rFonts w:ascii="Times New Roman" w:hAnsi="Times New Roman" w:cs="Times New Roman"/>
          <w:sz w:val="24"/>
          <w:szCs w:val="24"/>
          <w:lang w:val="en-US"/>
        </w:rPr>
        <w:t xml:space="preserve"> </w:t>
      </w:r>
      <w:r w:rsidR="00AE6E0A">
        <w:rPr>
          <w:rFonts w:ascii="Times New Roman" w:hAnsi="Times New Roman" w:cs="Times New Roman"/>
          <w:sz w:val="24"/>
          <w:szCs w:val="24"/>
          <w:lang w:val="en-US"/>
        </w:rPr>
        <w:t>sufficient reason</w:t>
      </w:r>
      <w:r>
        <w:rPr>
          <w:rFonts w:ascii="Times New Roman" w:hAnsi="Times New Roman" w:cs="Times New Roman"/>
          <w:sz w:val="24"/>
          <w:szCs w:val="24"/>
          <w:lang w:val="en-US"/>
        </w:rPr>
        <w:t xml:space="preserve"> to justify the eviction of the respondent.  Issue th</w:t>
      </w:r>
      <w:r w:rsidR="00620D56">
        <w:rPr>
          <w:rFonts w:ascii="Times New Roman" w:hAnsi="Times New Roman" w:cs="Times New Roman"/>
          <w:sz w:val="24"/>
          <w:szCs w:val="24"/>
          <w:lang w:val="en-US"/>
        </w:rPr>
        <w:t>re</w:t>
      </w:r>
      <w:r>
        <w:rPr>
          <w:rFonts w:ascii="Times New Roman" w:hAnsi="Times New Roman" w:cs="Times New Roman"/>
          <w:sz w:val="24"/>
          <w:szCs w:val="24"/>
          <w:lang w:val="en-US"/>
        </w:rPr>
        <w:t>e was whether or not the reasons given by the lessor complied with the Commercial Premises Rent Regulations (</w:t>
      </w:r>
      <w:r w:rsidRPr="007B6F6B">
        <w:rPr>
          <w:rFonts w:ascii="Times New Roman" w:hAnsi="Times New Roman" w:cs="Times New Roman"/>
          <w:i/>
          <w:iCs/>
          <w:sz w:val="24"/>
          <w:szCs w:val="24"/>
          <w:lang w:val="en-US"/>
        </w:rPr>
        <w:t>sic</w:t>
      </w:r>
      <w:r>
        <w:rPr>
          <w:rFonts w:ascii="Times New Roman" w:hAnsi="Times New Roman" w:cs="Times New Roman"/>
          <w:sz w:val="24"/>
          <w:szCs w:val="24"/>
          <w:lang w:val="en-US"/>
        </w:rPr>
        <w:t xml:space="preserve">) </w:t>
      </w:r>
      <w:r w:rsidR="007B6F6B">
        <w:rPr>
          <w:rFonts w:ascii="Times New Roman" w:hAnsi="Times New Roman" w:cs="Times New Roman"/>
          <w:sz w:val="24"/>
          <w:szCs w:val="24"/>
          <w:lang w:val="en-US"/>
        </w:rPr>
        <w:t>and fourthly whether costs be awarded on the legal practitioner/client scale.  In the trial, it became common cause that the respondent was not after the expiry of the lease agreement due to effluxion of time paying rentals within seven (7) days of due date in order to get protection afforded by the Commercial Premises (Rent Regulations 1983</w:t>
      </w:r>
      <w:r w:rsidR="00620D56">
        <w:rPr>
          <w:rFonts w:ascii="Times New Roman" w:hAnsi="Times New Roman" w:cs="Times New Roman"/>
          <w:sz w:val="24"/>
          <w:szCs w:val="24"/>
          <w:lang w:val="en-US"/>
        </w:rPr>
        <w:t>. T</w:t>
      </w:r>
      <w:r w:rsidR="007B6F6B">
        <w:rPr>
          <w:rFonts w:ascii="Times New Roman" w:hAnsi="Times New Roman" w:cs="Times New Roman"/>
          <w:sz w:val="24"/>
          <w:szCs w:val="24"/>
          <w:lang w:val="en-US"/>
        </w:rPr>
        <w:t xml:space="preserve">he </w:t>
      </w:r>
      <w:r w:rsidR="00620D56">
        <w:rPr>
          <w:rFonts w:ascii="Times New Roman" w:hAnsi="Times New Roman" w:cs="Times New Roman"/>
          <w:sz w:val="24"/>
          <w:szCs w:val="24"/>
          <w:lang w:val="en-US"/>
        </w:rPr>
        <w:t xml:space="preserve">respondent </w:t>
      </w:r>
      <w:r w:rsidR="007B6F6B">
        <w:rPr>
          <w:rFonts w:ascii="Times New Roman" w:hAnsi="Times New Roman" w:cs="Times New Roman"/>
          <w:sz w:val="24"/>
          <w:szCs w:val="24"/>
          <w:lang w:val="en-US"/>
        </w:rPr>
        <w:t xml:space="preserve">excused the default on the basis that there had been a novation and </w:t>
      </w:r>
      <w:r w:rsidR="00620D56">
        <w:rPr>
          <w:rFonts w:ascii="Times New Roman" w:hAnsi="Times New Roman" w:cs="Times New Roman"/>
          <w:sz w:val="24"/>
          <w:szCs w:val="24"/>
          <w:lang w:val="en-US"/>
        </w:rPr>
        <w:t xml:space="preserve">that </w:t>
      </w:r>
      <w:r w:rsidR="007B6F6B">
        <w:rPr>
          <w:rFonts w:ascii="Times New Roman" w:hAnsi="Times New Roman" w:cs="Times New Roman"/>
          <w:sz w:val="24"/>
          <w:szCs w:val="24"/>
          <w:lang w:val="en-US"/>
        </w:rPr>
        <w:t xml:space="preserve">a new lease </w:t>
      </w:r>
      <w:r w:rsidR="00620D56">
        <w:rPr>
          <w:rFonts w:ascii="Times New Roman" w:hAnsi="Times New Roman" w:cs="Times New Roman"/>
          <w:sz w:val="24"/>
          <w:szCs w:val="24"/>
          <w:lang w:val="en-US"/>
        </w:rPr>
        <w:t xml:space="preserve">was </w:t>
      </w:r>
      <w:r w:rsidR="007B6F6B">
        <w:rPr>
          <w:rFonts w:ascii="Times New Roman" w:hAnsi="Times New Roman" w:cs="Times New Roman"/>
          <w:sz w:val="24"/>
          <w:szCs w:val="24"/>
          <w:lang w:val="en-US"/>
        </w:rPr>
        <w:t>created by the acceptance by the applicant of overdue rentals.</w:t>
      </w:r>
    </w:p>
    <w:p w14:paraId="732A57B7" w14:textId="542661D3" w:rsidR="007B6F6B" w:rsidRDefault="007B6F6B" w:rsidP="00930D2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was clear from the record of trial proceedings that the respondent did not confess and avoid in its plea.  In other words, it did not confess to late payment of rentals and seek to avoid liability on the basis of estoppel.  Novation was not listed as an issue for trial.  In consequence, the appeal court agreed with the submission of the applicant’s counsel that the trial court created the novation issue out of its own resolve.  The determination of the issue was </w:t>
      </w:r>
      <w:r w:rsidR="00DD5501">
        <w:rPr>
          <w:rFonts w:ascii="Times New Roman" w:hAnsi="Times New Roman" w:cs="Times New Roman"/>
          <w:sz w:val="24"/>
          <w:szCs w:val="24"/>
          <w:lang w:val="en-US"/>
        </w:rPr>
        <w:t xml:space="preserve">considered </w:t>
      </w:r>
      <w:r w:rsidR="00DD5501">
        <w:rPr>
          <w:rFonts w:ascii="Times New Roman" w:hAnsi="Times New Roman" w:cs="Times New Roman"/>
          <w:sz w:val="24"/>
          <w:szCs w:val="24"/>
          <w:lang w:val="en-US"/>
        </w:rPr>
        <w:lastRenderedPageBreak/>
        <w:t xml:space="preserve">by the appeal court to be determinant of the dispute because once the respondent failed to prove that it was a statutory tenant as envisaged in s 22(2) of the Commercial Premises (Rent) Regulations, it could not rely on statutory tenancy protection as a </w:t>
      </w:r>
      <w:proofErr w:type="spellStart"/>
      <w:r w:rsidR="00DD5501">
        <w:rPr>
          <w:rFonts w:ascii="Times New Roman" w:hAnsi="Times New Roman" w:cs="Times New Roman"/>
          <w:sz w:val="24"/>
          <w:szCs w:val="24"/>
          <w:lang w:val="en-US"/>
        </w:rPr>
        <w:t>defence</w:t>
      </w:r>
      <w:proofErr w:type="spellEnd"/>
      <w:r w:rsidR="00DD5501">
        <w:rPr>
          <w:rFonts w:ascii="Times New Roman" w:hAnsi="Times New Roman" w:cs="Times New Roman"/>
          <w:sz w:val="24"/>
          <w:szCs w:val="24"/>
          <w:lang w:val="en-US"/>
        </w:rPr>
        <w:t xml:space="preserve"> to the claim for eviction from the premises.</w:t>
      </w:r>
    </w:p>
    <w:p w14:paraId="5F83C573" w14:textId="73FDAD7B" w:rsidR="00DD5501" w:rsidRDefault="00DD5501" w:rsidP="00930D2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Dealing with the </w:t>
      </w:r>
      <w:r w:rsidR="00620D56">
        <w:rPr>
          <w:rFonts w:ascii="Times New Roman" w:hAnsi="Times New Roman" w:cs="Times New Roman"/>
          <w:sz w:val="24"/>
          <w:szCs w:val="24"/>
          <w:lang w:val="en-US"/>
        </w:rPr>
        <w:t>veraci</w:t>
      </w:r>
      <w:r>
        <w:rPr>
          <w:rFonts w:ascii="Times New Roman" w:hAnsi="Times New Roman" w:cs="Times New Roman"/>
          <w:sz w:val="24"/>
          <w:szCs w:val="24"/>
          <w:lang w:val="en-US"/>
        </w:rPr>
        <w:t>ty of the grounds of appeal as listed, the respondent in the first ground averred that the appeal court misdirected itself at law by failing to consider whether or not the lease agreement between the parties had been novated despite the fact that the respondent had placed that issue before the court a quo.  It is of course incorrect to aver that the issue of novation was raised by the parties in the trial court.  The respondent could not on appeal and now even point to the portion of the record where the issue was raised.  It was an issue raised for the first time in the judgment of the trial court.</w:t>
      </w:r>
    </w:p>
    <w:p w14:paraId="20AF353C" w14:textId="3C8E8C3A" w:rsidR="00DD5501" w:rsidRDefault="00DD5501" w:rsidP="00930D2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appeal court judgment clinically dealt with the irregularity by a court where the court determines an issue which the parties have not raised.  The appeal court was directed by the </w:t>
      </w:r>
      <w:r w:rsidRPr="00336369">
        <w:rPr>
          <w:rFonts w:ascii="Times New Roman" w:hAnsi="Times New Roman" w:cs="Times New Roman"/>
          <w:i/>
          <w:iCs/>
          <w:sz w:val="24"/>
          <w:szCs w:val="24"/>
          <w:lang w:val="en-US"/>
        </w:rPr>
        <w:t>dicta</w:t>
      </w:r>
      <w:r>
        <w:rPr>
          <w:rFonts w:ascii="Times New Roman" w:hAnsi="Times New Roman" w:cs="Times New Roman"/>
          <w:sz w:val="24"/>
          <w:szCs w:val="24"/>
          <w:lang w:val="en-US"/>
        </w:rPr>
        <w:t xml:space="preserve"> in the case of </w:t>
      </w:r>
      <w:proofErr w:type="spellStart"/>
      <w:r w:rsidRPr="00336369">
        <w:rPr>
          <w:rFonts w:ascii="Times New Roman" w:hAnsi="Times New Roman" w:cs="Times New Roman"/>
          <w:i/>
          <w:iCs/>
          <w:sz w:val="24"/>
          <w:szCs w:val="24"/>
          <w:lang w:val="en-US"/>
        </w:rPr>
        <w:t>Lifort</w:t>
      </w:r>
      <w:proofErr w:type="spellEnd"/>
      <w:r w:rsidRPr="00336369">
        <w:rPr>
          <w:rFonts w:ascii="Times New Roman" w:hAnsi="Times New Roman" w:cs="Times New Roman"/>
          <w:i/>
          <w:iCs/>
          <w:sz w:val="24"/>
          <w:szCs w:val="24"/>
          <w:lang w:val="en-US"/>
        </w:rPr>
        <w:t xml:space="preserve"> Toro</w:t>
      </w:r>
      <w:r>
        <w:rPr>
          <w:rFonts w:ascii="Times New Roman" w:hAnsi="Times New Roman" w:cs="Times New Roman"/>
          <w:sz w:val="24"/>
          <w:szCs w:val="24"/>
          <w:lang w:val="en-US"/>
        </w:rPr>
        <w:t xml:space="preserve"> v </w:t>
      </w:r>
      <w:proofErr w:type="spellStart"/>
      <w:r w:rsidRPr="00336369">
        <w:rPr>
          <w:rFonts w:ascii="Times New Roman" w:hAnsi="Times New Roman" w:cs="Times New Roman"/>
          <w:i/>
          <w:iCs/>
          <w:sz w:val="24"/>
          <w:szCs w:val="24"/>
          <w:lang w:val="en-US"/>
        </w:rPr>
        <w:t>Vodge</w:t>
      </w:r>
      <w:proofErr w:type="spellEnd"/>
      <w:r w:rsidRPr="00336369">
        <w:rPr>
          <w:rFonts w:ascii="Times New Roman" w:hAnsi="Times New Roman" w:cs="Times New Roman"/>
          <w:i/>
          <w:iCs/>
          <w:sz w:val="24"/>
          <w:szCs w:val="24"/>
          <w:lang w:val="en-US"/>
        </w:rPr>
        <w:t xml:space="preserve"> Investments (</w:t>
      </w:r>
      <w:proofErr w:type="spellStart"/>
      <w:r w:rsidRPr="00336369">
        <w:rPr>
          <w:rFonts w:ascii="Times New Roman" w:hAnsi="Times New Roman" w:cs="Times New Roman"/>
          <w:i/>
          <w:iCs/>
          <w:sz w:val="24"/>
          <w:szCs w:val="24"/>
          <w:lang w:val="en-US"/>
        </w:rPr>
        <w:t>Pvt</w:t>
      </w:r>
      <w:proofErr w:type="spellEnd"/>
      <w:r w:rsidRPr="00336369">
        <w:rPr>
          <w:rFonts w:ascii="Times New Roman" w:hAnsi="Times New Roman" w:cs="Times New Roman"/>
          <w:i/>
          <w:iCs/>
          <w:sz w:val="24"/>
          <w:szCs w:val="24"/>
          <w:lang w:val="en-US"/>
        </w:rPr>
        <w:t xml:space="preserve">) Ltd &amp; </w:t>
      </w:r>
      <w:proofErr w:type="spellStart"/>
      <w:r w:rsidRPr="00336369">
        <w:rPr>
          <w:rFonts w:ascii="Times New Roman" w:hAnsi="Times New Roman" w:cs="Times New Roman"/>
          <w:i/>
          <w:iCs/>
          <w:sz w:val="24"/>
          <w:szCs w:val="24"/>
          <w:lang w:val="en-US"/>
        </w:rPr>
        <w:t>Ors</w:t>
      </w:r>
      <w:proofErr w:type="spellEnd"/>
      <w:r>
        <w:rPr>
          <w:rFonts w:ascii="Times New Roman" w:hAnsi="Times New Roman" w:cs="Times New Roman"/>
          <w:sz w:val="24"/>
          <w:szCs w:val="24"/>
          <w:lang w:val="en-US"/>
        </w:rPr>
        <w:t xml:space="preserve"> SC 15/201</w:t>
      </w:r>
      <w:r w:rsidR="00336369">
        <w:rPr>
          <w:rFonts w:ascii="Times New Roman" w:hAnsi="Times New Roman" w:cs="Times New Roman"/>
          <w:sz w:val="24"/>
          <w:szCs w:val="24"/>
          <w:lang w:val="en-US"/>
        </w:rPr>
        <w:t xml:space="preserve">7; </w:t>
      </w:r>
      <w:r w:rsidR="00336369" w:rsidRPr="00336369">
        <w:rPr>
          <w:rFonts w:ascii="Times New Roman" w:hAnsi="Times New Roman" w:cs="Times New Roman"/>
          <w:i/>
          <w:iCs/>
          <w:sz w:val="24"/>
          <w:szCs w:val="24"/>
          <w:lang w:val="en-US"/>
        </w:rPr>
        <w:t xml:space="preserve">Nzara &amp; </w:t>
      </w:r>
      <w:proofErr w:type="spellStart"/>
      <w:r w:rsidR="00336369" w:rsidRPr="00336369">
        <w:rPr>
          <w:rFonts w:ascii="Times New Roman" w:hAnsi="Times New Roman" w:cs="Times New Roman"/>
          <w:i/>
          <w:iCs/>
          <w:sz w:val="24"/>
          <w:szCs w:val="24"/>
          <w:lang w:val="en-US"/>
        </w:rPr>
        <w:t>Ors</w:t>
      </w:r>
      <w:proofErr w:type="spellEnd"/>
      <w:r w:rsidR="00336369">
        <w:rPr>
          <w:rFonts w:ascii="Times New Roman" w:hAnsi="Times New Roman" w:cs="Times New Roman"/>
          <w:sz w:val="24"/>
          <w:szCs w:val="24"/>
          <w:lang w:val="en-US"/>
        </w:rPr>
        <w:t xml:space="preserve"> v </w:t>
      </w:r>
      <w:proofErr w:type="spellStart"/>
      <w:r w:rsidR="00336369" w:rsidRPr="00336369">
        <w:rPr>
          <w:rFonts w:ascii="Times New Roman" w:hAnsi="Times New Roman" w:cs="Times New Roman"/>
          <w:i/>
          <w:iCs/>
          <w:sz w:val="24"/>
          <w:szCs w:val="24"/>
          <w:lang w:val="en-US"/>
        </w:rPr>
        <w:t>Kashama</w:t>
      </w:r>
      <w:proofErr w:type="spellEnd"/>
      <w:r w:rsidR="00336369" w:rsidRPr="00336369">
        <w:rPr>
          <w:rFonts w:ascii="Times New Roman" w:hAnsi="Times New Roman" w:cs="Times New Roman"/>
          <w:i/>
          <w:iCs/>
          <w:sz w:val="24"/>
          <w:szCs w:val="24"/>
          <w:lang w:val="en-US"/>
        </w:rPr>
        <w:t xml:space="preserve"> N.O. &amp; </w:t>
      </w:r>
      <w:proofErr w:type="spellStart"/>
      <w:r w:rsidR="00336369" w:rsidRPr="00336369">
        <w:rPr>
          <w:rFonts w:ascii="Times New Roman" w:hAnsi="Times New Roman" w:cs="Times New Roman"/>
          <w:i/>
          <w:iCs/>
          <w:sz w:val="24"/>
          <w:szCs w:val="24"/>
          <w:lang w:val="en-US"/>
        </w:rPr>
        <w:t>Ors</w:t>
      </w:r>
      <w:proofErr w:type="spellEnd"/>
      <w:r w:rsidR="00336369">
        <w:rPr>
          <w:rFonts w:ascii="Times New Roman" w:hAnsi="Times New Roman" w:cs="Times New Roman"/>
          <w:sz w:val="24"/>
          <w:szCs w:val="24"/>
          <w:lang w:val="en-US"/>
        </w:rPr>
        <w:t xml:space="preserve"> SC 18/18 and </w:t>
      </w:r>
      <w:r w:rsidR="00336369" w:rsidRPr="00336369">
        <w:rPr>
          <w:rFonts w:ascii="Times New Roman" w:hAnsi="Times New Roman" w:cs="Times New Roman"/>
          <w:i/>
          <w:iCs/>
          <w:sz w:val="24"/>
          <w:szCs w:val="24"/>
          <w:lang w:val="en-US"/>
        </w:rPr>
        <w:t>Makgatho</w:t>
      </w:r>
      <w:r w:rsidR="00336369">
        <w:rPr>
          <w:rFonts w:ascii="Times New Roman" w:hAnsi="Times New Roman" w:cs="Times New Roman"/>
          <w:sz w:val="24"/>
          <w:szCs w:val="24"/>
          <w:lang w:val="en-US"/>
        </w:rPr>
        <w:t xml:space="preserve"> v </w:t>
      </w:r>
      <w:r w:rsidR="00336369" w:rsidRPr="00336369">
        <w:rPr>
          <w:rFonts w:ascii="Times New Roman" w:hAnsi="Times New Roman" w:cs="Times New Roman"/>
          <w:i/>
          <w:iCs/>
          <w:sz w:val="24"/>
          <w:szCs w:val="24"/>
          <w:lang w:val="en-US"/>
        </w:rPr>
        <w:t>Old Mutual Life Assurance (Zimbabwe) Ltd</w:t>
      </w:r>
      <w:r w:rsidR="00336369">
        <w:rPr>
          <w:rFonts w:ascii="Times New Roman" w:hAnsi="Times New Roman" w:cs="Times New Roman"/>
          <w:sz w:val="24"/>
          <w:szCs w:val="24"/>
          <w:lang w:val="en-US"/>
        </w:rPr>
        <w:t xml:space="preserve"> SC 57/2015</w:t>
      </w:r>
      <w:r>
        <w:rPr>
          <w:rFonts w:ascii="Times New Roman" w:hAnsi="Times New Roman" w:cs="Times New Roman"/>
          <w:sz w:val="24"/>
          <w:szCs w:val="24"/>
          <w:lang w:val="en-US"/>
        </w:rPr>
        <w:t xml:space="preserve">.  The cases </w:t>
      </w:r>
      <w:r w:rsidR="00336369">
        <w:rPr>
          <w:rFonts w:ascii="Times New Roman" w:hAnsi="Times New Roman" w:cs="Times New Roman"/>
          <w:sz w:val="24"/>
          <w:szCs w:val="24"/>
          <w:lang w:val="en-US"/>
        </w:rPr>
        <w:t xml:space="preserve">make it clear that the parties are bound by their pleadings and that the court must determine only the specific matters in dispute and should not pronounce upon a claim or </w:t>
      </w:r>
      <w:proofErr w:type="spellStart"/>
      <w:r w:rsidR="00336369">
        <w:rPr>
          <w:rFonts w:ascii="Times New Roman" w:hAnsi="Times New Roman" w:cs="Times New Roman"/>
          <w:sz w:val="24"/>
          <w:szCs w:val="24"/>
          <w:lang w:val="en-US"/>
        </w:rPr>
        <w:t>defence</w:t>
      </w:r>
      <w:proofErr w:type="spellEnd"/>
      <w:r w:rsidR="00336369">
        <w:rPr>
          <w:rFonts w:ascii="Times New Roman" w:hAnsi="Times New Roman" w:cs="Times New Roman"/>
          <w:sz w:val="24"/>
          <w:szCs w:val="24"/>
          <w:lang w:val="en-US"/>
        </w:rPr>
        <w:t xml:space="preserve"> not raised by the parties.</w:t>
      </w:r>
    </w:p>
    <w:p w14:paraId="33A687A9" w14:textId="2697D3B4" w:rsidR="00336369" w:rsidRDefault="00336369" w:rsidP="00930D2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respondent in the opposing affidavit averred that novation was a point of law which could be raised at any stage of the proceedings including an appeal.  It averred that it had raised the point in the heads of argument on appeal.  First</w:t>
      </w:r>
      <w:r w:rsidR="00620D56">
        <w:rPr>
          <w:rFonts w:ascii="Times New Roman" w:hAnsi="Times New Roman" w:cs="Times New Roman"/>
          <w:sz w:val="24"/>
          <w:szCs w:val="24"/>
          <w:lang w:val="en-US"/>
        </w:rPr>
        <w:t>ly</w:t>
      </w:r>
      <w:r>
        <w:rPr>
          <w:rFonts w:ascii="Times New Roman" w:hAnsi="Times New Roman" w:cs="Times New Roman"/>
          <w:sz w:val="24"/>
          <w:szCs w:val="24"/>
          <w:lang w:val="en-US"/>
        </w:rPr>
        <w:t>, novation is not just a point of law. It is a point of mixed fact and law.  There has to be established facts from which novation is inferred.  The respondent was in any event required to give notice of the point of law to be raised with the applicant being afforded an opportunity to respond to it.  The respondent did not do so and cannot argue that it raised a point of law for determination when such alleged point of law was not properly raised for determination.  On this score as well, the respondent’s argument has no merit.  There would clearly be no prospects of this ground of appeal succeeding.</w:t>
      </w:r>
    </w:p>
    <w:p w14:paraId="475A36B7" w14:textId="52227E23" w:rsidR="00620D56" w:rsidRDefault="00336369" w:rsidP="00930D2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second ground of appeal, the respondent seeks to impugn the appeal court judgment on the basis that the appeal court founded the order of eviction upon the basis of statutory tenancy and late payment of rentals yet the applicant had not sought such relief and “only sought eviction of the appellant on the basis of termination of the lease agreement by the effluxion time”.  This ground of appeal could not have been motivated by the desire on the part </w:t>
      </w:r>
      <w:r>
        <w:rPr>
          <w:rFonts w:ascii="Times New Roman" w:hAnsi="Times New Roman" w:cs="Times New Roman"/>
          <w:sz w:val="24"/>
          <w:szCs w:val="24"/>
          <w:lang w:val="en-US"/>
        </w:rPr>
        <w:lastRenderedPageBreak/>
        <w:t xml:space="preserve">of the respondent to genuinely have the Supreme Court test the correctness of the judgment appealed against.   This ground </w:t>
      </w:r>
      <w:r w:rsidR="000279FD">
        <w:rPr>
          <w:rFonts w:ascii="Times New Roman" w:hAnsi="Times New Roman" w:cs="Times New Roman"/>
          <w:sz w:val="24"/>
          <w:szCs w:val="24"/>
          <w:lang w:val="en-US"/>
        </w:rPr>
        <w:t xml:space="preserve">is so devoid of merit that little needs be said about its </w:t>
      </w:r>
      <w:r w:rsidR="00620D56">
        <w:rPr>
          <w:rFonts w:ascii="Times New Roman" w:hAnsi="Times New Roman" w:cs="Times New Roman"/>
          <w:sz w:val="24"/>
          <w:szCs w:val="24"/>
          <w:lang w:val="en-US"/>
        </w:rPr>
        <w:t>mer</w:t>
      </w:r>
      <w:r w:rsidR="00E8029D">
        <w:rPr>
          <w:rFonts w:ascii="Times New Roman" w:hAnsi="Times New Roman" w:cs="Times New Roman"/>
          <w:sz w:val="24"/>
          <w:szCs w:val="24"/>
          <w:lang w:val="en-US"/>
        </w:rPr>
        <w:t>it</w:t>
      </w:r>
      <w:r w:rsidR="002D70F6">
        <w:rPr>
          <w:rFonts w:ascii="Times New Roman" w:hAnsi="Times New Roman" w:cs="Times New Roman"/>
          <w:sz w:val="24"/>
          <w:szCs w:val="24"/>
          <w:lang w:val="en-US"/>
        </w:rPr>
        <w:t xml:space="preserve"> </w:t>
      </w:r>
      <w:r w:rsidR="00620D56">
        <w:rPr>
          <w:rFonts w:ascii="Times New Roman" w:hAnsi="Times New Roman" w:cs="Times New Roman"/>
          <w:sz w:val="24"/>
          <w:szCs w:val="24"/>
          <w:lang w:val="en-US"/>
        </w:rPr>
        <w:t>lessness</w:t>
      </w:r>
      <w:r w:rsidR="000279FD">
        <w:rPr>
          <w:rFonts w:ascii="Times New Roman" w:hAnsi="Times New Roman" w:cs="Times New Roman"/>
          <w:sz w:val="24"/>
          <w:szCs w:val="24"/>
          <w:lang w:val="en-US"/>
        </w:rPr>
        <w:t xml:space="preserve">. </w:t>
      </w:r>
    </w:p>
    <w:p w14:paraId="24D1BB48" w14:textId="25578B8E" w:rsidR="009210AE" w:rsidRDefault="000279FD" w:rsidP="00930D2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first issue for determination by trial court was whether or not the respondent was a statutory tenant.  The respondent had pleaded in its plea that it was such a tenant and relied on such pleaded status to avoid eviction.  The trial court found that rentals were not </w:t>
      </w:r>
      <w:r w:rsidR="0061773A">
        <w:rPr>
          <w:rFonts w:ascii="Times New Roman" w:hAnsi="Times New Roman" w:cs="Times New Roman"/>
          <w:sz w:val="24"/>
          <w:szCs w:val="24"/>
          <w:lang w:val="en-US"/>
        </w:rPr>
        <w:t>being paid</w:t>
      </w:r>
      <w:r>
        <w:rPr>
          <w:rFonts w:ascii="Times New Roman" w:hAnsi="Times New Roman" w:cs="Times New Roman"/>
          <w:sz w:val="24"/>
          <w:szCs w:val="24"/>
          <w:lang w:val="en-US"/>
        </w:rPr>
        <w:t xml:space="preserve"> within </w:t>
      </w:r>
      <w:r w:rsidR="0061773A">
        <w:rPr>
          <w:rFonts w:ascii="Times New Roman" w:hAnsi="Times New Roman" w:cs="Times New Roman"/>
          <w:sz w:val="24"/>
          <w:szCs w:val="24"/>
          <w:lang w:val="en-US"/>
        </w:rPr>
        <w:t>sev</w:t>
      </w:r>
      <w:r>
        <w:rPr>
          <w:rFonts w:ascii="Times New Roman" w:hAnsi="Times New Roman" w:cs="Times New Roman"/>
          <w:sz w:val="24"/>
          <w:szCs w:val="24"/>
          <w:lang w:val="en-US"/>
        </w:rPr>
        <w:t>en (</w:t>
      </w:r>
      <w:r w:rsidR="00620D56">
        <w:rPr>
          <w:rFonts w:ascii="Times New Roman" w:hAnsi="Times New Roman" w:cs="Times New Roman"/>
          <w:sz w:val="24"/>
          <w:szCs w:val="24"/>
          <w:lang w:val="en-US"/>
        </w:rPr>
        <w:t>7</w:t>
      </w:r>
      <w:r>
        <w:rPr>
          <w:rFonts w:ascii="Times New Roman" w:hAnsi="Times New Roman" w:cs="Times New Roman"/>
          <w:sz w:val="24"/>
          <w:szCs w:val="24"/>
          <w:lang w:val="en-US"/>
        </w:rPr>
        <w:t xml:space="preserve">) days of due date which late payments would violate a condition </w:t>
      </w:r>
      <w:r w:rsidR="0061773A">
        <w:rPr>
          <w:rFonts w:ascii="Times New Roman" w:hAnsi="Times New Roman" w:cs="Times New Roman"/>
          <w:sz w:val="24"/>
          <w:szCs w:val="24"/>
          <w:lang w:val="en-US"/>
        </w:rPr>
        <w:t xml:space="preserve">preceded to get </w:t>
      </w:r>
      <w:r>
        <w:rPr>
          <w:rFonts w:ascii="Times New Roman" w:hAnsi="Times New Roman" w:cs="Times New Roman"/>
          <w:sz w:val="24"/>
          <w:szCs w:val="24"/>
          <w:lang w:val="en-US"/>
        </w:rPr>
        <w:t xml:space="preserve">of protection </w:t>
      </w:r>
      <w:r w:rsidR="0061773A">
        <w:rPr>
          <w:rFonts w:ascii="Times New Roman" w:hAnsi="Times New Roman" w:cs="Times New Roman"/>
          <w:sz w:val="24"/>
          <w:szCs w:val="24"/>
          <w:lang w:val="en-US"/>
        </w:rPr>
        <w:t xml:space="preserve">from eviction as a statutory tenant. </w:t>
      </w:r>
      <w:r>
        <w:rPr>
          <w:rFonts w:ascii="Times New Roman" w:hAnsi="Times New Roman" w:cs="Times New Roman"/>
          <w:sz w:val="24"/>
          <w:szCs w:val="24"/>
          <w:lang w:val="en-US"/>
        </w:rPr>
        <w:t>The trial court then determined that the late acceptance of rentals amounted to a novation.  It was not clear what novation was being referred to because the question is novation of what?  The appeal court interpreted the position o</w:t>
      </w:r>
      <w:r w:rsidR="0061773A">
        <w:rPr>
          <w:rFonts w:ascii="Times New Roman" w:hAnsi="Times New Roman" w:cs="Times New Roman"/>
          <w:sz w:val="24"/>
          <w:szCs w:val="24"/>
          <w:lang w:val="en-US"/>
        </w:rPr>
        <w:t>f</w:t>
      </w:r>
      <w:r>
        <w:rPr>
          <w:rFonts w:ascii="Times New Roman" w:hAnsi="Times New Roman" w:cs="Times New Roman"/>
          <w:sz w:val="24"/>
          <w:szCs w:val="24"/>
          <w:lang w:val="en-US"/>
        </w:rPr>
        <w:t xml:space="preserve"> the respondent arguing estoppe</w:t>
      </w:r>
      <w:r w:rsidR="002D70F6">
        <w:rPr>
          <w:rFonts w:ascii="Times New Roman" w:hAnsi="Times New Roman" w:cs="Times New Roman"/>
          <w:sz w:val="24"/>
          <w:szCs w:val="24"/>
          <w:lang w:val="en-US"/>
        </w:rPr>
        <w:t>l</w:t>
      </w:r>
      <w:r>
        <w:rPr>
          <w:rFonts w:ascii="Times New Roman" w:hAnsi="Times New Roman" w:cs="Times New Roman"/>
          <w:sz w:val="24"/>
          <w:szCs w:val="24"/>
          <w:lang w:val="en-US"/>
        </w:rPr>
        <w:t xml:space="preserve"> </w:t>
      </w:r>
      <w:r w:rsidR="0061773A">
        <w:rPr>
          <w:rFonts w:ascii="Times New Roman" w:hAnsi="Times New Roman" w:cs="Times New Roman"/>
          <w:sz w:val="24"/>
          <w:szCs w:val="24"/>
          <w:lang w:val="en-US"/>
        </w:rPr>
        <w:t>as that because</w:t>
      </w:r>
      <w:r>
        <w:rPr>
          <w:rFonts w:ascii="Times New Roman" w:hAnsi="Times New Roman" w:cs="Times New Roman"/>
          <w:sz w:val="24"/>
          <w:szCs w:val="24"/>
          <w:lang w:val="en-US"/>
        </w:rPr>
        <w:t xml:space="preserve"> the respondent was </w:t>
      </w:r>
      <w:r w:rsidR="002D70F6">
        <w:rPr>
          <w:rFonts w:ascii="Times New Roman" w:hAnsi="Times New Roman" w:cs="Times New Roman"/>
          <w:sz w:val="24"/>
          <w:szCs w:val="24"/>
          <w:lang w:val="en-US"/>
        </w:rPr>
        <w:t xml:space="preserve">paying </w:t>
      </w:r>
      <w:r>
        <w:rPr>
          <w:rFonts w:ascii="Times New Roman" w:hAnsi="Times New Roman" w:cs="Times New Roman"/>
          <w:sz w:val="24"/>
          <w:szCs w:val="24"/>
          <w:lang w:val="en-US"/>
        </w:rPr>
        <w:t xml:space="preserve">rentals </w:t>
      </w:r>
      <w:r w:rsidR="002D6581">
        <w:rPr>
          <w:rFonts w:ascii="Times New Roman" w:hAnsi="Times New Roman" w:cs="Times New Roman"/>
          <w:sz w:val="24"/>
          <w:szCs w:val="24"/>
          <w:lang w:val="en-US"/>
        </w:rPr>
        <w:t>late and</w:t>
      </w:r>
      <w:r>
        <w:rPr>
          <w:rFonts w:ascii="Times New Roman" w:hAnsi="Times New Roman" w:cs="Times New Roman"/>
          <w:sz w:val="24"/>
          <w:szCs w:val="24"/>
          <w:lang w:val="en-US"/>
        </w:rPr>
        <w:t xml:space="preserve"> paid late and </w:t>
      </w:r>
      <w:r w:rsidR="002D6581">
        <w:rPr>
          <w:rFonts w:ascii="Times New Roman" w:hAnsi="Times New Roman" w:cs="Times New Roman"/>
          <w:sz w:val="24"/>
          <w:szCs w:val="24"/>
          <w:lang w:val="en-US"/>
        </w:rPr>
        <w:t>the respondent accepted them</w:t>
      </w:r>
      <w:r>
        <w:rPr>
          <w:rFonts w:ascii="Times New Roman" w:hAnsi="Times New Roman" w:cs="Times New Roman"/>
          <w:sz w:val="24"/>
          <w:szCs w:val="24"/>
          <w:lang w:val="en-US"/>
        </w:rPr>
        <w:t>, then the applicant was estopped from relying on late payment of rental as constituting a breach of the statutory tenancy.  The position as set out in</w:t>
      </w:r>
      <w:r w:rsidR="009210AE">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appeal judgment was that</w:t>
      </w:r>
      <w:r w:rsidR="009210AE">
        <w:rPr>
          <w:rFonts w:ascii="Times New Roman" w:hAnsi="Times New Roman" w:cs="Times New Roman"/>
          <w:sz w:val="24"/>
          <w:szCs w:val="24"/>
          <w:lang w:val="en-US"/>
        </w:rPr>
        <w:t>,</w:t>
      </w:r>
      <w:r>
        <w:rPr>
          <w:rFonts w:ascii="Times New Roman" w:hAnsi="Times New Roman" w:cs="Times New Roman"/>
          <w:sz w:val="24"/>
          <w:szCs w:val="24"/>
          <w:lang w:val="en-US"/>
        </w:rPr>
        <w:t xml:space="preserve"> once statutory tenancy was not established, there was no necessity to consider the issue of whether the applicant required the premises for renovations because such exception </w:t>
      </w:r>
      <w:r w:rsidR="009210AE">
        <w:rPr>
          <w:rFonts w:ascii="Times New Roman" w:hAnsi="Times New Roman" w:cs="Times New Roman"/>
          <w:sz w:val="24"/>
          <w:szCs w:val="24"/>
          <w:lang w:val="en-US"/>
        </w:rPr>
        <w:t xml:space="preserve">to statutory tenancy protection is invoked where the occupation </w:t>
      </w:r>
      <w:r>
        <w:rPr>
          <w:rFonts w:ascii="Times New Roman" w:hAnsi="Times New Roman" w:cs="Times New Roman"/>
          <w:sz w:val="24"/>
          <w:szCs w:val="24"/>
          <w:lang w:val="en-US"/>
        </w:rPr>
        <w:t xml:space="preserve">of the premises is governed by a Statutory tenancy as defined by s 22 of the Commercial Premises (Rent) Regulations, 1983.  </w:t>
      </w:r>
    </w:p>
    <w:p w14:paraId="43A665A3" w14:textId="6D637E23" w:rsidR="00336369" w:rsidRDefault="000279FD" w:rsidP="00930D2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 reading of s 22(2) of the said regulations is clear that the court is precluded from making an order for recovery of possession of the commercial premise</w:t>
      </w:r>
      <w:r w:rsidR="009210AE">
        <w:rPr>
          <w:rFonts w:ascii="Times New Roman" w:hAnsi="Times New Roman" w:cs="Times New Roman"/>
          <w:sz w:val="24"/>
          <w:szCs w:val="24"/>
          <w:lang w:val="en-US"/>
        </w:rPr>
        <w:t>s</w:t>
      </w:r>
      <w:r>
        <w:rPr>
          <w:rFonts w:ascii="Times New Roman" w:hAnsi="Times New Roman" w:cs="Times New Roman"/>
          <w:sz w:val="24"/>
          <w:szCs w:val="24"/>
          <w:lang w:val="en-US"/>
        </w:rPr>
        <w:t xml:space="preserve"> or for eviction as long as conditions of payment of rent within seven (7) days of due date and full compliance with</w:t>
      </w:r>
      <w:r w:rsidR="009210AE">
        <w:rPr>
          <w:rFonts w:ascii="Times New Roman" w:hAnsi="Times New Roman" w:cs="Times New Roman"/>
          <w:sz w:val="24"/>
          <w:szCs w:val="24"/>
          <w:lang w:val="en-US"/>
        </w:rPr>
        <w:t xml:space="preserve"> the rest of the</w:t>
      </w:r>
      <w:r>
        <w:rPr>
          <w:rFonts w:ascii="Times New Roman" w:hAnsi="Times New Roman" w:cs="Times New Roman"/>
          <w:sz w:val="24"/>
          <w:szCs w:val="24"/>
          <w:lang w:val="en-US"/>
        </w:rPr>
        <w:t xml:space="preserve"> terms of the expired lease are adhered to by the lessee.  The applicant </w:t>
      </w:r>
      <w:r w:rsidRPr="006E2B52">
        <w:rPr>
          <w:rFonts w:ascii="Times New Roman" w:hAnsi="Times New Roman" w:cs="Times New Roman"/>
          <w:i/>
          <w:iCs/>
          <w:sz w:val="24"/>
          <w:szCs w:val="24"/>
          <w:lang w:val="en-US"/>
        </w:rPr>
        <w:t xml:space="preserve">in </w:t>
      </w:r>
      <w:proofErr w:type="spellStart"/>
      <w:r w:rsidRPr="006E2B52">
        <w:rPr>
          <w:rFonts w:ascii="Times New Roman" w:hAnsi="Times New Roman" w:cs="Times New Roman"/>
          <w:i/>
          <w:iCs/>
          <w:sz w:val="24"/>
          <w:szCs w:val="24"/>
          <w:lang w:val="en-US"/>
        </w:rPr>
        <w:t>casu</w:t>
      </w:r>
      <w:proofErr w:type="spellEnd"/>
      <w:r>
        <w:rPr>
          <w:rFonts w:ascii="Times New Roman" w:hAnsi="Times New Roman" w:cs="Times New Roman"/>
          <w:sz w:val="24"/>
          <w:szCs w:val="24"/>
          <w:lang w:val="en-US"/>
        </w:rPr>
        <w:t xml:space="preserve"> had in the trial sought confirmation of expiry of the lease agreement and ejectment.  The respondent’s response was that it enjoyed </w:t>
      </w:r>
      <w:r w:rsidR="00E55325">
        <w:rPr>
          <w:rFonts w:ascii="Times New Roman" w:hAnsi="Times New Roman" w:cs="Times New Roman"/>
          <w:sz w:val="24"/>
          <w:szCs w:val="24"/>
          <w:lang w:val="en-US"/>
        </w:rPr>
        <w:t xml:space="preserve">the protection of a statutory tenant on the principle </w:t>
      </w:r>
      <w:r>
        <w:rPr>
          <w:rFonts w:ascii="Times New Roman" w:hAnsi="Times New Roman" w:cs="Times New Roman"/>
          <w:sz w:val="24"/>
          <w:szCs w:val="24"/>
          <w:lang w:val="en-US"/>
        </w:rPr>
        <w:t>th</w:t>
      </w:r>
      <w:r w:rsidR="006E2B52">
        <w:rPr>
          <w:rFonts w:ascii="Times New Roman" w:hAnsi="Times New Roman" w:cs="Times New Roman"/>
          <w:sz w:val="24"/>
          <w:szCs w:val="24"/>
          <w:lang w:val="en-US"/>
        </w:rPr>
        <w:t xml:space="preserve">at he who avers must prove, the respondent ought to have then proved that it was compliant with the requirements which would entitle it to statutory tenancy protection.  It failed to do so by its own admission and thus was not protected.  Upon such failure, its </w:t>
      </w:r>
      <w:proofErr w:type="spellStart"/>
      <w:r w:rsidR="006E2B52">
        <w:rPr>
          <w:rFonts w:ascii="Times New Roman" w:hAnsi="Times New Roman" w:cs="Times New Roman"/>
          <w:sz w:val="24"/>
          <w:szCs w:val="24"/>
          <w:lang w:val="en-US"/>
        </w:rPr>
        <w:t>defence</w:t>
      </w:r>
      <w:proofErr w:type="spellEnd"/>
      <w:r w:rsidR="006E2B52">
        <w:rPr>
          <w:rFonts w:ascii="Times New Roman" w:hAnsi="Times New Roman" w:cs="Times New Roman"/>
          <w:sz w:val="24"/>
          <w:szCs w:val="24"/>
          <w:lang w:val="en-US"/>
        </w:rPr>
        <w:t xml:space="preserve"> fell through.  There being no substantive alternative or further </w:t>
      </w:r>
      <w:proofErr w:type="spellStart"/>
      <w:r w:rsidR="006E2B52">
        <w:rPr>
          <w:rFonts w:ascii="Times New Roman" w:hAnsi="Times New Roman" w:cs="Times New Roman"/>
          <w:sz w:val="24"/>
          <w:szCs w:val="24"/>
          <w:lang w:val="en-US"/>
        </w:rPr>
        <w:t>defence</w:t>
      </w:r>
      <w:proofErr w:type="spellEnd"/>
      <w:r w:rsidR="006E2B52">
        <w:rPr>
          <w:rFonts w:ascii="Times New Roman" w:hAnsi="Times New Roman" w:cs="Times New Roman"/>
          <w:sz w:val="24"/>
          <w:szCs w:val="24"/>
          <w:lang w:val="en-US"/>
        </w:rPr>
        <w:t xml:space="preserve"> which would defeat eviction having been pleaded, eviction could not be avoided.  The trial court ought to have granted the applicant’s prayer and hence upon reversal of the order of the trial court, the appeal court granted the applicant’s prayer as prayed for.  The appeal court judgment dealt with this issue in great detail.  There are clearly no prospects of success of this appeal ground succeeding.</w:t>
      </w:r>
    </w:p>
    <w:p w14:paraId="6D972C9D" w14:textId="1CEAFF3A" w:rsidR="006E2B52" w:rsidRDefault="006E2B52" w:rsidP="00930D22">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third ground advanced is what the respondent in para 10 of the opposing affidavit advanced and described as the </w:t>
      </w:r>
      <w:r w:rsidR="00D62A47">
        <w:rPr>
          <w:rFonts w:ascii="Times New Roman" w:hAnsi="Times New Roman" w:cs="Times New Roman"/>
          <w:sz w:val="24"/>
          <w:szCs w:val="24"/>
          <w:lang w:val="en-US"/>
        </w:rPr>
        <w:t>“</w:t>
      </w:r>
      <w:r>
        <w:rPr>
          <w:rFonts w:ascii="Times New Roman" w:hAnsi="Times New Roman" w:cs="Times New Roman"/>
          <w:sz w:val="24"/>
          <w:szCs w:val="24"/>
          <w:lang w:val="en-US"/>
        </w:rPr>
        <w:t>crux of the respondent’s appeal”.  The ground of appeal is simply that the appeal court erred law in holding that the doctrine of substantial compliance did not apply to statutory tenancy.  The respondent argues that the determination of whether there has been substantial compliance is to be considered on the basis of what the legislature intended to achieve.  The respondent averred that the substantial compliance was to be found upon a consideration of the fact that the respondent “continued to pay rentals in the manner that it had always done during the existence of the lease agreement”.  The respondent argued that the court should have been guided by the “Supreme Court formulations and pronouncements on substantial compliance” and thus misdirected itself by not doing so.</w:t>
      </w:r>
    </w:p>
    <w:p w14:paraId="35EF1ED2" w14:textId="09B24AD9" w:rsidR="001A30F6" w:rsidRDefault="001A30F6" w:rsidP="006355C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Despite boldly averring that there is a plethora of case authority by the Supreme Court which should have guided the court on its formulation of the application of the doctrine of substantial compliance, the respondent only cited the case of</w:t>
      </w:r>
      <w:r w:rsidRPr="00B26391">
        <w:rPr>
          <w:rFonts w:ascii="Times New Roman" w:hAnsi="Times New Roman" w:cs="Times New Roman"/>
          <w:i/>
          <w:sz w:val="24"/>
          <w:szCs w:val="24"/>
        </w:rPr>
        <w:t xml:space="preserve"> </w:t>
      </w:r>
      <w:proofErr w:type="spellStart"/>
      <w:r w:rsidRPr="00B26391">
        <w:rPr>
          <w:rFonts w:ascii="Times New Roman" w:hAnsi="Times New Roman" w:cs="Times New Roman"/>
          <w:i/>
          <w:sz w:val="24"/>
          <w:szCs w:val="24"/>
        </w:rPr>
        <w:t>Kutama</w:t>
      </w:r>
      <w:proofErr w:type="spellEnd"/>
      <w:r>
        <w:rPr>
          <w:rFonts w:ascii="Times New Roman" w:hAnsi="Times New Roman" w:cs="Times New Roman"/>
          <w:sz w:val="24"/>
          <w:szCs w:val="24"/>
        </w:rPr>
        <w:t xml:space="preserve"> v </w:t>
      </w:r>
      <w:r w:rsidRPr="00B26391">
        <w:rPr>
          <w:rFonts w:ascii="Times New Roman" w:hAnsi="Times New Roman" w:cs="Times New Roman"/>
          <w:i/>
          <w:sz w:val="24"/>
          <w:szCs w:val="24"/>
        </w:rPr>
        <w:t>Town Clerk of Kwekwe</w:t>
      </w:r>
      <w:r>
        <w:rPr>
          <w:rFonts w:ascii="Times New Roman" w:hAnsi="Times New Roman" w:cs="Times New Roman"/>
          <w:sz w:val="24"/>
          <w:szCs w:val="24"/>
        </w:rPr>
        <w:t xml:space="preserve"> 1993(2) ZLR 137(SC) at 144 and </w:t>
      </w:r>
      <w:proofErr w:type="spellStart"/>
      <w:r w:rsidRPr="00CB0FBE">
        <w:rPr>
          <w:rFonts w:ascii="Times New Roman" w:hAnsi="Times New Roman" w:cs="Times New Roman"/>
          <w:i/>
          <w:sz w:val="24"/>
          <w:szCs w:val="24"/>
        </w:rPr>
        <w:t>Sterting</w:t>
      </w:r>
      <w:proofErr w:type="spellEnd"/>
      <w:r w:rsidRPr="00CB0FBE">
        <w:rPr>
          <w:rFonts w:ascii="Times New Roman" w:hAnsi="Times New Roman" w:cs="Times New Roman"/>
          <w:i/>
          <w:sz w:val="24"/>
          <w:szCs w:val="24"/>
        </w:rPr>
        <w:t xml:space="preserve"> Products</w:t>
      </w:r>
      <w:r>
        <w:rPr>
          <w:rFonts w:ascii="Times New Roman" w:hAnsi="Times New Roman" w:cs="Times New Roman"/>
          <w:sz w:val="24"/>
          <w:szCs w:val="24"/>
        </w:rPr>
        <w:t xml:space="preserve"> v </w:t>
      </w:r>
      <w:r w:rsidRPr="00CB0FBE">
        <w:rPr>
          <w:rFonts w:ascii="Times New Roman" w:hAnsi="Times New Roman" w:cs="Times New Roman"/>
          <w:i/>
          <w:sz w:val="24"/>
          <w:szCs w:val="24"/>
        </w:rPr>
        <w:t xml:space="preserve">Zulu </w:t>
      </w:r>
      <w:r>
        <w:rPr>
          <w:rFonts w:ascii="Times New Roman" w:hAnsi="Times New Roman" w:cs="Times New Roman"/>
          <w:sz w:val="24"/>
          <w:szCs w:val="24"/>
        </w:rPr>
        <w:t xml:space="preserve">1998(2) ZLR 293(SC).  The respondent’s counsel quoted </w:t>
      </w:r>
      <w:r w:rsidR="00E55325">
        <w:rPr>
          <w:rFonts w:ascii="Times New Roman" w:hAnsi="Times New Roman" w:cs="Times New Roman"/>
          <w:sz w:val="24"/>
          <w:szCs w:val="24"/>
        </w:rPr>
        <w:t xml:space="preserve">the </w:t>
      </w:r>
      <w:r>
        <w:rPr>
          <w:rFonts w:ascii="Times New Roman" w:hAnsi="Times New Roman" w:cs="Times New Roman"/>
          <w:sz w:val="24"/>
          <w:szCs w:val="24"/>
        </w:rPr>
        <w:t xml:space="preserve">obiter statement of the learned </w:t>
      </w:r>
      <w:r w:rsidRPr="006355CA">
        <w:rPr>
          <w:rFonts w:ascii="Times New Roman" w:hAnsi="Times New Roman" w:cs="Times New Roman"/>
          <w:smallCaps/>
          <w:sz w:val="24"/>
          <w:szCs w:val="24"/>
        </w:rPr>
        <w:t xml:space="preserve">Chief Justice </w:t>
      </w:r>
      <w:proofErr w:type="spellStart"/>
      <w:r w:rsidRPr="00CB0FBE">
        <w:rPr>
          <w:rFonts w:ascii="Times New Roman" w:hAnsi="Times New Roman" w:cs="Times New Roman"/>
          <w:smallCaps/>
          <w:sz w:val="24"/>
          <w:szCs w:val="24"/>
        </w:rPr>
        <w:t>Gubbay</w:t>
      </w:r>
      <w:proofErr w:type="spellEnd"/>
      <w:r>
        <w:rPr>
          <w:rFonts w:ascii="Times New Roman" w:hAnsi="Times New Roman" w:cs="Times New Roman"/>
          <w:sz w:val="24"/>
          <w:szCs w:val="24"/>
        </w:rPr>
        <w:t xml:space="preserve"> as follows:</w:t>
      </w:r>
    </w:p>
    <w:p w14:paraId="317E26BF" w14:textId="277CBDE2" w:rsidR="001A30F6" w:rsidRDefault="001A30F6" w:rsidP="001A30F6">
      <w:pPr>
        <w:spacing w:after="0" w:line="240" w:lineRule="auto"/>
        <w:ind w:left="720"/>
        <w:jc w:val="both"/>
        <w:rPr>
          <w:rFonts w:ascii="Times New Roman" w:hAnsi="Times New Roman" w:cs="Times New Roman"/>
        </w:rPr>
      </w:pPr>
      <w:r w:rsidRPr="008D7B0D">
        <w:rPr>
          <w:rFonts w:ascii="Times New Roman" w:hAnsi="Times New Roman" w:cs="Times New Roman"/>
        </w:rPr>
        <w:t>“N</w:t>
      </w:r>
      <w:r w:rsidR="00E55325">
        <w:rPr>
          <w:rFonts w:ascii="Times New Roman" w:hAnsi="Times New Roman" w:cs="Times New Roman"/>
        </w:rPr>
        <w:t>o</w:t>
      </w:r>
      <w:r w:rsidRPr="008D7B0D">
        <w:rPr>
          <w:rFonts w:ascii="Times New Roman" w:hAnsi="Times New Roman" w:cs="Times New Roman"/>
        </w:rPr>
        <w:t xml:space="preserve">w, whether procedural requirements are mandatory or merely directory </w:t>
      </w:r>
      <w:r w:rsidR="00E55325">
        <w:rPr>
          <w:rFonts w:ascii="Times New Roman" w:hAnsi="Times New Roman" w:cs="Times New Roman"/>
        </w:rPr>
        <w:t xml:space="preserve">are </w:t>
      </w:r>
      <w:r w:rsidRPr="008D7B0D">
        <w:rPr>
          <w:rFonts w:ascii="Times New Roman" w:hAnsi="Times New Roman" w:cs="Times New Roman"/>
        </w:rPr>
        <w:t>open to wa</w:t>
      </w:r>
      <w:r w:rsidR="000F2EB5">
        <w:rPr>
          <w:rFonts w:ascii="Times New Roman" w:hAnsi="Times New Roman" w:cs="Times New Roman"/>
        </w:rPr>
        <w:t>iv</w:t>
      </w:r>
      <w:r w:rsidRPr="008D7B0D">
        <w:rPr>
          <w:rFonts w:ascii="Times New Roman" w:hAnsi="Times New Roman" w:cs="Times New Roman"/>
        </w:rPr>
        <w:t xml:space="preserve">er, has been considered on several occasions in respect of different statutes dealing with a variety of subjects.  In </w:t>
      </w:r>
      <w:r w:rsidRPr="008D7B0D">
        <w:rPr>
          <w:rFonts w:ascii="Times New Roman" w:hAnsi="Times New Roman" w:cs="Times New Roman"/>
          <w:i/>
        </w:rPr>
        <w:t>Liverpool Borough Bank</w:t>
      </w:r>
      <w:r w:rsidRPr="008D7B0D">
        <w:rPr>
          <w:rFonts w:ascii="Times New Roman" w:hAnsi="Times New Roman" w:cs="Times New Roman"/>
        </w:rPr>
        <w:t xml:space="preserve"> v </w:t>
      </w:r>
      <w:r w:rsidRPr="008D7B0D">
        <w:rPr>
          <w:rFonts w:ascii="Times New Roman" w:hAnsi="Times New Roman" w:cs="Times New Roman"/>
          <w:i/>
        </w:rPr>
        <w:t>Turner</w:t>
      </w:r>
      <w:r w:rsidRPr="008D7B0D">
        <w:rPr>
          <w:rFonts w:ascii="Times New Roman" w:hAnsi="Times New Roman" w:cs="Times New Roman"/>
        </w:rPr>
        <w:t xml:space="preserve"> 30LJ Ch 380 quoted with approval by </w:t>
      </w:r>
      <w:r w:rsidRPr="008D7B0D">
        <w:rPr>
          <w:rFonts w:ascii="Times New Roman" w:hAnsi="Times New Roman" w:cs="Times New Roman"/>
          <w:smallCaps/>
        </w:rPr>
        <w:t>Fisher</w:t>
      </w:r>
      <w:r w:rsidRPr="008D7B0D">
        <w:rPr>
          <w:rFonts w:ascii="Times New Roman" w:hAnsi="Times New Roman" w:cs="Times New Roman"/>
        </w:rPr>
        <w:t xml:space="preserve"> J in </w:t>
      </w:r>
      <w:r w:rsidRPr="008D7B0D">
        <w:rPr>
          <w:rFonts w:ascii="Times New Roman" w:hAnsi="Times New Roman" w:cs="Times New Roman"/>
          <w:i/>
        </w:rPr>
        <w:t>Chapman</w:t>
      </w:r>
      <w:r w:rsidRPr="008D7B0D">
        <w:rPr>
          <w:rFonts w:ascii="Times New Roman" w:hAnsi="Times New Roman" w:cs="Times New Roman"/>
        </w:rPr>
        <w:t xml:space="preserve"> v </w:t>
      </w:r>
      <w:r w:rsidRPr="008D7B0D">
        <w:rPr>
          <w:rFonts w:ascii="Times New Roman" w:hAnsi="Times New Roman" w:cs="Times New Roman"/>
          <w:i/>
        </w:rPr>
        <w:t>Earl</w:t>
      </w:r>
      <w:r w:rsidRPr="008D7B0D">
        <w:rPr>
          <w:rFonts w:ascii="Times New Roman" w:hAnsi="Times New Roman" w:cs="Times New Roman"/>
        </w:rPr>
        <w:t xml:space="preserve"> (19678)</w:t>
      </w:r>
      <w:r>
        <w:rPr>
          <w:rFonts w:ascii="Times New Roman" w:hAnsi="Times New Roman" w:cs="Times New Roman"/>
        </w:rPr>
        <w:t xml:space="preserve"> </w:t>
      </w:r>
      <w:r w:rsidRPr="008D7B0D">
        <w:rPr>
          <w:rFonts w:ascii="Times New Roman" w:hAnsi="Times New Roman" w:cs="Times New Roman"/>
        </w:rPr>
        <w:t>(</w:t>
      </w:r>
      <w:r>
        <w:rPr>
          <w:rFonts w:ascii="Times New Roman" w:hAnsi="Times New Roman" w:cs="Times New Roman"/>
        </w:rPr>
        <w:t>s</w:t>
      </w:r>
      <w:r w:rsidRPr="00D609A6">
        <w:rPr>
          <w:rFonts w:ascii="Times New Roman" w:hAnsi="Times New Roman" w:cs="Times New Roman"/>
          <w:i/>
          <w:iCs/>
        </w:rPr>
        <w:t>ic</w:t>
      </w:r>
      <w:r w:rsidRPr="008D7B0D">
        <w:rPr>
          <w:rFonts w:ascii="Times New Roman" w:hAnsi="Times New Roman" w:cs="Times New Roman"/>
        </w:rPr>
        <w:t>) I WLR 1315 at 1319 Lord Campbell said</w:t>
      </w:r>
      <w:r>
        <w:rPr>
          <w:rFonts w:ascii="Times New Roman" w:hAnsi="Times New Roman" w:cs="Times New Roman"/>
        </w:rPr>
        <w:t>:</w:t>
      </w:r>
    </w:p>
    <w:p w14:paraId="4FA139AA" w14:textId="77777777" w:rsidR="001A30F6" w:rsidRPr="008D7B0D" w:rsidRDefault="001A30F6" w:rsidP="001A30F6">
      <w:pPr>
        <w:spacing w:after="0" w:line="240" w:lineRule="auto"/>
        <w:jc w:val="both"/>
        <w:rPr>
          <w:rFonts w:ascii="Times New Roman" w:hAnsi="Times New Roman" w:cs="Times New Roman"/>
        </w:rPr>
      </w:pPr>
    </w:p>
    <w:p w14:paraId="772E0526" w14:textId="2D67BE2C" w:rsidR="001A30F6" w:rsidRDefault="001A30F6" w:rsidP="001A30F6">
      <w:pPr>
        <w:spacing w:after="0" w:line="240" w:lineRule="auto"/>
        <w:ind w:left="720"/>
        <w:jc w:val="both"/>
        <w:rPr>
          <w:rFonts w:ascii="Times New Roman" w:hAnsi="Times New Roman" w:cs="Times New Roman"/>
        </w:rPr>
      </w:pPr>
      <w:r>
        <w:rPr>
          <w:rFonts w:ascii="Times New Roman" w:hAnsi="Times New Roman" w:cs="Times New Roman"/>
        </w:rPr>
        <w:t>“</w:t>
      </w:r>
      <w:r w:rsidRPr="008D7B0D">
        <w:rPr>
          <w:rFonts w:ascii="Times New Roman" w:hAnsi="Times New Roman" w:cs="Times New Roman"/>
        </w:rPr>
        <w:t>No universal rule can be laid down for the construction of statutes as to whether mandatory requirements shall be construed directory only or obligatory, with an implied nullification for disobedience.   It is the duty of the courts of justice to try get at the real intention of the Legislat</w:t>
      </w:r>
      <w:r w:rsidR="000F2EB5">
        <w:rPr>
          <w:rFonts w:ascii="Times New Roman" w:hAnsi="Times New Roman" w:cs="Times New Roman"/>
        </w:rPr>
        <w:t>ur</w:t>
      </w:r>
      <w:r w:rsidRPr="008D7B0D">
        <w:rPr>
          <w:rFonts w:ascii="Times New Roman" w:hAnsi="Times New Roman" w:cs="Times New Roman"/>
        </w:rPr>
        <w:t>e by carefully attending to the whole scope of the nature to be construed</w:t>
      </w:r>
      <w:r>
        <w:rPr>
          <w:rFonts w:ascii="Times New Roman" w:hAnsi="Times New Roman" w:cs="Times New Roman"/>
        </w:rPr>
        <w:t>.</w:t>
      </w:r>
      <w:r w:rsidRPr="008D7B0D">
        <w:rPr>
          <w:rFonts w:ascii="Times New Roman" w:hAnsi="Times New Roman" w:cs="Times New Roman"/>
        </w:rPr>
        <w:t xml:space="preserve">”  </w:t>
      </w:r>
    </w:p>
    <w:p w14:paraId="3B886D34" w14:textId="77777777" w:rsidR="001A30F6" w:rsidRPr="008D7B0D" w:rsidRDefault="001A30F6" w:rsidP="001A30F6">
      <w:pPr>
        <w:spacing w:after="0" w:line="240" w:lineRule="auto"/>
        <w:ind w:left="1440"/>
        <w:jc w:val="both"/>
        <w:rPr>
          <w:rFonts w:ascii="Times New Roman" w:hAnsi="Times New Roman" w:cs="Times New Roman"/>
        </w:rPr>
      </w:pPr>
    </w:p>
    <w:p w14:paraId="7BD23B07" w14:textId="77777777" w:rsidR="001A30F6" w:rsidRDefault="001A30F6" w:rsidP="001A30F6">
      <w:pPr>
        <w:spacing w:after="0" w:line="240" w:lineRule="auto"/>
        <w:ind w:left="720"/>
        <w:jc w:val="both"/>
        <w:rPr>
          <w:rFonts w:ascii="Times New Roman" w:hAnsi="Times New Roman" w:cs="Times New Roman"/>
        </w:rPr>
      </w:pPr>
      <w:r w:rsidRPr="008D7B0D">
        <w:rPr>
          <w:rFonts w:ascii="Times New Roman" w:hAnsi="Times New Roman" w:cs="Times New Roman"/>
        </w:rPr>
        <w:t xml:space="preserve">The categorization of an enactment as peremptory or directory with the consequent strict approach that if it be the former it must be obeyed or fulfilled exactly, while if it be the latter substantial obedience or fulfilment will suffice no longer finds favour.  As was pertinently observed by Van See </w:t>
      </w:r>
      <w:r w:rsidRPr="008D7B0D">
        <w:rPr>
          <w:rFonts w:ascii="Times New Roman" w:hAnsi="Times New Roman" w:cs="Times New Roman"/>
          <w:smallCaps/>
        </w:rPr>
        <w:t>Heever</w:t>
      </w:r>
      <w:r w:rsidRPr="008D7B0D">
        <w:rPr>
          <w:rFonts w:ascii="Times New Roman" w:hAnsi="Times New Roman" w:cs="Times New Roman"/>
        </w:rPr>
        <w:t xml:space="preserve"> J (as he then was) in</w:t>
      </w:r>
      <w:r>
        <w:rPr>
          <w:rFonts w:ascii="Times New Roman" w:hAnsi="Times New Roman" w:cs="Times New Roman"/>
        </w:rPr>
        <w:t xml:space="preserve"> </w:t>
      </w:r>
      <w:r w:rsidRPr="000771F6">
        <w:rPr>
          <w:rFonts w:ascii="Times New Roman" w:hAnsi="Times New Roman" w:cs="Times New Roman"/>
          <w:i/>
        </w:rPr>
        <w:t>Lion</w:t>
      </w:r>
      <w:r>
        <w:rPr>
          <w:rFonts w:ascii="Times New Roman" w:hAnsi="Times New Roman" w:cs="Times New Roman"/>
        </w:rPr>
        <w:t xml:space="preserve"> </w:t>
      </w:r>
      <w:r w:rsidRPr="008D7B0D">
        <w:rPr>
          <w:rFonts w:ascii="Times New Roman" w:hAnsi="Times New Roman" w:cs="Times New Roman"/>
          <w:i/>
        </w:rPr>
        <w:t>Match Co. Ltd</w:t>
      </w:r>
      <w:r w:rsidRPr="008D7B0D">
        <w:rPr>
          <w:rFonts w:ascii="Times New Roman" w:hAnsi="Times New Roman" w:cs="Times New Roman"/>
        </w:rPr>
        <w:t xml:space="preserve"> v </w:t>
      </w:r>
      <w:r w:rsidRPr="008D7B0D">
        <w:rPr>
          <w:rFonts w:ascii="Times New Roman" w:hAnsi="Times New Roman" w:cs="Times New Roman"/>
          <w:i/>
        </w:rPr>
        <w:t>Wessels</w:t>
      </w:r>
      <w:r w:rsidRPr="008D7B0D">
        <w:rPr>
          <w:rFonts w:ascii="Times New Roman" w:hAnsi="Times New Roman" w:cs="Times New Roman"/>
        </w:rPr>
        <w:t xml:space="preserve"> 1946OPD 376 at 380 the criterion is not the quality of the command but the intention of the legislator, which can only be denied from words of enactment its general plan and objects.”</w:t>
      </w:r>
    </w:p>
    <w:p w14:paraId="4B2F8543" w14:textId="77777777" w:rsidR="001A30F6" w:rsidRPr="008D7B0D" w:rsidRDefault="001A30F6" w:rsidP="001A30F6">
      <w:pPr>
        <w:spacing w:after="0" w:line="240" w:lineRule="auto"/>
        <w:jc w:val="both"/>
        <w:rPr>
          <w:rFonts w:ascii="Times New Roman" w:hAnsi="Times New Roman" w:cs="Times New Roman"/>
        </w:rPr>
      </w:pPr>
    </w:p>
    <w:p w14:paraId="79182FC8" w14:textId="65074E53" w:rsidR="001A30F6" w:rsidRDefault="001A30F6" w:rsidP="001A30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respondent did not cite any Supreme Court authority to the effect that the statutory terms of a statutory tenancy as provided for in the Commercial Premises Rent Regulations could be breached by late payment of rental made after the seven (7) day limit given and </w:t>
      </w:r>
      <w:r w:rsidR="000F2EB5">
        <w:rPr>
          <w:rFonts w:ascii="Times New Roman" w:hAnsi="Times New Roman" w:cs="Times New Roman"/>
          <w:sz w:val="24"/>
          <w:szCs w:val="24"/>
        </w:rPr>
        <w:t xml:space="preserve">that </w:t>
      </w:r>
      <w:r>
        <w:rPr>
          <w:rFonts w:ascii="Times New Roman" w:hAnsi="Times New Roman" w:cs="Times New Roman"/>
          <w:sz w:val="24"/>
          <w:szCs w:val="24"/>
        </w:rPr>
        <w:t xml:space="preserve">the protection remains on the basis of substantial compliance in that rent has nonetheless be paid.  It would be illogical for the landlord not to accept rental paid late on the basis that it </w:t>
      </w:r>
      <w:r>
        <w:rPr>
          <w:rFonts w:ascii="Times New Roman" w:hAnsi="Times New Roman" w:cs="Times New Roman"/>
          <w:sz w:val="24"/>
          <w:szCs w:val="24"/>
        </w:rPr>
        <w:lastRenderedPageBreak/>
        <w:t xml:space="preserve">would compromise a claim for eviction of the tenant because the rent would still be due.  Payment of rental outside the seven (7) day period given in the regulations would be in violation of the </w:t>
      </w:r>
      <w:r w:rsidR="000F2EB5">
        <w:rPr>
          <w:rFonts w:ascii="Times New Roman" w:hAnsi="Times New Roman" w:cs="Times New Roman"/>
          <w:sz w:val="24"/>
          <w:szCs w:val="24"/>
        </w:rPr>
        <w:t>statutory tenancy peremptory requirement</w:t>
      </w:r>
      <w:r>
        <w:rPr>
          <w:rFonts w:ascii="Times New Roman" w:hAnsi="Times New Roman" w:cs="Times New Roman"/>
          <w:sz w:val="24"/>
          <w:szCs w:val="24"/>
        </w:rPr>
        <w:t>.  In order to get statutory protection from eviction as provided for in s (2) of the s 22 of the regulations; the statutory lessee should pay the rent within seven (7) days of due date and observe/perform the rest of the conditions of the expired lease. The protection is granted for “so long as the lessee continues” to pay rent within the seven (7) days of due date.  Therefore, the law is clear that such statutory lessee has to “continue” to pay the rentals as provided for</w:t>
      </w:r>
      <w:r w:rsidR="004B4629">
        <w:rPr>
          <w:rFonts w:ascii="Times New Roman" w:hAnsi="Times New Roman" w:cs="Times New Roman"/>
          <w:sz w:val="24"/>
          <w:szCs w:val="24"/>
        </w:rPr>
        <w:t>.  T</w:t>
      </w:r>
      <w:r>
        <w:rPr>
          <w:rFonts w:ascii="Times New Roman" w:hAnsi="Times New Roman" w:cs="Times New Roman"/>
          <w:sz w:val="24"/>
          <w:szCs w:val="24"/>
        </w:rPr>
        <w:t>he judgment appealed against dealt with the issue in depth.</w:t>
      </w:r>
    </w:p>
    <w:p w14:paraId="1450B62E" w14:textId="77777777" w:rsidR="00FB4BA3" w:rsidRDefault="001A30F6" w:rsidP="001A30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respondent seeks to fault the judgment appealed against by arguing that the court misdirected itself in reasoning that the principle of substantial compliance does not apply to a statutory tenant.  The difficulty with the argument that the doctrine of substantial compliance is applicable is that the statutory tenant is created by a law which is clear in its terms.  It is clear because it tells the statutory lessee as in this case that “your lease has expired and has not been renewed.  You will not be removed or </w:t>
      </w:r>
      <w:r w:rsidR="004B4629">
        <w:rPr>
          <w:rFonts w:ascii="Times New Roman" w:hAnsi="Times New Roman" w:cs="Times New Roman"/>
          <w:sz w:val="24"/>
          <w:szCs w:val="24"/>
        </w:rPr>
        <w:t>ejected</w:t>
      </w:r>
      <w:r>
        <w:rPr>
          <w:rFonts w:ascii="Times New Roman" w:hAnsi="Times New Roman" w:cs="Times New Roman"/>
          <w:sz w:val="24"/>
          <w:szCs w:val="24"/>
        </w:rPr>
        <w:t xml:space="preserve"> from the leased premises for as long as you continue (own underlining) to pay due rental within seven (7) days of due date and perform other conditions in the expired lease.”  The statutory lessee then acts otherwise and pays rental after the seven (7) days.  When told that by doing so, he is in breach of the statutory tenancy he admits the breach and seeks that the breach be excused on the basis that he decided instead to pay rental outside the seven (7) day period because that is what he used to do before the lease expired and the landlord would accept the rental.  </w:t>
      </w:r>
    </w:p>
    <w:p w14:paraId="2FEE00B2" w14:textId="247CE78F" w:rsidR="001A30F6" w:rsidRDefault="001A30F6" w:rsidP="00FB4BA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problem with the </w:t>
      </w:r>
      <w:r w:rsidR="00FB4BA3">
        <w:rPr>
          <w:rFonts w:ascii="Times New Roman" w:hAnsi="Times New Roman" w:cs="Times New Roman"/>
          <w:sz w:val="24"/>
          <w:szCs w:val="24"/>
        </w:rPr>
        <w:t xml:space="preserve">above </w:t>
      </w:r>
      <w:r>
        <w:rPr>
          <w:rFonts w:ascii="Times New Roman" w:hAnsi="Times New Roman" w:cs="Times New Roman"/>
          <w:sz w:val="24"/>
          <w:szCs w:val="24"/>
        </w:rPr>
        <w:t xml:space="preserve">argument is that the provision to pay rental within seven (7) days is absolute and would </w:t>
      </w:r>
      <w:r w:rsidR="00FB4BA3">
        <w:rPr>
          <w:rFonts w:ascii="Times New Roman" w:hAnsi="Times New Roman" w:cs="Times New Roman"/>
          <w:sz w:val="24"/>
          <w:szCs w:val="24"/>
        </w:rPr>
        <w:t>supercede</w:t>
      </w:r>
      <w:r>
        <w:rPr>
          <w:rFonts w:ascii="Times New Roman" w:hAnsi="Times New Roman" w:cs="Times New Roman"/>
          <w:sz w:val="24"/>
          <w:szCs w:val="24"/>
        </w:rPr>
        <w:t xml:space="preserve"> whatever arrangements </w:t>
      </w:r>
      <w:r w:rsidR="00FB4BA3">
        <w:rPr>
          <w:rFonts w:ascii="Times New Roman" w:hAnsi="Times New Roman" w:cs="Times New Roman"/>
          <w:sz w:val="24"/>
          <w:szCs w:val="24"/>
        </w:rPr>
        <w:t>t</w:t>
      </w:r>
      <w:r>
        <w:rPr>
          <w:rFonts w:ascii="Times New Roman" w:hAnsi="Times New Roman" w:cs="Times New Roman"/>
          <w:sz w:val="24"/>
          <w:szCs w:val="24"/>
        </w:rPr>
        <w:t>here w</w:t>
      </w:r>
      <w:r w:rsidR="00FB4BA3">
        <w:rPr>
          <w:rFonts w:ascii="Times New Roman" w:hAnsi="Times New Roman" w:cs="Times New Roman"/>
          <w:sz w:val="24"/>
          <w:szCs w:val="24"/>
        </w:rPr>
        <w:t>ere</w:t>
      </w:r>
      <w:r>
        <w:rPr>
          <w:rFonts w:ascii="Times New Roman" w:hAnsi="Times New Roman" w:cs="Times New Roman"/>
          <w:sz w:val="24"/>
          <w:szCs w:val="24"/>
        </w:rPr>
        <w:t xml:space="preserve"> prior to the statutory tenancy coming into being.  In fact, for all practical purposes s 22(2) of the Commercial Premises Rent Regulations can be taken as keeping the expired lease in place or extending it in the terms existing on expiry save for the payment of rental which becomes regulated to the extent that it be paid within the seven (7) days.  The respondent did not plead that despite the provisions of s 22(2) the applicant and respondent agreed upon payment of rental after the expiry of seven (7) days.  Clearly, the intention of the legislative was to regulate the time lines for payment of rental and would have considered that period as </w:t>
      </w:r>
      <w:r w:rsidR="00066D29">
        <w:rPr>
          <w:rFonts w:ascii="Times New Roman" w:hAnsi="Times New Roman" w:cs="Times New Roman"/>
          <w:sz w:val="24"/>
          <w:szCs w:val="24"/>
        </w:rPr>
        <w:t>ju</w:t>
      </w:r>
      <w:r>
        <w:rPr>
          <w:rFonts w:ascii="Times New Roman" w:hAnsi="Times New Roman" w:cs="Times New Roman"/>
          <w:sz w:val="24"/>
          <w:szCs w:val="24"/>
        </w:rPr>
        <w:t>st and reasonable.  The legislat</w:t>
      </w:r>
      <w:r w:rsidR="00066D29">
        <w:rPr>
          <w:rFonts w:ascii="Times New Roman" w:hAnsi="Times New Roman" w:cs="Times New Roman"/>
          <w:sz w:val="24"/>
          <w:szCs w:val="24"/>
        </w:rPr>
        <w:t>ur</w:t>
      </w:r>
      <w:r>
        <w:rPr>
          <w:rFonts w:ascii="Times New Roman" w:hAnsi="Times New Roman" w:cs="Times New Roman"/>
          <w:sz w:val="24"/>
          <w:szCs w:val="24"/>
        </w:rPr>
        <w:t>e cannot have intended that the statutory lessee having been protected from eviction upon meeting the conditions of protection</w:t>
      </w:r>
      <w:r w:rsidR="00066D29">
        <w:rPr>
          <w:rFonts w:ascii="Times New Roman" w:hAnsi="Times New Roman" w:cs="Times New Roman"/>
          <w:sz w:val="24"/>
          <w:szCs w:val="24"/>
        </w:rPr>
        <w:t xml:space="preserve"> should nonetheless</w:t>
      </w:r>
      <w:r>
        <w:rPr>
          <w:rFonts w:ascii="Times New Roman" w:hAnsi="Times New Roman" w:cs="Times New Roman"/>
          <w:sz w:val="24"/>
          <w:szCs w:val="24"/>
        </w:rPr>
        <w:t xml:space="preserve"> violate </w:t>
      </w:r>
      <w:r>
        <w:rPr>
          <w:rFonts w:ascii="Times New Roman" w:hAnsi="Times New Roman" w:cs="Times New Roman"/>
          <w:sz w:val="24"/>
          <w:szCs w:val="24"/>
        </w:rPr>
        <w:lastRenderedPageBreak/>
        <w:t xml:space="preserve">them and hide under the doctrine of substantial compliance.  The court therefore reasoned that the doctrine of substantial compliance could not on the facts of this case </w:t>
      </w:r>
      <w:r w:rsidR="00066D29">
        <w:rPr>
          <w:rFonts w:ascii="Times New Roman" w:hAnsi="Times New Roman" w:cs="Times New Roman"/>
          <w:sz w:val="24"/>
          <w:szCs w:val="24"/>
        </w:rPr>
        <w:t xml:space="preserve">apply </w:t>
      </w:r>
      <w:r>
        <w:rPr>
          <w:rFonts w:ascii="Times New Roman" w:hAnsi="Times New Roman" w:cs="Times New Roman"/>
          <w:sz w:val="24"/>
          <w:szCs w:val="24"/>
        </w:rPr>
        <w:t>to statutory tenancy as set out in s 22(2) aforesaid.</w:t>
      </w:r>
    </w:p>
    <w:p w14:paraId="589D7C03" w14:textId="2A217D48" w:rsidR="001A30F6" w:rsidRDefault="001A30F6" w:rsidP="001A30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Having determined that there are no reasonable prospects of success of the appeal succeeding on any of the listed grounds of appeal.  I proceed to consider the issue of whether or not there would be irreparable harm or prejudice to the applicant or respondent as the case may be were leave to execute to be refused or granted including the balance of convenience if the potentiality of suffering irreparable harm or prejudice </w:t>
      </w:r>
      <w:r w:rsidR="00066D29">
        <w:rPr>
          <w:rFonts w:ascii="Times New Roman" w:hAnsi="Times New Roman" w:cs="Times New Roman"/>
          <w:sz w:val="24"/>
          <w:szCs w:val="24"/>
        </w:rPr>
        <w:t>ar</w:t>
      </w:r>
      <w:r>
        <w:rPr>
          <w:rFonts w:ascii="Times New Roman" w:hAnsi="Times New Roman" w:cs="Times New Roman"/>
          <w:sz w:val="24"/>
          <w:szCs w:val="24"/>
        </w:rPr>
        <w:t>e on some balance between the applicant and the respondent.  In the</w:t>
      </w:r>
      <w:r w:rsidRPr="00626922">
        <w:rPr>
          <w:rFonts w:ascii="Times New Roman" w:hAnsi="Times New Roman" w:cs="Times New Roman"/>
          <w:i/>
          <w:sz w:val="24"/>
          <w:szCs w:val="24"/>
        </w:rPr>
        <w:t xml:space="preserve"> </w:t>
      </w:r>
      <w:proofErr w:type="spellStart"/>
      <w:r w:rsidRPr="00626922">
        <w:rPr>
          <w:rFonts w:ascii="Times New Roman" w:hAnsi="Times New Roman" w:cs="Times New Roman"/>
          <w:i/>
          <w:sz w:val="24"/>
          <w:szCs w:val="24"/>
        </w:rPr>
        <w:t>Artuz</w:t>
      </w:r>
      <w:proofErr w:type="spellEnd"/>
      <w:r>
        <w:rPr>
          <w:rFonts w:ascii="Times New Roman" w:hAnsi="Times New Roman" w:cs="Times New Roman"/>
          <w:sz w:val="24"/>
          <w:szCs w:val="24"/>
        </w:rPr>
        <w:t xml:space="preserve"> v </w:t>
      </w:r>
      <w:proofErr w:type="spellStart"/>
      <w:r w:rsidRPr="00626922">
        <w:rPr>
          <w:rFonts w:ascii="Times New Roman" w:hAnsi="Times New Roman" w:cs="Times New Roman"/>
          <w:i/>
          <w:sz w:val="24"/>
          <w:szCs w:val="24"/>
        </w:rPr>
        <w:t>Zanu</w:t>
      </w:r>
      <w:proofErr w:type="spellEnd"/>
      <w:r w:rsidRPr="00626922">
        <w:rPr>
          <w:rFonts w:ascii="Times New Roman" w:hAnsi="Times New Roman" w:cs="Times New Roman"/>
          <w:i/>
          <w:sz w:val="24"/>
          <w:szCs w:val="24"/>
        </w:rPr>
        <w:t xml:space="preserve"> (PF)</w:t>
      </w:r>
      <w:r>
        <w:rPr>
          <w:rFonts w:ascii="Times New Roman" w:hAnsi="Times New Roman" w:cs="Times New Roman"/>
          <w:sz w:val="24"/>
          <w:szCs w:val="24"/>
        </w:rPr>
        <w:t xml:space="preserve"> case HMA 27/2018, case </w:t>
      </w:r>
      <w:proofErr w:type="spellStart"/>
      <w:r w:rsidRPr="001E4C29">
        <w:rPr>
          <w:rFonts w:ascii="Times New Roman" w:hAnsi="Times New Roman" w:cs="Times New Roman"/>
          <w:smallCaps/>
          <w:sz w:val="24"/>
          <w:szCs w:val="24"/>
        </w:rPr>
        <w:t>Mafusire</w:t>
      </w:r>
      <w:proofErr w:type="spellEnd"/>
      <w:r>
        <w:rPr>
          <w:rFonts w:ascii="Times New Roman" w:hAnsi="Times New Roman" w:cs="Times New Roman"/>
          <w:sz w:val="24"/>
          <w:szCs w:val="24"/>
        </w:rPr>
        <w:t xml:space="preserve"> J observed that each case depends on its own facts.  The applicant herein averred that it wanted to renovate its property because it continued to deteriorate if not attended to so that the property is returned to good condition.  The details of the renovations were not provided by the applicant.</w:t>
      </w:r>
    </w:p>
    <w:p w14:paraId="2CAB66A4" w14:textId="096C5AE3" w:rsidR="001A30F6" w:rsidRDefault="001A30F6" w:rsidP="001A30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averred that it also required the premises for its own use because it had a business that it wished to conduct at the property at the property.  The applicant f</w:t>
      </w:r>
      <w:r w:rsidR="00066D29">
        <w:rPr>
          <w:rFonts w:ascii="Times New Roman" w:hAnsi="Times New Roman" w:cs="Times New Roman"/>
          <w:sz w:val="24"/>
          <w:szCs w:val="24"/>
        </w:rPr>
        <w:t xml:space="preserve">urther </w:t>
      </w:r>
      <w:r>
        <w:rPr>
          <w:rFonts w:ascii="Times New Roman" w:hAnsi="Times New Roman" w:cs="Times New Roman"/>
          <w:sz w:val="24"/>
          <w:szCs w:val="24"/>
        </w:rPr>
        <w:t>averred that it was suffering pecuniary loss due to the respondent’s continued occupation of the premises.  It averred that the respondent was paying holding damages of US$50.00 per month when the rental is converted to USD.  It did not state what amount in Zimbabwe dollars the holding over damages were.  It averred that the expired lease agreement had a figure of USD3</w:t>
      </w:r>
      <w:r w:rsidR="003E09D7">
        <w:rPr>
          <w:rFonts w:ascii="Times New Roman" w:hAnsi="Times New Roman" w:cs="Times New Roman"/>
          <w:sz w:val="24"/>
          <w:szCs w:val="24"/>
        </w:rPr>
        <w:t> </w:t>
      </w:r>
      <w:r>
        <w:rPr>
          <w:rFonts w:ascii="Times New Roman" w:hAnsi="Times New Roman" w:cs="Times New Roman"/>
          <w:sz w:val="24"/>
          <w:szCs w:val="24"/>
        </w:rPr>
        <w:t>700.00 as rent.  The applicant pleaded unjust enrichment as the rental paid by the respondent was too low.  It averred that the prejudice suffered could not be ameliorated other that by issuing an order for the grant of leave to execute pending appeal.</w:t>
      </w:r>
    </w:p>
    <w:p w14:paraId="468D7C77" w14:textId="145CBF4F" w:rsidR="001A30F6" w:rsidRDefault="001A30F6" w:rsidP="001A30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respondent in relation to the issue of prejudice was also coy with facts.  It averred that it would suffer irreparable loss because it would be evicted from the business premises which it occupies.  It averred that it continued to pay the rental stipulated in the expired lease agreement and that it substantially complied with the provisions of the statutory tenancy.  It averred that the applicant can engage with it on the issue of the rentals.  It also averred that the applicant could approach the rent board on the issue of rent.  The respondent averred that were an order of execution pending to be granted, there would be irreparable harm to the operation of the respondent’s business.</w:t>
      </w:r>
    </w:p>
    <w:p w14:paraId="4FE4A1BB" w14:textId="4F07590C" w:rsidR="00552340" w:rsidRDefault="001A30F6" w:rsidP="0055234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court takes the view that </w:t>
      </w:r>
      <w:r w:rsidR="00066D29">
        <w:rPr>
          <w:rFonts w:ascii="Times New Roman" w:hAnsi="Times New Roman" w:cs="Times New Roman"/>
          <w:sz w:val="24"/>
          <w:szCs w:val="24"/>
        </w:rPr>
        <w:t>n</w:t>
      </w:r>
      <w:r>
        <w:rPr>
          <w:rFonts w:ascii="Times New Roman" w:hAnsi="Times New Roman" w:cs="Times New Roman"/>
          <w:sz w:val="24"/>
          <w:szCs w:val="24"/>
        </w:rPr>
        <w:t>e</w:t>
      </w:r>
      <w:r w:rsidR="007C27E5">
        <w:rPr>
          <w:rFonts w:ascii="Times New Roman" w:hAnsi="Times New Roman" w:cs="Times New Roman"/>
          <w:sz w:val="24"/>
          <w:szCs w:val="24"/>
        </w:rPr>
        <w:t>i</w:t>
      </w:r>
      <w:r>
        <w:rPr>
          <w:rFonts w:ascii="Times New Roman" w:hAnsi="Times New Roman" w:cs="Times New Roman"/>
          <w:sz w:val="24"/>
          <w:szCs w:val="24"/>
        </w:rPr>
        <w:t xml:space="preserve">ther the applicant nor the respondent has provided sufficient information from which the court can make an informed determination on the preponderance of irreparable harm or prejudice.  The applicant generalized the facts from </w:t>
      </w:r>
      <w:r>
        <w:rPr>
          <w:rFonts w:ascii="Times New Roman" w:hAnsi="Times New Roman" w:cs="Times New Roman"/>
          <w:sz w:val="24"/>
          <w:szCs w:val="24"/>
        </w:rPr>
        <w:lastRenderedPageBreak/>
        <w:t xml:space="preserve">which it sought to persuade the court to accept that it would suffer irreparable harm and prejudice were an order of execution pending appeal denied by the court.  It made general averments that the buildings needed immediate renovations.  No evidence of the extent dilapidation, the extent of renovations needed or even </w:t>
      </w:r>
      <w:r w:rsidR="00552340">
        <w:rPr>
          <w:rFonts w:ascii="Times New Roman" w:hAnsi="Times New Roman" w:cs="Times New Roman"/>
          <w:sz w:val="24"/>
          <w:szCs w:val="24"/>
        </w:rPr>
        <w:t>plans, the cost, duration to make renovations and related matter was presented to the court.  Despite the advert of video technology, no pictures of the building(s) to be remov</w:t>
      </w:r>
      <w:r w:rsidR="007C27E5">
        <w:rPr>
          <w:rFonts w:ascii="Times New Roman" w:hAnsi="Times New Roman" w:cs="Times New Roman"/>
          <w:sz w:val="24"/>
          <w:szCs w:val="24"/>
        </w:rPr>
        <w:t>ed</w:t>
      </w:r>
      <w:r w:rsidR="00552340">
        <w:rPr>
          <w:rFonts w:ascii="Times New Roman" w:hAnsi="Times New Roman" w:cs="Times New Roman"/>
          <w:sz w:val="24"/>
          <w:szCs w:val="24"/>
        </w:rPr>
        <w:t xml:space="preserve"> were presented.  Equally there was no evidence presented by the applicant on the nature of the business which it intended to carry out on the premises.  The obligation that there was prejudice arising from low rentals was again not clothed with objective facts.  There was no evidence that any study had been made on what the fair rental for the property is.  Unjust enrichment should be proved by evidence to establish it.</w:t>
      </w:r>
    </w:p>
    <w:p w14:paraId="111D749A" w14:textId="5301FD32" w:rsidR="00552340" w:rsidRDefault="00552340" w:rsidP="0055234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respondent as noted did not fare any better.  It made general submissions that </w:t>
      </w:r>
      <w:r w:rsidR="007C27E5">
        <w:rPr>
          <w:rFonts w:ascii="Times New Roman" w:hAnsi="Times New Roman" w:cs="Times New Roman"/>
          <w:sz w:val="24"/>
          <w:szCs w:val="24"/>
        </w:rPr>
        <w:t xml:space="preserve">if </w:t>
      </w:r>
      <w:r>
        <w:rPr>
          <w:rFonts w:ascii="Times New Roman" w:hAnsi="Times New Roman" w:cs="Times New Roman"/>
          <w:sz w:val="24"/>
          <w:szCs w:val="24"/>
        </w:rPr>
        <w:t xml:space="preserve">it is evicted, its business would halt and resultantly it would suffer irreparable harm.  It said nothing further.  There was no </w:t>
      </w:r>
      <w:r w:rsidR="007C27E5">
        <w:rPr>
          <w:rFonts w:ascii="Times New Roman" w:hAnsi="Times New Roman" w:cs="Times New Roman"/>
          <w:sz w:val="24"/>
          <w:szCs w:val="24"/>
        </w:rPr>
        <w:t>alle</w:t>
      </w:r>
      <w:r>
        <w:rPr>
          <w:rFonts w:ascii="Times New Roman" w:hAnsi="Times New Roman" w:cs="Times New Roman"/>
          <w:sz w:val="24"/>
          <w:szCs w:val="24"/>
        </w:rPr>
        <w:t xml:space="preserve">gation </w:t>
      </w:r>
      <w:r w:rsidR="007C27E5">
        <w:rPr>
          <w:rFonts w:ascii="Times New Roman" w:hAnsi="Times New Roman" w:cs="Times New Roman"/>
          <w:sz w:val="24"/>
          <w:szCs w:val="24"/>
        </w:rPr>
        <w:t xml:space="preserve">made </w:t>
      </w:r>
      <w:r>
        <w:rPr>
          <w:rFonts w:ascii="Times New Roman" w:hAnsi="Times New Roman" w:cs="Times New Roman"/>
          <w:sz w:val="24"/>
          <w:szCs w:val="24"/>
        </w:rPr>
        <w:t xml:space="preserve">that the respondent could not </w:t>
      </w:r>
      <w:r w:rsidR="007C27E5">
        <w:rPr>
          <w:rFonts w:ascii="Times New Roman" w:hAnsi="Times New Roman" w:cs="Times New Roman"/>
          <w:sz w:val="24"/>
          <w:szCs w:val="24"/>
        </w:rPr>
        <w:t>fin</w:t>
      </w:r>
      <w:r>
        <w:rPr>
          <w:rFonts w:ascii="Times New Roman" w:hAnsi="Times New Roman" w:cs="Times New Roman"/>
          <w:sz w:val="24"/>
          <w:szCs w:val="24"/>
        </w:rPr>
        <w:t>d comparable rent premises with the same locality or elsewhere.  It did not aver that it cannot manage to relocate.  When a tenant rent a premise under a lease agreement which has a time limit, it must expect to and be ready to relocate in the absence of a renewal.  It is therefore important that facts from which irreparable harm or prejudice can be inferred by the court</w:t>
      </w:r>
      <w:r w:rsidR="007C27E5">
        <w:rPr>
          <w:rFonts w:ascii="Times New Roman" w:hAnsi="Times New Roman" w:cs="Times New Roman"/>
          <w:sz w:val="24"/>
          <w:szCs w:val="24"/>
        </w:rPr>
        <w:t xml:space="preserve"> be adduced</w:t>
      </w:r>
      <w:r>
        <w:rPr>
          <w:rFonts w:ascii="Times New Roman" w:hAnsi="Times New Roman" w:cs="Times New Roman"/>
          <w:sz w:val="24"/>
          <w:szCs w:val="24"/>
        </w:rPr>
        <w:t>.</w:t>
      </w:r>
    </w:p>
    <w:p w14:paraId="320F007A" w14:textId="77777777" w:rsidR="00552340" w:rsidRDefault="00552340" w:rsidP="0055234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respect of prejudice being allegedly suffered by the applicant caused by a rental payment of the equivalent of USD$50.00, the respondent did not deny that the expired lease agreement had provided for a rental payment of USD$3 700.00.  It becomes a fact by deductive reasoning that under the circumstances the rental amount of USD$50.00 becomes a pittance.  The respondent then suggested that the issue could be discussed between the parties.  It did not however aver that it had initiated or suggested a discussion.  It also suggested that the applicant could approach the Rent Board to determine the fair rental for the premises.  The respondent therefore averred that the applicant had other avenues of relief and that there was therefore no unjust enrichment nor lack of alternative remedy.  There was no allegation that the respondent was proactive in relation to following alternative remedies.</w:t>
      </w:r>
    </w:p>
    <w:p w14:paraId="04921B92" w14:textId="4E9F4D73" w:rsidR="00552340" w:rsidRDefault="00552340" w:rsidP="0055234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becomes important to consider the balance of convenience or hardship to either party.  The applicant is the owner of the property in question.  He has real rights in it.  The lease agreement in relation to the property between the parties expired.  A statutory tenancy as fo</w:t>
      </w:r>
      <w:r w:rsidR="007C27E5">
        <w:rPr>
          <w:rFonts w:ascii="Times New Roman" w:hAnsi="Times New Roman" w:cs="Times New Roman"/>
          <w:sz w:val="24"/>
          <w:szCs w:val="24"/>
        </w:rPr>
        <w:t>un</w:t>
      </w:r>
      <w:r>
        <w:rPr>
          <w:rFonts w:ascii="Times New Roman" w:hAnsi="Times New Roman" w:cs="Times New Roman"/>
          <w:sz w:val="24"/>
          <w:szCs w:val="24"/>
        </w:rPr>
        <w:t xml:space="preserve">d by the trial and appeal </w:t>
      </w:r>
      <w:proofErr w:type="spellStart"/>
      <w:r>
        <w:rPr>
          <w:rFonts w:ascii="Times New Roman" w:hAnsi="Times New Roman" w:cs="Times New Roman"/>
          <w:sz w:val="24"/>
          <w:szCs w:val="24"/>
        </w:rPr>
        <w:t>courtcame</w:t>
      </w:r>
      <w:proofErr w:type="spellEnd"/>
      <w:r>
        <w:rPr>
          <w:rFonts w:ascii="Times New Roman" w:hAnsi="Times New Roman" w:cs="Times New Roman"/>
          <w:sz w:val="24"/>
          <w:szCs w:val="24"/>
        </w:rPr>
        <w:t xml:space="preserve"> into play.  It is a tenancy arrangement created by law.  The </w:t>
      </w:r>
      <w:r>
        <w:rPr>
          <w:rFonts w:ascii="Times New Roman" w:hAnsi="Times New Roman" w:cs="Times New Roman"/>
          <w:sz w:val="24"/>
          <w:szCs w:val="24"/>
        </w:rPr>
        <w:lastRenderedPageBreak/>
        <w:t>respondent failed to pay rental within 7 days of due date by its admission.  Its prospects of success on the argument of substantial compliance is gloomy with no reasonable prospects of success.</w:t>
      </w:r>
    </w:p>
    <w:p w14:paraId="74385BF2" w14:textId="22F96419" w:rsidR="00552340" w:rsidRDefault="00552340" w:rsidP="0055234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respondent did not deny that the rental of US$50.00was a pittance.  It is objectively speaking a mockery </w:t>
      </w:r>
      <w:r w:rsidR="007C27E5">
        <w:rPr>
          <w:rFonts w:ascii="Times New Roman" w:hAnsi="Times New Roman" w:cs="Times New Roman"/>
          <w:sz w:val="24"/>
          <w:szCs w:val="24"/>
        </w:rPr>
        <w:t>i</w:t>
      </w:r>
      <w:r>
        <w:rPr>
          <w:rFonts w:ascii="Times New Roman" w:hAnsi="Times New Roman" w:cs="Times New Roman"/>
          <w:sz w:val="24"/>
          <w:szCs w:val="24"/>
        </w:rPr>
        <w:t>f one considers that the rental used to be USD$3 700.00.  Under the expired lease agreement.  The suggestion that the applicant should engage the respondent or the Rental Board is something that the respondent could have initiated.  It is an issue which would require consensus between the parties and the court cannot order such</w:t>
      </w:r>
      <w:r w:rsidR="007D13E3">
        <w:rPr>
          <w:rFonts w:ascii="Times New Roman" w:hAnsi="Times New Roman" w:cs="Times New Roman"/>
          <w:sz w:val="24"/>
          <w:szCs w:val="24"/>
        </w:rPr>
        <w:t xml:space="preserve"> that the parties should do so.</w:t>
      </w:r>
    </w:p>
    <w:p w14:paraId="312C3DB0" w14:textId="77777777" w:rsidR="00552340" w:rsidRDefault="00552340" w:rsidP="0055234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the ARTUZ case </w:t>
      </w:r>
      <w:proofErr w:type="spellStart"/>
      <w:r w:rsidRPr="00E20F96">
        <w:rPr>
          <w:rFonts w:ascii="Times New Roman" w:hAnsi="Times New Roman" w:cs="Times New Roman"/>
          <w:smallCaps/>
          <w:sz w:val="24"/>
          <w:szCs w:val="24"/>
        </w:rPr>
        <w:t>Mafusire</w:t>
      </w:r>
      <w:proofErr w:type="spellEnd"/>
      <w:r>
        <w:rPr>
          <w:rFonts w:ascii="Times New Roman" w:hAnsi="Times New Roman" w:cs="Times New Roman"/>
          <w:sz w:val="24"/>
          <w:szCs w:val="24"/>
        </w:rPr>
        <w:t xml:space="preserve"> J stated in para(s) 6 and 7 of his judgment and I subscribe to his </w:t>
      </w:r>
      <w:r w:rsidRPr="007D7A37">
        <w:rPr>
          <w:rFonts w:ascii="Times New Roman" w:hAnsi="Times New Roman" w:cs="Times New Roman"/>
          <w:i/>
          <w:sz w:val="24"/>
          <w:szCs w:val="24"/>
        </w:rPr>
        <w:t>dicta</w:t>
      </w:r>
      <w:r>
        <w:rPr>
          <w:rFonts w:ascii="Times New Roman" w:hAnsi="Times New Roman" w:cs="Times New Roman"/>
          <w:sz w:val="24"/>
          <w:szCs w:val="24"/>
        </w:rPr>
        <w:t xml:space="preserve"> therein:</w:t>
      </w:r>
    </w:p>
    <w:p w14:paraId="09475CA3" w14:textId="77777777" w:rsidR="00552340" w:rsidRPr="00C5101C" w:rsidRDefault="00552340" w:rsidP="00552340">
      <w:pPr>
        <w:ind w:left="720"/>
        <w:jc w:val="both"/>
        <w:rPr>
          <w:rFonts w:ascii="Times New Roman" w:hAnsi="Times New Roman" w:cs="Times New Roman"/>
        </w:rPr>
      </w:pPr>
      <w:r>
        <w:rPr>
          <w:rFonts w:ascii="Times New Roman" w:hAnsi="Times New Roman" w:cs="Times New Roman"/>
        </w:rPr>
        <w:t>“</w:t>
      </w:r>
      <w:r w:rsidRPr="00C5101C">
        <w:rPr>
          <w:rFonts w:ascii="Times New Roman" w:hAnsi="Times New Roman" w:cs="Times New Roman"/>
        </w:rPr>
        <w:t xml:space="preserve">[6] In variably the decision whether or not to grant an application for leave to execute turns on the relative strength or weakness of the appeal.  This necessarily entails ploughing substantially the same field as done at the original hearing.  It also entails the peeking into an appeal that is pending before the superior court and in some way pronouncing a verdict on it.  That as one of the shortcomings of this type of application.  Mr </w:t>
      </w:r>
      <w:proofErr w:type="spellStart"/>
      <w:r w:rsidRPr="00C5101C">
        <w:rPr>
          <w:rFonts w:ascii="Times New Roman" w:hAnsi="Times New Roman" w:cs="Times New Roman"/>
        </w:rPr>
        <w:t>Mushangwe</w:t>
      </w:r>
      <w:proofErr w:type="spellEnd"/>
      <w:r w:rsidRPr="00C5101C">
        <w:rPr>
          <w:rFonts w:ascii="Times New Roman" w:hAnsi="Times New Roman" w:cs="Times New Roman"/>
        </w:rPr>
        <w:t xml:space="preserve"> for the first respondent argues that this in fact amounts to a </w:t>
      </w:r>
      <w:r>
        <w:rPr>
          <w:rFonts w:ascii="Times New Roman" w:hAnsi="Times New Roman" w:cs="Times New Roman"/>
        </w:rPr>
        <w:t xml:space="preserve">usurpation </w:t>
      </w:r>
      <w:r w:rsidRPr="00C5101C">
        <w:rPr>
          <w:rFonts w:ascii="Times New Roman" w:hAnsi="Times New Roman" w:cs="Times New Roman"/>
        </w:rPr>
        <w:t>of the functions of the superior courts. That seems true but to a limited extend.</w:t>
      </w:r>
    </w:p>
    <w:p w14:paraId="11B98893" w14:textId="77777777" w:rsidR="00552340" w:rsidRDefault="00552340" w:rsidP="00552340">
      <w:pPr>
        <w:ind w:left="720"/>
        <w:jc w:val="both"/>
        <w:rPr>
          <w:rFonts w:ascii="Times New Roman" w:hAnsi="Times New Roman" w:cs="Times New Roman"/>
        </w:rPr>
      </w:pPr>
      <w:r w:rsidRPr="00C5101C">
        <w:rPr>
          <w:rFonts w:ascii="Times New Roman" w:hAnsi="Times New Roman" w:cs="Times New Roman"/>
        </w:rPr>
        <w:t>[7] In an application for leave to execute it is necessary to weigh the relative strength or weakness of an appeal to guard against frivolous and vexations appeals that are noted to buy time and not for any genuine intention to correct a wrong by the lower court.  Each case depends on its own facts.  Some factors assume greater or lesser importance in some cases than do others in other cases.”</w:t>
      </w:r>
    </w:p>
    <w:p w14:paraId="15B91B17" w14:textId="77777777" w:rsidR="00552340" w:rsidRDefault="00552340" w:rsidP="00552340">
      <w:pPr>
        <w:jc w:val="both"/>
        <w:rPr>
          <w:rFonts w:ascii="Times New Roman" w:hAnsi="Times New Roman" w:cs="Times New Roman"/>
        </w:rPr>
      </w:pPr>
    </w:p>
    <w:p w14:paraId="7950F0DB" w14:textId="6374A290" w:rsidR="00552340" w:rsidRPr="007D13E3" w:rsidRDefault="00552340" w:rsidP="00552340">
      <w:pPr>
        <w:spacing w:after="0" w:line="360" w:lineRule="auto"/>
        <w:ind w:firstLine="720"/>
        <w:jc w:val="both"/>
        <w:rPr>
          <w:rFonts w:ascii="Times New Roman" w:hAnsi="Times New Roman" w:cs="Times New Roman"/>
          <w:sz w:val="24"/>
          <w:szCs w:val="24"/>
        </w:rPr>
      </w:pPr>
      <w:r w:rsidRPr="007D13E3">
        <w:rPr>
          <w:rFonts w:ascii="Times New Roman" w:hAnsi="Times New Roman" w:cs="Times New Roman"/>
          <w:sz w:val="24"/>
          <w:szCs w:val="24"/>
        </w:rPr>
        <w:t>The appropriate approach is obviously that where a court is required to consider several factors in making a determination</w:t>
      </w:r>
      <w:r w:rsidR="007D13E3">
        <w:rPr>
          <w:rFonts w:ascii="Times New Roman" w:hAnsi="Times New Roman" w:cs="Times New Roman"/>
          <w:sz w:val="24"/>
          <w:szCs w:val="24"/>
        </w:rPr>
        <w:t>,</w:t>
      </w:r>
      <w:r w:rsidRPr="007D13E3">
        <w:rPr>
          <w:rFonts w:ascii="Times New Roman" w:hAnsi="Times New Roman" w:cs="Times New Roman"/>
          <w:sz w:val="24"/>
          <w:szCs w:val="24"/>
        </w:rPr>
        <w:t xml:space="preserve"> unless the law makes a distinction on what weight be placed upon a singular factor, then the factors are to given equal consideration or pronounce and they</w:t>
      </w:r>
      <w:r w:rsidR="007D13E3">
        <w:rPr>
          <w:rFonts w:ascii="Times New Roman" w:hAnsi="Times New Roman" w:cs="Times New Roman"/>
          <w:sz w:val="24"/>
          <w:szCs w:val="24"/>
        </w:rPr>
        <w:t xml:space="preserve"> are to</w:t>
      </w:r>
      <w:r w:rsidRPr="007D13E3">
        <w:rPr>
          <w:rFonts w:ascii="Times New Roman" w:hAnsi="Times New Roman" w:cs="Times New Roman"/>
          <w:sz w:val="24"/>
          <w:szCs w:val="24"/>
        </w:rPr>
        <w:t xml:space="preserve"> be considered cumulatively in their effect.  </w:t>
      </w:r>
      <w:r w:rsidR="00AE4303" w:rsidRPr="007D13E3">
        <w:rPr>
          <w:rFonts w:ascii="Times New Roman" w:hAnsi="Times New Roman" w:cs="Times New Roman"/>
          <w:sz w:val="24"/>
          <w:szCs w:val="24"/>
        </w:rPr>
        <w:t>However,</w:t>
      </w:r>
      <w:r w:rsidRPr="007D13E3">
        <w:rPr>
          <w:rFonts w:ascii="Times New Roman" w:hAnsi="Times New Roman" w:cs="Times New Roman"/>
          <w:sz w:val="24"/>
          <w:szCs w:val="24"/>
        </w:rPr>
        <w:t xml:space="preserve"> a</w:t>
      </w:r>
      <w:r w:rsidR="007D13E3">
        <w:rPr>
          <w:rFonts w:ascii="Times New Roman" w:hAnsi="Times New Roman" w:cs="Times New Roman"/>
          <w:sz w:val="24"/>
          <w:szCs w:val="24"/>
        </w:rPr>
        <w:t>s</w:t>
      </w:r>
      <w:r w:rsidRPr="007D13E3">
        <w:rPr>
          <w:rFonts w:ascii="Times New Roman" w:hAnsi="Times New Roman" w:cs="Times New Roman"/>
          <w:sz w:val="24"/>
          <w:szCs w:val="24"/>
        </w:rPr>
        <w:t xml:space="preserve"> </w:t>
      </w:r>
      <w:proofErr w:type="spellStart"/>
      <w:r w:rsidRPr="007D13E3">
        <w:rPr>
          <w:rFonts w:ascii="Times New Roman" w:hAnsi="Times New Roman" w:cs="Times New Roman"/>
          <w:smallCaps/>
          <w:sz w:val="24"/>
          <w:szCs w:val="24"/>
        </w:rPr>
        <w:t>Mafusire</w:t>
      </w:r>
      <w:proofErr w:type="spellEnd"/>
      <w:r w:rsidRPr="007D13E3">
        <w:rPr>
          <w:rFonts w:ascii="Times New Roman" w:hAnsi="Times New Roman" w:cs="Times New Roman"/>
          <w:sz w:val="24"/>
          <w:szCs w:val="24"/>
        </w:rPr>
        <w:t xml:space="preserve"> J points out, because an appeal is intended as a mechanism for </w:t>
      </w:r>
      <w:r w:rsidRPr="007D13E3">
        <w:rPr>
          <w:rFonts w:ascii="Times New Roman" w:hAnsi="Times New Roman" w:cs="Times New Roman"/>
          <w:i/>
          <w:sz w:val="24"/>
          <w:szCs w:val="24"/>
        </w:rPr>
        <w:t>bona fide</w:t>
      </w:r>
      <w:r w:rsidRPr="007D13E3">
        <w:rPr>
          <w:rFonts w:ascii="Times New Roman" w:hAnsi="Times New Roman" w:cs="Times New Roman"/>
          <w:sz w:val="24"/>
          <w:szCs w:val="24"/>
        </w:rPr>
        <w:t xml:space="preserve"> litigants who seek to genuinely test the correctness of a judgment</w:t>
      </w:r>
      <w:r w:rsidR="007D13E3">
        <w:rPr>
          <w:rFonts w:ascii="Times New Roman" w:hAnsi="Times New Roman" w:cs="Times New Roman"/>
          <w:sz w:val="24"/>
          <w:szCs w:val="24"/>
        </w:rPr>
        <w:t>,</w:t>
      </w:r>
      <w:r w:rsidR="00AE4303">
        <w:rPr>
          <w:rFonts w:ascii="Times New Roman" w:hAnsi="Times New Roman" w:cs="Times New Roman"/>
          <w:sz w:val="24"/>
          <w:szCs w:val="24"/>
        </w:rPr>
        <w:t xml:space="preserve"> </w:t>
      </w:r>
      <w:r w:rsidR="007D13E3">
        <w:rPr>
          <w:rFonts w:ascii="Times New Roman" w:hAnsi="Times New Roman" w:cs="Times New Roman"/>
          <w:sz w:val="24"/>
          <w:szCs w:val="24"/>
        </w:rPr>
        <w:t>where</w:t>
      </w:r>
      <w:r w:rsidRPr="007D13E3">
        <w:rPr>
          <w:rFonts w:ascii="Times New Roman" w:hAnsi="Times New Roman" w:cs="Times New Roman"/>
          <w:sz w:val="24"/>
          <w:szCs w:val="24"/>
        </w:rPr>
        <w:t xml:space="preserve"> the grounds of appeal raise arguable issues a</w:t>
      </w:r>
      <w:r w:rsidR="006B685B">
        <w:rPr>
          <w:rFonts w:ascii="Times New Roman" w:hAnsi="Times New Roman" w:cs="Times New Roman"/>
          <w:sz w:val="24"/>
          <w:szCs w:val="24"/>
        </w:rPr>
        <w:t>t</w:t>
      </w:r>
      <w:r w:rsidRPr="007D13E3">
        <w:rPr>
          <w:rFonts w:ascii="Times New Roman" w:hAnsi="Times New Roman" w:cs="Times New Roman"/>
          <w:sz w:val="24"/>
          <w:szCs w:val="24"/>
        </w:rPr>
        <w:t xml:space="preserve"> law or fact and law as </w:t>
      </w:r>
      <w:r w:rsidR="007D13E3">
        <w:rPr>
          <w:rFonts w:ascii="Times New Roman" w:hAnsi="Times New Roman" w:cs="Times New Roman"/>
          <w:sz w:val="24"/>
          <w:szCs w:val="24"/>
        </w:rPr>
        <w:t>are likel</w:t>
      </w:r>
      <w:r w:rsidR="00AE4303">
        <w:rPr>
          <w:rFonts w:ascii="Times New Roman" w:hAnsi="Times New Roman" w:cs="Times New Roman"/>
          <w:sz w:val="24"/>
          <w:szCs w:val="24"/>
        </w:rPr>
        <w:t>y</w:t>
      </w:r>
      <w:r w:rsidR="007D13E3">
        <w:rPr>
          <w:rFonts w:ascii="Times New Roman" w:hAnsi="Times New Roman" w:cs="Times New Roman"/>
          <w:sz w:val="24"/>
          <w:szCs w:val="24"/>
        </w:rPr>
        <w:t xml:space="preserve"> to</w:t>
      </w:r>
      <w:r w:rsidRPr="007D13E3">
        <w:rPr>
          <w:rFonts w:ascii="Times New Roman" w:hAnsi="Times New Roman" w:cs="Times New Roman"/>
          <w:sz w:val="24"/>
          <w:szCs w:val="24"/>
        </w:rPr>
        <w:t xml:space="preserve"> result if successful in the appeal court reversing the decision of the lower court, prospects of success or lack thereof gains more </w:t>
      </w:r>
      <w:r w:rsidR="00AE4303" w:rsidRPr="007D13E3">
        <w:rPr>
          <w:rFonts w:ascii="Times New Roman" w:hAnsi="Times New Roman" w:cs="Times New Roman"/>
          <w:sz w:val="24"/>
          <w:szCs w:val="24"/>
        </w:rPr>
        <w:t>pro</w:t>
      </w:r>
      <w:r w:rsidR="00AE4303">
        <w:rPr>
          <w:rFonts w:ascii="Times New Roman" w:hAnsi="Times New Roman" w:cs="Times New Roman"/>
          <w:sz w:val="24"/>
          <w:szCs w:val="24"/>
        </w:rPr>
        <w:t>minenc</w:t>
      </w:r>
      <w:r w:rsidR="00AE4303" w:rsidRPr="007D13E3">
        <w:rPr>
          <w:rFonts w:ascii="Times New Roman" w:hAnsi="Times New Roman" w:cs="Times New Roman"/>
          <w:sz w:val="24"/>
          <w:szCs w:val="24"/>
        </w:rPr>
        <w:t>e</w:t>
      </w:r>
      <w:r w:rsidR="00AE4303">
        <w:rPr>
          <w:rFonts w:ascii="Times New Roman" w:hAnsi="Times New Roman" w:cs="Times New Roman"/>
          <w:sz w:val="24"/>
          <w:szCs w:val="24"/>
        </w:rPr>
        <w:t>.  However</w:t>
      </w:r>
      <w:r w:rsidRPr="007D13E3">
        <w:rPr>
          <w:rFonts w:ascii="Times New Roman" w:hAnsi="Times New Roman" w:cs="Times New Roman"/>
          <w:sz w:val="24"/>
          <w:szCs w:val="24"/>
        </w:rPr>
        <w:t xml:space="preserve"> as stated by </w:t>
      </w:r>
      <w:proofErr w:type="spellStart"/>
      <w:r w:rsidRPr="007D13E3">
        <w:rPr>
          <w:rFonts w:ascii="Times New Roman" w:hAnsi="Times New Roman" w:cs="Times New Roman"/>
          <w:smallCaps/>
          <w:sz w:val="24"/>
          <w:szCs w:val="24"/>
        </w:rPr>
        <w:t>Mathonsi</w:t>
      </w:r>
      <w:proofErr w:type="spellEnd"/>
      <w:r w:rsidRPr="007D13E3">
        <w:rPr>
          <w:rFonts w:ascii="Times New Roman" w:hAnsi="Times New Roman" w:cs="Times New Roman"/>
          <w:sz w:val="24"/>
          <w:szCs w:val="24"/>
        </w:rPr>
        <w:t xml:space="preserve"> J (as he </w:t>
      </w:r>
      <w:r w:rsidR="00AE4303">
        <w:rPr>
          <w:rFonts w:ascii="Times New Roman" w:hAnsi="Times New Roman" w:cs="Times New Roman"/>
          <w:sz w:val="24"/>
          <w:szCs w:val="24"/>
        </w:rPr>
        <w:t xml:space="preserve">then </w:t>
      </w:r>
      <w:r w:rsidRPr="007D13E3">
        <w:rPr>
          <w:rFonts w:ascii="Times New Roman" w:hAnsi="Times New Roman" w:cs="Times New Roman"/>
          <w:sz w:val="24"/>
          <w:szCs w:val="24"/>
        </w:rPr>
        <w:t>was) in the case of</w:t>
      </w:r>
      <w:r w:rsidRPr="007D13E3">
        <w:rPr>
          <w:rFonts w:ascii="Times New Roman" w:hAnsi="Times New Roman" w:cs="Times New Roman"/>
          <w:i/>
          <w:sz w:val="24"/>
          <w:szCs w:val="24"/>
        </w:rPr>
        <w:t xml:space="preserve"> Nzara</w:t>
      </w:r>
      <w:r w:rsidRPr="007D13E3">
        <w:rPr>
          <w:rFonts w:ascii="Times New Roman" w:hAnsi="Times New Roman" w:cs="Times New Roman"/>
          <w:sz w:val="24"/>
          <w:szCs w:val="24"/>
        </w:rPr>
        <w:t xml:space="preserve"> v </w:t>
      </w:r>
      <w:proofErr w:type="spellStart"/>
      <w:r w:rsidRPr="007D13E3">
        <w:rPr>
          <w:rFonts w:ascii="Times New Roman" w:hAnsi="Times New Roman" w:cs="Times New Roman"/>
          <w:sz w:val="24"/>
          <w:szCs w:val="24"/>
        </w:rPr>
        <w:t>T</w:t>
      </w:r>
      <w:r w:rsidRPr="007D13E3">
        <w:rPr>
          <w:rFonts w:ascii="Times New Roman" w:hAnsi="Times New Roman" w:cs="Times New Roman"/>
          <w:i/>
          <w:sz w:val="24"/>
          <w:szCs w:val="24"/>
        </w:rPr>
        <w:t>sanyau</w:t>
      </w:r>
      <w:proofErr w:type="spellEnd"/>
      <w:r w:rsidRPr="007D13E3">
        <w:rPr>
          <w:rFonts w:ascii="Times New Roman" w:hAnsi="Times New Roman" w:cs="Times New Roman"/>
          <w:sz w:val="24"/>
          <w:szCs w:val="24"/>
        </w:rPr>
        <w:t xml:space="preserve"> HH 303/13, borrowing  from the </w:t>
      </w:r>
      <w:r w:rsidRPr="007D13E3">
        <w:rPr>
          <w:rFonts w:ascii="Times New Roman" w:hAnsi="Times New Roman" w:cs="Times New Roman"/>
          <w:i/>
          <w:sz w:val="24"/>
          <w:szCs w:val="24"/>
        </w:rPr>
        <w:t>dicta</w:t>
      </w:r>
      <w:r w:rsidRPr="007D13E3">
        <w:rPr>
          <w:rFonts w:ascii="Times New Roman" w:hAnsi="Times New Roman" w:cs="Times New Roman"/>
          <w:sz w:val="24"/>
          <w:szCs w:val="24"/>
        </w:rPr>
        <w:t xml:space="preserve"> of </w:t>
      </w:r>
      <w:proofErr w:type="spellStart"/>
      <w:r w:rsidRPr="007D13E3">
        <w:rPr>
          <w:rFonts w:ascii="Times New Roman" w:hAnsi="Times New Roman" w:cs="Times New Roman"/>
          <w:smallCaps/>
          <w:sz w:val="24"/>
          <w:szCs w:val="24"/>
        </w:rPr>
        <w:t>Makarau</w:t>
      </w:r>
      <w:proofErr w:type="spellEnd"/>
      <w:r w:rsidRPr="007D13E3">
        <w:rPr>
          <w:rFonts w:ascii="Times New Roman" w:hAnsi="Times New Roman" w:cs="Times New Roman"/>
          <w:sz w:val="24"/>
          <w:szCs w:val="24"/>
        </w:rPr>
        <w:t xml:space="preserve"> JP (as she was) in </w:t>
      </w:r>
      <w:r w:rsidRPr="007D13E3">
        <w:rPr>
          <w:rFonts w:ascii="Times New Roman" w:hAnsi="Times New Roman" w:cs="Times New Roman"/>
          <w:i/>
          <w:sz w:val="24"/>
          <w:szCs w:val="24"/>
        </w:rPr>
        <w:t xml:space="preserve">Old Mutual Life </w:t>
      </w:r>
      <w:proofErr w:type="spellStart"/>
      <w:r w:rsidRPr="007D13E3">
        <w:rPr>
          <w:rFonts w:ascii="Times New Roman" w:hAnsi="Times New Roman" w:cs="Times New Roman"/>
          <w:i/>
          <w:sz w:val="24"/>
          <w:szCs w:val="24"/>
        </w:rPr>
        <w:t>Assuarance</w:t>
      </w:r>
      <w:proofErr w:type="spellEnd"/>
      <w:r w:rsidRPr="007D13E3">
        <w:rPr>
          <w:rFonts w:ascii="Times New Roman" w:hAnsi="Times New Roman" w:cs="Times New Roman"/>
          <w:i/>
          <w:sz w:val="24"/>
          <w:szCs w:val="24"/>
        </w:rPr>
        <w:t xml:space="preserve"> Company (Pvt )</w:t>
      </w:r>
      <w:r w:rsidRPr="007D13E3">
        <w:rPr>
          <w:rFonts w:ascii="Times New Roman" w:hAnsi="Times New Roman" w:cs="Times New Roman"/>
          <w:sz w:val="24"/>
          <w:szCs w:val="24"/>
        </w:rPr>
        <w:t xml:space="preserve"> </w:t>
      </w:r>
      <w:r w:rsidRPr="007D13E3">
        <w:rPr>
          <w:rFonts w:ascii="Times New Roman" w:hAnsi="Times New Roman" w:cs="Times New Roman"/>
          <w:i/>
          <w:sz w:val="24"/>
          <w:szCs w:val="24"/>
        </w:rPr>
        <w:t>Ltd</w:t>
      </w:r>
      <w:r w:rsidRPr="007D13E3">
        <w:rPr>
          <w:rFonts w:ascii="Times New Roman" w:hAnsi="Times New Roman" w:cs="Times New Roman"/>
          <w:sz w:val="24"/>
          <w:szCs w:val="24"/>
        </w:rPr>
        <w:t xml:space="preserve"> v </w:t>
      </w:r>
      <w:proofErr w:type="spellStart"/>
      <w:r w:rsidRPr="007D13E3">
        <w:rPr>
          <w:rFonts w:ascii="Times New Roman" w:hAnsi="Times New Roman" w:cs="Times New Roman"/>
          <w:i/>
          <w:sz w:val="24"/>
          <w:szCs w:val="24"/>
        </w:rPr>
        <w:t>Makgatho</w:t>
      </w:r>
      <w:proofErr w:type="spellEnd"/>
      <w:r w:rsidRPr="007D13E3">
        <w:rPr>
          <w:rFonts w:ascii="Times New Roman" w:hAnsi="Times New Roman" w:cs="Times New Roman"/>
          <w:sz w:val="24"/>
          <w:szCs w:val="24"/>
        </w:rPr>
        <w:t xml:space="preserve"> HH 39/07</w:t>
      </w:r>
      <w:r w:rsidR="00F92CA3">
        <w:rPr>
          <w:rFonts w:ascii="Times New Roman" w:hAnsi="Times New Roman" w:cs="Times New Roman"/>
          <w:sz w:val="24"/>
          <w:szCs w:val="24"/>
        </w:rPr>
        <w:t xml:space="preserve">, </w:t>
      </w:r>
      <w:r w:rsidRPr="007D13E3">
        <w:rPr>
          <w:rFonts w:ascii="Times New Roman" w:hAnsi="Times New Roman" w:cs="Times New Roman"/>
          <w:sz w:val="24"/>
          <w:szCs w:val="24"/>
        </w:rPr>
        <w:t xml:space="preserve">the respondent in an application to execute pending appeal has an </w:t>
      </w:r>
      <w:r w:rsidRPr="007D13E3">
        <w:rPr>
          <w:rFonts w:ascii="Times New Roman" w:hAnsi="Times New Roman" w:cs="Times New Roman"/>
          <w:sz w:val="24"/>
          <w:szCs w:val="24"/>
        </w:rPr>
        <w:lastRenderedPageBreak/>
        <w:t>absolute right of appeal</w:t>
      </w:r>
      <w:r w:rsidR="00F92CA3">
        <w:rPr>
          <w:rFonts w:ascii="Times New Roman" w:hAnsi="Times New Roman" w:cs="Times New Roman"/>
          <w:sz w:val="24"/>
          <w:szCs w:val="24"/>
        </w:rPr>
        <w:t>, thus</w:t>
      </w:r>
      <w:r w:rsidRPr="007D13E3">
        <w:rPr>
          <w:rFonts w:ascii="Times New Roman" w:hAnsi="Times New Roman" w:cs="Times New Roman"/>
          <w:sz w:val="24"/>
          <w:szCs w:val="24"/>
        </w:rPr>
        <w:t xml:space="preserve"> the  application </w:t>
      </w:r>
      <w:r w:rsidR="00F92CA3">
        <w:rPr>
          <w:rFonts w:ascii="Times New Roman" w:hAnsi="Times New Roman" w:cs="Times New Roman"/>
          <w:sz w:val="24"/>
          <w:szCs w:val="24"/>
        </w:rPr>
        <w:t xml:space="preserve">for leave to execute pending appeal </w:t>
      </w:r>
      <w:r w:rsidRPr="007D13E3">
        <w:rPr>
          <w:rFonts w:ascii="Times New Roman" w:hAnsi="Times New Roman" w:cs="Times New Roman"/>
          <w:sz w:val="24"/>
          <w:szCs w:val="24"/>
        </w:rPr>
        <w:t xml:space="preserve">should not in the exercise of  court’s discretion be granted unless the court determines that the appeal has been noted without a bona fide intention to test the correctness of the judgment but </w:t>
      </w:r>
      <w:r w:rsidR="00F92CA3">
        <w:rPr>
          <w:rFonts w:ascii="Times New Roman" w:hAnsi="Times New Roman" w:cs="Times New Roman"/>
          <w:sz w:val="24"/>
          <w:szCs w:val="24"/>
        </w:rPr>
        <w:t>is motivated</w:t>
      </w:r>
      <w:r w:rsidRPr="007D13E3">
        <w:rPr>
          <w:rFonts w:ascii="Times New Roman" w:hAnsi="Times New Roman" w:cs="Times New Roman"/>
          <w:sz w:val="24"/>
          <w:szCs w:val="24"/>
        </w:rPr>
        <w:t xml:space="preserve"> by the desire to buy  time  and harass </w:t>
      </w:r>
      <w:r w:rsidR="00F92CA3">
        <w:rPr>
          <w:rFonts w:ascii="Times New Roman" w:hAnsi="Times New Roman" w:cs="Times New Roman"/>
          <w:sz w:val="24"/>
          <w:szCs w:val="24"/>
        </w:rPr>
        <w:t>for leave to execute p</w:t>
      </w:r>
      <w:r w:rsidRPr="007D13E3">
        <w:rPr>
          <w:rFonts w:ascii="Times New Roman" w:hAnsi="Times New Roman" w:cs="Times New Roman"/>
          <w:sz w:val="24"/>
          <w:szCs w:val="24"/>
        </w:rPr>
        <w:t xml:space="preserve">the successful party.   Accordingly, the prospects of success as stated by the learned judge, could not be the sole consideration for the grant of refusal of the application.  See also </w:t>
      </w:r>
      <w:r w:rsidRPr="007D13E3">
        <w:rPr>
          <w:rFonts w:ascii="Times New Roman" w:hAnsi="Times New Roman" w:cs="Times New Roman"/>
          <w:i/>
          <w:sz w:val="24"/>
          <w:szCs w:val="24"/>
        </w:rPr>
        <w:t>Apostolic Faith Mission in Zimbabwe</w:t>
      </w:r>
      <w:r w:rsidRPr="007D13E3">
        <w:rPr>
          <w:rFonts w:ascii="Times New Roman" w:hAnsi="Times New Roman" w:cs="Times New Roman"/>
          <w:sz w:val="24"/>
          <w:szCs w:val="24"/>
        </w:rPr>
        <w:t xml:space="preserve"> v </w:t>
      </w:r>
      <w:proofErr w:type="spellStart"/>
      <w:r w:rsidRPr="007D13E3">
        <w:rPr>
          <w:rFonts w:ascii="Times New Roman" w:hAnsi="Times New Roman" w:cs="Times New Roman"/>
          <w:i/>
          <w:sz w:val="24"/>
          <w:szCs w:val="24"/>
        </w:rPr>
        <w:t>Cossam</w:t>
      </w:r>
      <w:proofErr w:type="spellEnd"/>
      <w:r w:rsidRPr="007D13E3">
        <w:rPr>
          <w:rFonts w:ascii="Times New Roman" w:hAnsi="Times New Roman" w:cs="Times New Roman"/>
          <w:i/>
          <w:sz w:val="24"/>
          <w:szCs w:val="24"/>
        </w:rPr>
        <w:t xml:space="preserve"> </w:t>
      </w:r>
      <w:proofErr w:type="spellStart"/>
      <w:r w:rsidRPr="007D13E3">
        <w:rPr>
          <w:rFonts w:ascii="Times New Roman" w:hAnsi="Times New Roman" w:cs="Times New Roman"/>
          <w:i/>
          <w:sz w:val="24"/>
          <w:szCs w:val="24"/>
        </w:rPr>
        <w:t>Chiangwa</w:t>
      </w:r>
      <w:proofErr w:type="spellEnd"/>
      <w:r w:rsidRPr="007D13E3">
        <w:rPr>
          <w:rFonts w:ascii="Times New Roman" w:hAnsi="Times New Roman" w:cs="Times New Roman"/>
          <w:sz w:val="24"/>
          <w:szCs w:val="24"/>
        </w:rPr>
        <w:t xml:space="preserve"> HH 21/22.</w:t>
      </w:r>
    </w:p>
    <w:p w14:paraId="313507E8" w14:textId="27939E1C" w:rsidR="00552340" w:rsidRPr="007D13E3" w:rsidRDefault="00552340" w:rsidP="00552340">
      <w:pPr>
        <w:spacing w:after="0" w:line="360" w:lineRule="auto"/>
        <w:ind w:firstLine="720"/>
        <w:jc w:val="both"/>
        <w:rPr>
          <w:rFonts w:ascii="Times New Roman" w:hAnsi="Times New Roman" w:cs="Times New Roman"/>
          <w:sz w:val="24"/>
          <w:szCs w:val="24"/>
        </w:rPr>
      </w:pPr>
      <w:r w:rsidRPr="007D13E3">
        <w:rPr>
          <w:rFonts w:ascii="Times New Roman" w:hAnsi="Times New Roman" w:cs="Times New Roman"/>
          <w:sz w:val="24"/>
          <w:szCs w:val="24"/>
        </w:rPr>
        <w:t xml:space="preserve">Proceeding </w:t>
      </w:r>
      <w:r w:rsidR="00C46A68">
        <w:rPr>
          <w:rFonts w:ascii="Times New Roman" w:hAnsi="Times New Roman" w:cs="Times New Roman"/>
          <w:sz w:val="24"/>
          <w:szCs w:val="24"/>
        </w:rPr>
        <w:t>a</w:t>
      </w:r>
      <w:r w:rsidRPr="007D13E3">
        <w:rPr>
          <w:rFonts w:ascii="Times New Roman" w:hAnsi="Times New Roman" w:cs="Times New Roman"/>
          <w:sz w:val="24"/>
          <w:szCs w:val="24"/>
        </w:rPr>
        <w:t xml:space="preserve">s duly guided by the </w:t>
      </w:r>
      <w:proofErr w:type="spellStart"/>
      <w:r w:rsidRPr="007D13E3">
        <w:rPr>
          <w:rFonts w:ascii="Times New Roman" w:hAnsi="Times New Roman" w:cs="Times New Roman"/>
          <w:i/>
          <w:sz w:val="24"/>
          <w:szCs w:val="24"/>
        </w:rPr>
        <w:t>dictas</w:t>
      </w:r>
      <w:proofErr w:type="spellEnd"/>
      <w:r w:rsidRPr="007D13E3">
        <w:rPr>
          <w:rFonts w:ascii="Times New Roman" w:hAnsi="Times New Roman" w:cs="Times New Roman"/>
          <w:sz w:val="24"/>
          <w:szCs w:val="24"/>
        </w:rPr>
        <w:t xml:space="preserve"> referred to, in the authorities cited, I am satisfied that this is a proper case to exercise the court’s discretion in favour of the applicant.  I consider that the appeal noted was </w:t>
      </w:r>
      <w:r w:rsidR="00C46A68">
        <w:rPr>
          <w:rFonts w:ascii="Times New Roman" w:hAnsi="Times New Roman" w:cs="Times New Roman"/>
          <w:sz w:val="24"/>
          <w:szCs w:val="24"/>
        </w:rPr>
        <w:t>filed</w:t>
      </w:r>
      <w:r w:rsidRPr="007D13E3">
        <w:rPr>
          <w:rFonts w:ascii="Times New Roman" w:hAnsi="Times New Roman" w:cs="Times New Roman"/>
          <w:sz w:val="24"/>
          <w:szCs w:val="24"/>
        </w:rPr>
        <w:t xml:space="preserve"> with no </w:t>
      </w:r>
      <w:r w:rsidRPr="007D13E3">
        <w:rPr>
          <w:rFonts w:ascii="Times New Roman" w:hAnsi="Times New Roman" w:cs="Times New Roman"/>
          <w:i/>
          <w:sz w:val="24"/>
          <w:szCs w:val="24"/>
        </w:rPr>
        <w:t>bona fides</w:t>
      </w:r>
      <w:r w:rsidRPr="007D13E3">
        <w:rPr>
          <w:rFonts w:ascii="Times New Roman" w:hAnsi="Times New Roman" w:cs="Times New Roman"/>
          <w:sz w:val="24"/>
          <w:szCs w:val="24"/>
        </w:rPr>
        <w:t xml:space="preserve"> of </w:t>
      </w:r>
      <w:r w:rsidR="00C46A68">
        <w:rPr>
          <w:rFonts w:ascii="Times New Roman" w:hAnsi="Times New Roman" w:cs="Times New Roman"/>
          <w:sz w:val="24"/>
          <w:szCs w:val="24"/>
        </w:rPr>
        <w:t xml:space="preserve">a </w:t>
      </w:r>
      <w:r w:rsidRPr="007D13E3">
        <w:rPr>
          <w:rFonts w:ascii="Times New Roman" w:hAnsi="Times New Roman" w:cs="Times New Roman"/>
          <w:sz w:val="24"/>
          <w:szCs w:val="24"/>
        </w:rPr>
        <w:t xml:space="preserve">success </w:t>
      </w:r>
      <w:r w:rsidR="00C46A68">
        <w:rPr>
          <w:rFonts w:ascii="Times New Roman" w:hAnsi="Times New Roman" w:cs="Times New Roman"/>
          <w:sz w:val="24"/>
          <w:szCs w:val="24"/>
        </w:rPr>
        <w:t xml:space="preserve">result </w:t>
      </w:r>
      <w:r w:rsidRPr="007D13E3">
        <w:rPr>
          <w:rFonts w:ascii="Times New Roman" w:hAnsi="Times New Roman" w:cs="Times New Roman"/>
          <w:sz w:val="24"/>
          <w:szCs w:val="24"/>
        </w:rPr>
        <w:t>but to delay the day of reckoning.  The respondent deliberately failed to abide the conditions which protects its occupation of the premises in question under statutory tenancy.  It chose well knowing that it was required by law to pay rental within 7 day</w:t>
      </w:r>
      <w:r w:rsidR="00C46A68">
        <w:rPr>
          <w:rFonts w:ascii="Times New Roman" w:hAnsi="Times New Roman" w:cs="Times New Roman"/>
          <w:sz w:val="24"/>
          <w:szCs w:val="24"/>
        </w:rPr>
        <w:t>s</w:t>
      </w:r>
      <w:r w:rsidRPr="007D13E3">
        <w:rPr>
          <w:rFonts w:ascii="Times New Roman" w:hAnsi="Times New Roman" w:cs="Times New Roman"/>
          <w:sz w:val="24"/>
          <w:szCs w:val="24"/>
        </w:rPr>
        <w:t xml:space="preserve"> of due date to pay the rent outside of the 7 days</w:t>
      </w:r>
      <w:r w:rsidR="00C46A68">
        <w:rPr>
          <w:rFonts w:ascii="Times New Roman" w:hAnsi="Times New Roman" w:cs="Times New Roman"/>
          <w:sz w:val="24"/>
          <w:szCs w:val="24"/>
        </w:rPr>
        <w:t>.  I</w:t>
      </w:r>
      <w:r w:rsidRPr="007D13E3">
        <w:rPr>
          <w:rFonts w:ascii="Times New Roman" w:hAnsi="Times New Roman" w:cs="Times New Roman"/>
          <w:sz w:val="24"/>
          <w:szCs w:val="24"/>
        </w:rPr>
        <w:t xml:space="preserve">ts argument that it did so because that was what it did before the statutory tenancy took effect does not hold.  The argument on the late payment </w:t>
      </w:r>
      <w:r w:rsidR="00CA2002">
        <w:rPr>
          <w:rFonts w:ascii="Times New Roman" w:hAnsi="Times New Roman" w:cs="Times New Roman"/>
          <w:sz w:val="24"/>
          <w:szCs w:val="24"/>
        </w:rPr>
        <w:t xml:space="preserve">as </w:t>
      </w:r>
      <w:r w:rsidRPr="007D13E3">
        <w:rPr>
          <w:rFonts w:ascii="Times New Roman" w:hAnsi="Times New Roman" w:cs="Times New Roman"/>
          <w:sz w:val="24"/>
          <w:szCs w:val="24"/>
        </w:rPr>
        <w:t>amounting to substantial compliance is illogical.  It would mean that no lessee can be held to be in material breach of a lease agreement for late payment of rental.   Considering that the owner of the property has real rights to it as opposed to the tenant, where the tenant who has personal rights can relocate, the owner suffers more prejudice because he fails to enjoy the real rights he has because of a stubborn tenant.</w:t>
      </w:r>
    </w:p>
    <w:p w14:paraId="5A7D1CFB" w14:textId="652572C2" w:rsidR="00552340" w:rsidRPr="007D13E3" w:rsidRDefault="00552340" w:rsidP="00552340">
      <w:pPr>
        <w:spacing w:line="360" w:lineRule="auto"/>
        <w:ind w:firstLine="720"/>
        <w:jc w:val="both"/>
        <w:rPr>
          <w:rFonts w:ascii="Times New Roman" w:hAnsi="Times New Roman" w:cs="Times New Roman"/>
          <w:sz w:val="24"/>
          <w:szCs w:val="24"/>
        </w:rPr>
      </w:pPr>
      <w:r w:rsidRPr="007D13E3">
        <w:rPr>
          <w:rFonts w:ascii="Times New Roman" w:hAnsi="Times New Roman" w:cs="Times New Roman"/>
          <w:sz w:val="24"/>
          <w:szCs w:val="24"/>
        </w:rPr>
        <w:t>The respondent did not ask the court to consider allowing it some time to find an alternative premise to rent.  On costs, they should follow the result in the appeal. I dispose of the application as follows;</w:t>
      </w:r>
    </w:p>
    <w:p w14:paraId="0CCDB0E3" w14:textId="1B575208" w:rsidR="00552340" w:rsidRDefault="00552340" w:rsidP="00552340">
      <w:pPr>
        <w:ind w:firstLine="360"/>
        <w:jc w:val="both"/>
        <w:rPr>
          <w:rFonts w:ascii="Times New Roman" w:hAnsi="Times New Roman" w:cs="Times New Roman"/>
        </w:rPr>
      </w:pPr>
      <w:r>
        <w:rPr>
          <w:rFonts w:ascii="Times New Roman" w:hAnsi="Times New Roman" w:cs="Times New Roman"/>
          <w:b/>
          <w:bCs/>
        </w:rPr>
        <w:tab/>
      </w:r>
      <w:r w:rsidRPr="00552340">
        <w:rPr>
          <w:rFonts w:ascii="Times New Roman" w:hAnsi="Times New Roman" w:cs="Times New Roman"/>
          <w:b/>
          <w:bCs/>
        </w:rPr>
        <w:t>IT IS ORDERED THAT</w:t>
      </w:r>
      <w:r>
        <w:rPr>
          <w:rFonts w:ascii="Times New Roman" w:hAnsi="Times New Roman" w:cs="Times New Roman"/>
        </w:rPr>
        <w:t>:</w:t>
      </w:r>
    </w:p>
    <w:p w14:paraId="4A07B6ED" w14:textId="0998D45B" w:rsidR="00552340" w:rsidRDefault="00552340" w:rsidP="00552340">
      <w:pPr>
        <w:pStyle w:val="ListParagraph"/>
        <w:numPr>
          <w:ilvl w:val="0"/>
          <w:numId w:val="3"/>
        </w:numPr>
        <w:spacing w:line="360" w:lineRule="auto"/>
        <w:jc w:val="both"/>
        <w:rPr>
          <w:rFonts w:ascii="Times New Roman" w:hAnsi="Times New Roman" w:cs="Times New Roman"/>
          <w:sz w:val="24"/>
          <w:szCs w:val="24"/>
        </w:rPr>
      </w:pPr>
      <w:r w:rsidRPr="00552340">
        <w:rPr>
          <w:rFonts w:ascii="Times New Roman" w:hAnsi="Times New Roman" w:cs="Times New Roman"/>
          <w:sz w:val="24"/>
          <w:szCs w:val="24"/>
        </w:rPr>
        <w:t>The application for leave to execute judgment HH 527/21 dated 29 September, 2021 in respect of case No. MC 4305/19 pending the determination of the pending Supreme Court Appeal SC 377/21 is granted.</w:t>
      </w:r>
    </w:p>
    <w:p w14:paraId="47175AFC" w14:textId="2E53B08D" w:rsidR="00467209" w:rsidRDefault="00467209" w:rsidP="00467209">
      <w:pPr>
        <w:spacing w:line="360" w:lineRule="auto"/>
        <w:jc w:val="both"/>
        <w:rPr>
          <w:rFonts w:ascii="Times New Roman" w:hAnsi="Times New Roman" w:cs="Times New Roman"/>
          <w:sz w:val="24"/>
          <w:szCs w:val="24"/>
        </w:rPr>
      </w:pPr>
    </w:p>
    <w:p w14:paraId="5BA8EF2E" w14:textId="7AECAF5E" w:rsidR="00467209" w:rsidRDefault="00467209" w:rsidP="00467209">
      <w:pPr>
        <w:spacing w:line="360" w:lineRule="auto"/>
        <w:jc w:val="both"/>
        <w:rPr>
          <w:rFonts w:ascii="Times New Roman" w:hAnsi="Times New Roman" w:cs="Times New Roman"/>
          <w:sz w:val="24"/>
          <w:szCs w:val="24"/>
        </w:rPr>
      </w:pPr>
    </w:p>
    <w:p w14:paraId="6510AC6C" w14:textId="77777777" w:rsidR="00467209" w:rsidRPr="00467209" w:rsidRDefault="00467209" w:rsidP="00467209">
      <w:pPr>
        <w:spacing w:line="360" w:lineRule="auto"/>
        <w:jc w:val="both"/>
        <w:rPr>
          <w:rFonts w:ascii="Times New Roman" w:hAnsi="Times New Roman" w:cs="Times New Roman"/>
          <w:sz w:val="24"/>
          <w:szCs w:val="24"/>
        </w:rPr>
      </w:pPr>
    </w:p>
    <w:p w14:paraId="1B180C69" w14:textId="77777777" w:rsidR="00552340" w:rsidRPr="00552340" w:rsidRDefault="00552340" w:rsidP="00552340">
      <w:pPr>
        <w:pStyle w:val="ListParagraph"/>
        <w:jc w:val="both"/>
        <w:rPr>
          <w:rFonts w:ascii="Times New Roman" w:hAnsi="Times New Roman" w:cs="Times New Roman"/>
          <w:sz w:val="24"/>
          <w:szCs w:val="24"/>
        </w:rPr>
      </w:pPr>
    </w:p>
    <w:p w14:paraId="2501805C" w14:textId="4074E0F5" w:rsidR="00552340" w:rsidRPr="00552340" w:rsidRDefault="00552340" w:rsidP="00552340">
      <w:pPr>
        <w:pStyle w:val="ListParagraph"/>
        <w:numPr>
          <w:ilvl w:val="0"/>
          <w:numId w:val="3"/>
        </w:numPr>
        <w:spacing w:line="360" w:lineRule="auto"/>
        <w:jc w:val="both"/>
        <w:rPr>
          <w:rFonts w:ascii="Times New Roman" w:hAnsi="Times New Roman" w:cs="Times New Roman"/>
          <w:sz w:val="24"/>
          <w:szCs w:val="24"/>
        </w:rPr>
      </w:pPr>
      <w:r w:rsidRPr="00552340">
        <w:rPr>
          <w:rFonts w:ascii="Times New Roman" w:hAnsi="Times New Roman" w:cs="Times New Roman"/>
          <w:sz w:val="24"/>
          <w:szCs w:val="24"/>
        </w:rPr>
        <w:t>The costs of the application shall follow the event or outcome of case No</w:t>
      </w:r>
      <w:r>
        <w:rPr>
          <w:rFonts w:ascii="Times New Roman" w:hAnsi="Times New Roman" w:cs="Times New Roman"/>
          <w:sz w:val="24"/>
          <w:szCs w:val="24"/>
        </w:rPr>
        <w:t>.</w:t>
      </w:r>
      <w:r w:rsidRPr="00552340">
        <w:rPr>
          <w:rFonts w:ascii="Times New Roman" w:hAnsi="Times New Roman" w:cs="Times New Roman"/>
          <w:sz w:val="24"/>
          <w:szCs w:val="24"/>
        </w:rPr>
        <w:t xml:space="preserve"> </w:t>
      </w:r>
      <w:r w:rsidRPr="00552340">
        <w:rPr>
          <w:rFonts w:ascii="Times New Roman" w:hAnsi="Times New Roman" w:cs="Times New Roman"/>
          <w:smallCaps/>
          <w:sz w:val="24"/>
          <w:szCs w:val="24"/>
        </w:rPr>
        <w:t>SC 377</w:t>
      </w:r>
      <w:r w:rsidRPr="00552340">
        <w:rPr>
          <w:rFonts w:ascii="Times New Roman" w:hAnsi="Times New Roman" w:cs="Times New Roman"/>
          <w:sz w:val="24"/>
          <w:szCs w:val="24"/>
        </w:rPr>
        <w:t>/21.</w:t>
      </w:r>
    </w:p>
    <w:p w14:paraId="45A6103B" w14:textId="77777777" w:rsidR="00552340" w:rsidRDefault="00552340" w:rsidP="00552340">
      <w:pPr>
        <w:jc w:val="both"/>
        <w:rPr>
          <w:rFonts w:ascii="Times New Roman" w:hAnsi="Times New Roman" w:cs="Times New Roman"/>
        </w:rPr>
      </w:pPr>
    </w:p>
    <w:p w14:paraId="0EC973DD" w14:textId="77777777" w:rsidR="00552340" w:rsidRDefault="00552340" w:rsidP="00552340">
      <w:pPr>
        <w:jc w:val="both"/>
        <w:rPr>
          <w:rFonts w:ascii="Times New Roman" w:hAnsi="Times New Roman" w:cs="Times New Roman"/>
        </w:rPr>
      </w:pPr>
    </w:p>
    <w:p w14:paraId="616EA340" w14:textId="77777777" w:rsidR="00552340" w:rsidRDefault="00552340" w:rsidP="00552340">
      <w:pPr>
        <w:jc w:val="both"/>
        <w:rPr>
          <w:rFonts w:ascii="Times New Roman" w:hAnsi="Times New Roman" w:cs="Times New Roman"/>
        </w:rPr>
      </w:pPr>
    </w:p>
    <w:p w14:paraId="6C79B067" w14:textId="77777777" w:rsidR="00552340" w:rsidRDefault="00552340" w:rsidP="00552340">
      <w:pPr>
        <w:jc w:val="both"/>
        <w:rPr>
          <w:rFonts w:ascii="Times New Roman" w:hAnsi="Times New Roman" w:cs="Times New Roman"/>
        </w:rPr>
      </w:pPr>
    </w:p>
    <w:p w14:paraId="13715DAD" w14:textId="69B319E6" w:rsidR="00552340" w:rsidRDefault="00552340" w:rsidP="00552340">
      <w:pPr>
        <w:spacing w:after="0"/>
        <w:jc w:val="both"/>
        <w:rPr>
          <w:rFonts w:ascii="Times New Roman" w:hAnsi="Times New Roman" w:cs="Times New Roman"/>
        </w:rPr>
      </w:pPr>
      <w:proofErr w:type="spellStart"/>
      <w:r w:rsidRPr="00AE7502">
        <w:rPr>
          <w:rFonts w:ascii="Times New Roman" w:hAnsi="Times New Roman" w:cs="Times New Roman"/>
          <w:i/>
        </w:rPr>
        <w:t>Matizanadzo</w:t>
      </w:r>
      <w:proofErr w:type="spellEnd"/>
      <w:r w:rsidRPr="00AE7502">
        <w:rPr>
          <w:rFonts w:ascii="Times New Roman" w:hAnsi="Times New Roman" w:cs="Times New Roman"/>
          <w:i/>
        </w:rPr>
        <w:t xml:space="preserve"> &amp; </w:t>
      </w:r>
      <w:proofErr w:type="spellStart"/>
      <w:r w:rsidRPr="00AE7502">
        <w:rPr>
          <w:rFonts w:ascii="Times New Roman" w:hAnsi="Times New Roman" w:cs="Times New Roman"/>
          <w:i/>
        </w:rPr>
        <w:t>W</w:t>
      </w:r>
      <w:r w:rsidR="005C4BCD">
        <w:rPr>
          <w:rFonts w:ascii="Times New Roman" w:hAnsi="Times New Roman" w:cs="Times New Roman"/>
          <w:i/>
        </w:rPr>
        <w:t>a</w:t>
      </w:r>
      <w:r w:rsidRPr="00AE7502">
        <w:rPr>
          <w:rFonts w:ascii="Times New Roman" w:hAnsi="Times New Roman" w:cs="Times New Roman"/>
          <w:i/>
        </w:rPr>
        <w:t>rhurst</w:t>
      </w:r>
      <w:proofErr w:type="spellEnd"/>
      <w:r>
        <w:rPr>
          <w:rFonts w:ascii="Times New Roman" w:hAnsi="Times New Roman" w:cs="Times New Roman"/>
        </w:rPr>
        <w:t>, applicant’s legal practitioners</w:t>
      </w:r>
    </w:p>
    <w:p w14:paraId="7F236BDE" w14:textId="77777777" w:rsidR="00552340" w:rsidRPr="00026BE5" w:rsidRDefault="00552340" w:rsidP="00552340">
      <w:pPr>
        <w:spacing w:after="0"/>
        <w:jc w:val="both"/>
        <w:rPr>
          <w:rFonts w:ascii="Times New Roman" w:hAnsi="Times New Roman" w:cs="Times New Roman"/>
        </w:rPr>
      </w:pPr>
      <w:proofErr w:type="spellStart"/>
      <w:r w:rsidRPr="00AE7502">
        <w:rPr>
          <w:rFonts w:ascii="Times New Roman" w:hAnsi="Times New Roman" w:cs="Times New Roman"/>
          <w:i/>
        </w:rPr>
        <w:t>Tavenhave</w:t>
      </w:r>
      <w:proofErr w:type="spellEnd"/>
      <w:r w:rsidRPr="00AE7502">
        <w:rPr>
          <w:rFonts w:ascii="Times New Roman" w:hAnsi="Times New Roman" w:cs="Times New Roman"/>
          <w:i/>
        </w:rPr>
        <w:t xml:space="preserve"> &amp; </w:t>
      </w:r>
      <w:proofErr w:type="spellStart"/>
      <w:r w:rsidRPr="00AE7502">
        <w:rPr>
          <w:rFonts w:ascii="Times New Roman" w:hAnsi="Times New Roman" w:cs="Times New Roman"/>
          <w:i/>
        </w:rPr>
        <w:t>Machingauta</w:t>
      </w:r>
      <w:proofErr w:type="spellEnd"/>
      <w:r>
        <w:rPr>
          <w:rFonts w:ascii="Times New Roman" w:hAnsi="Times New Roman" w:cs="Times New Roman"/>
        </w:rPr>
        <w:t>, respondent’s legal practitioners</w:t>
      </w:r>
    </w:p>
    <w:p w14:paraId="0CEE226E" w14:textId="77777777" w:rsidR="00552340" w:rsidRPr="00C5101C" w:rsidRDefault="00552340" w:rsidP="00552340">
      <w:pPr>
        <w:jc w:val="both"/>
        <w:rPr>
          <w:rFonts w:ascii="Times New Roman" w:hAnsi="Times New Roman" w:cs="Times New Roman"/>
        </w:rPr>
      </w:pPr>
    </w:p>
    <w:p w14:paraId="3CECC7BC" w14:textId="26AB9654" w:rsidR="001A30F6" w:rsidRPr="00CB0FBE" w:rsidRDefault="001A30F6" w:rsidP="001A30F6">
      <w:pPr>
        <w:spacing w:after="0" w:line="360" w:lineRule="auto"/>
        <w:jc w:val="both"/>
        <w:rPr>
          <w:rFonts w:ascii="Times New Roman" w:hAnsi="Times New Roman" w:cs="Times New Roman"/>
          <w:sz w:val="24"/>
          <w:szCs w:val="24"/>
        </w:rPr>
      </w:pPr>
    </w:p>
    <w:p w14:paraId="38B4F76D" w14:textId="77777777" w:rsidR="001A30F6" w:rsidRPr="00930D22" w:rsidRDefault="001A30F6" w:rsidP="00930D22">
      <w:pPr>
        <w:spacing w:after="0" w:line="360" w:lineRule="auto"/>
        <w:ind w:firstLine="720"/>
        <w:jc w:val="both"/>
        <w:rPr>
          <w:rFonts w:ascii="Times New Roman" w:hAnsi="Times New Roman" w:cs="Times New Roman"/>
          <w:sz w:val="24"/>
          <w:szCs w:val="24"/>
          <w:lang w:val="en-US"/>
        </w:rPr>
      </w:pPr>
    </w:p>
    <w:sectPr w:rsidR="001A30F6" w:rsidRPr="00930D2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EBE16" w14:textId="77777777" w:rsidR="000E651D" w:rsidRDefault="000E651D" w:rsidP="0000534F">
      <w:pPr>
        <w:spacing w:after="0" w:line="240" w:lineRule="auto"/>
      </w:pPr>
      <w:r>
        <w:separator/>
      </w:r>
    </w:p>
  </w:endnote>
  <w:endnote w:type="continuationSeparator" w:id="0">
    <w:p w14:paraId="72B3AEFC" w14:textId="77777777" w:rsidR="000E651D" w:rsidRDefault="000E651D" w:rsidP="00005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77F4D" w14:textId="77777777" w:rsidR="000E651D" w:rsidRDefault="000E651D" w:rsidP="0000534F">
      <w:pPr>
        <w:spacing w:after="0" w:line="240" w:lineRule="auto"/>
      </w:pPr>
      <w:r>
        <w:separator/>
      </w:r>
    </w:p>
  </w:footnote>
  <w:footnote w:type="continuationSeparator" w:id="0">
    <w:p w14:paraId="5D1880C2" w14:textId="77777777" w:rsidR="000E651D" w:rsidRDefault="000E651D" w:rsidP="000053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10380"/>
      <w:docPartObj>
        <w:docPartGallery w:val="Page Numbers (Top of Page)"/>
        <w:docPartUnique/>
      </w:docPartObj>
    </w:sdtPr>
    <w:sdtEndPr>
      <w:rPr>
        <w:noProof/>
      </w:rPr>
    </w:sdtEndPr>
    <w:sdtContent>
      <w:p w14:paraId="11C42EB1" w14:textId="5DA6A435" w:rsidR="0000534F" w:rsidRDefault="0000534F">
        <w:pPr>
          <w:pStyle w:val="Header"/>
          <w:jc w:val="right"/>
          <w:rPr>
            <w:noProof/>
          </w:rPr>
        </w:pPr>
        <w:r>
          <w:fldChar w:fldCharType="begin"/>
        </w:r>
        <w:r>
          <w:instrText xml:space="preserve"> PAGE   \* MERGEFORMAT </w:instrText>
        </w:r>
        <w:r>
          <w:fldChar w:fldCharType="separate"/>
        </w:r>
        <w:r w:rsidR="00925CFD">
          <w:rPr>
            <w:noProof/>
          </w:rPr>
          <w:t>1</w:t>
        </w:r>
        <w:r>
          <w:rPr>
            <w:noProof/>
          </w:rPr>
          <w:fldChar w:fldCharType="end"/>
        </w:r>
      </w:p>
      <w:p w14:paraId="6BD3F040" w14:textId="797D7AA9" w:rsidR="00DA4938" w:rsidRDefault="00DA4938">
        <w:pPr>
          <w:pStyle w:val="Header"/>
          <w:jc w:val="right"/>
          <w:rPr>
            <w:noProof/>
          </w:rPr>
        </w:pPr>
        <w:r>
          <w:rPr>
            <w:noProof/>
          </w:rPr>
          <w:t>H</w:t>
        </w:r>
        <w:r w:rsidR="007C4184">
          <w:rPr>
            <w:noProof/>
          </w:rPr>
          <w:t xml:space="preserve">H </w:t>
        </w:r>
        <w:r w:rsidR="00CF3173">
          <w:rPr>
            <w:noProof/>
          </w:rPr>
          <w:t>292</w:t>
        </w:r>
        <w:r w:rsidR="007C4184">
          <w:rPr>
            <w:noProof/>
          </w:rPr>
          <w:t>-23</w:t>
        </w:r>
      </w:p>
      <w:p w14:paraId="2D28AECB" w14:textId="77777777" w:rsidR="0000534F" w:rsidRDefault="0000534F">
        <w:pPr>
          <w:pStyle w:val="Header"/>
          <w:jc w:val="right"/>
          <w:rPr>
            <w:noProof/>
          </w:rPr>
        </w:pPr>
        <w:r>
          <w:rPr>
            <w:noProof/>
          </w:rPr>
          <w:t>CASE NO. HC 5592/21</w:t>
        </w:r>
      </w:p>
      <w:p w14:paraId="543ECD58" w14:textId="05DC8DCE" w:rsidR="0000534F" w:rsidRDefault="0000534F">
        <w:pPr>
          <w:pStyle w:val="Header"/>
          <w:jc w:val="right"/>
        </w:pPr>
        <w:r>
          <w:rPr>
            <w:noProof/>
          </w:rPr>
          <w:t>REF CASE NO. CIV “A” 292/19</w:t>
        </w:r>
      </w:p>
    </w:sdtContent>
  </w:sdt>
  <w:p w14:paraId="3CA74C29" w14:textId="77777777" w:rsidR="0000534F" w:rsidRDefault="0000534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2A30"/>
    <w:multiLevelType w:val="hybridMultilevel"/>
    <w:tmpl w:val="56D8FE62"/>
    <w:lvl w:ilvl="0" w:tplc="4FBC61A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44E13BBF"/>
    <w:multiLevelType w:val="hybridMultilevel"/>
    <w:tmpl w:val="A0B26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A25E20"/>
    <w:multiLevelType w:val="hybridMultilevel"/>
    <w:tmpl w:val="77BE58E4"/>
    <w:lvl w:ilvl="0" w:tplc="F936254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52"/>
    <w:rsid w:val="0000534F"/>
    <w:rsid w:val="00020EF3"/>
    <w:rsid w:val="000279FD"/>
    <w:rsid w:val="00066D29"/>
    <w:rsid w:val="000E651D"/>
    <w:rsid w:val="000F2EB5"/>
    <w:rsid w:val="000F73EF"/>
    <w:rsid w:val="001A30F6"/>
    <w:rsid w:val="001B2BF0"/>
    <w:rsid w:val="001E2467"/>
    <w:rsid w:val="002C2112"/>
    <w:rsid w:val="002D6581"/>
    <w:rsid w:val="002D70F6"/>
    <w:rsid w:val="00336369"/>
    <w:rsid w:val="003B142C"/>
    <w:rsid w:val="003E09D7"/>
    <w:rsid w:val="00467209"/>
    <w:rsid w:val="004B4629"/>
    <w:rsid w:val="00542994"/>
    <w:rsid w:val="00552340"/>
    <w:rsid w:val="005C4BCD"/>
    <w:rsid w:val="0061773A"/>
    <w:rsid w:val="00620D56"/>
    <w:rsid w:val="006355CA"/>
    <w:rsid w:val="006B685B"/>
    <w:rsid w:val="006E2B52"/>
    <w:rsid w:val="007B5222"/>
    <w:rsid w:val="007B6F6B"/>
    <w:rsid w:val="007C27E5"/>
    <w:rsid w:val="007C4184"/>
    <w:rsid w:val="007D13E3"/>
    <w:rsid w:val="009074A6"/>
    <w:rsid w:val="009210AE"/>
    <w:rsid w:val="00925CFD"/>
    <w:rsid w:val="00930C47"/>
    <w:rsid w:val="00930D22"/>
    <w:rsid w:val="00A078BC"/>
    <w:rsid w:val="00A10E67"/>
    <w:rsid w:val="00A46706"/>
    <w:rsid w:val="00AA4D8A"/>
    <w:rsid w:val="00AA62FD"/>
    <w:rsid w:val="00AE4303"/>
    <w:rsid w:val="00AE6E0A"/>
    <w:rsid w:val="00B37E20"/>
    <w:rsid w:val="00B53B72"/>
    <w:rsid w:val="00C46A68"/>
    <w:rsid w:val="00CA2002"/>
    <w:rsid w:val="00CF3173"/>
    <w:rsid w:val="00D62A47"/>
    <w:rsid w:val="00D87319"/>
    <w:rsid w:val="00DA4938"/>
    <w:rsid w:val="00DD5501"/>
    <w:rsid w:val="00E55325"/>
    <w:rsid w:val="00E6344A"/>
    <w:rsid w:val="00E8029D"/>
    <w:rsid w:val="00F65E52"/>
    <w:rsid w:val="00F92CA3"/>
    <w:rsid w:val="00FB4BA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6074"/>
  <w15:chartTrackingRefBased/>
  <w15:docId w15:val="{2BB1D51E-E1FB-4046-82F9-CE663775A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112"/>
    <w:pPr>
      <w:ind w:left="720"/>
      <w:contextualSpacing/>
    </w:pPr>
  </w:style>
  <w:style w:type="paragraph" w:styleId="Header">
    <w:name w:val="header"/>
    <w:basedOn w:val="Normal"/>
    <w:link w:val="HeaderChar"/>
    <w:uiPriority w:val="99"/>
    <w:unhideWhenUsed/>
    <w:rsid w:val="000053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534F"/>
  </w:style>
  <w:style w:type="paragraph" w:styleId="Footer">
    <w:name w:val="footer"/>
    <w:basedOn w:val="Normal"/>
    <w:link w:val="FooterChar"/>
    <w:uiPriority w:val="99"/>
    <w:unhideWhenUsed/>
    <w:rsid w:val="000053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34F"/>
  </w:style>
  <w:style w:type="paragraph" w:styleId="BalloonText">
    <w:name w:val="Balloon Text"/>
    <w:basedOn w:val="Normal"/>
    <w:link w:val="BalloonTextChar"/>
    <w:uiPriority w:val="99"/>
    <w:semiHidden/>
    <w:unhideWhenUsed/>
    <w:rsid w:val="00CF31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1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4148</Words>
  <Characters>23644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JSC</cp:lastModifiedBy>
  <cp:revision>2</cp:revision>
  <cp:lastPrinted>2023-05-12T10:50:00Z</cp:lastPrinted>
  <dcterms:created xsi:type="dcterms:W3CDTF">2023-05-19T09:44:00Z</dcterms:created>
  <dcterms:modified xsi:type="dcterms:W3CDTF">2023-05-19T09:44:00Z</dcterms:modified>
</cp:coreProperties>
</file>