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BBA" w:rsidRDefault="005D7817" w:rsidP="005D7817">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TOMMY PILIME</w:t>
      </w:r>
    </w:p>
    <w:p w:rsidR="005D7817" w:rsidRDefault="005D7817" w:rsidP="005D7817">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LINA PILIME</w:t>
      </w:r>
    </w:p>
    <w:p w:rsidR="005D7817" w:rsidRDefault="005D7817" w:rsidP="005D7817">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SHEPHERED MUSHONGA</w:t>
      </w:r>
    </w:p>
    <w:p w:rsidR="005D7817" w:rsidRDefault="005D7817" w:rsidP="005D7817">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MASTER OF HIGH COURT (N.O)</w:t>
      </w:r>
    </w:p>
    <w:p w:rsidR="005D7817" w:rsidRDefault="005D7817" w:rsidP="005D7817">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REGISTRAR OF DEEDS (N.O)</w:t>
      </w: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rsidR="005D7817" w:rsidRPr="005D7817" w:rsidRDefault="005D7817" w:rsidP="005D7817">
      <w:pPr>
        <w:pStyle w:val="NoSpacing"/>
        <w:jc w:val="both"/>
        <w:rPr>
          <w:rFonts w:ascii="Times New Roman" w:hAnsi="Times New Roman" w:cs="Times New Roman"/>
          <w:b/>
          <w:sz w:val="24"/>
          <w:szCs w:val="24"/>
        </w:rPr>
      </w:pPr>
      <w:r w:rsidRPr="005D7817">
        <w:rPr>
          <w:rFonts w:ascii="Times New Roman" w:hAnsi="Times New Roman" w:cs="Times New Roman"/>
          <w:b/>
          <w:sz w:val="24"/>
          <w:szCs w:val="24"/>
        </w:rPr>
        <w:t>MAXWELL J</w:t>
      </w:r>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HARARE; 10 June 2025</w:t>
      </w:r>
      <w:r w:rsidR="00622040">
        <w:rPr>
          <w:rFonts w:ascii="Times New Roman" w:hAnsi="Times New Roman" w:cs="Times New Roman"/>
          <w:sz w:val="24"/>
          <w:szCs w:val="24"/>
        </w:rPr>
        <w:t xml:space="preserve"> &amp; 18 September 2025</w:t>
      </w: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p>
    <w:p w:rsidR="00622040" w:rsidRPr="00622040" w:rsidRDefault="00622040" w:rsidP="005D7817">
      <w:pPr>
        <w:pStyle w:val="NoSpacing"/>
        <w:jc w:val="both"/>
        <w:rPr>
          <w:rFonts w:ascii="Times New Roman" w:hAnsi="Times New Roman" w:cs="Times New Roman"/>
          <w:b/>
          <w:i/>
          <w:sz w:val="24"/>
          <w:szCs w:val="24"/>
        </w:rPr>
      </w:pPr>
      <w:r w:rsidRPr="00622040">
        <w:rPr>
          <w:rFonts w:ascii="Times New Roman" w:hAnsi="Times New Roman" w:cs="Times New Roman"/>
          <w:b/>
          <w:i/>
          <w:sz w:val="24"/>
          <w:szCs w:val="24"/>
        </w:rPr>
        <w:t>Opposed Matter</w:t>
      </w: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r w:rsidRPr="005D7817">
        <w:rPr>
          <w:rFonts w:ascii="Times New Roman" w:hAnsi="Times New Roman" w:cs="Times New Roman"/>
          <w:i/>
          <w:sz w:val="24"/>
          <w:szCs w:val="24"/>
        </w:rPr>
        <w:t xml:space="preserve">M.S </w:t>
      </w:r>
      <w:proofErr w:type="spellStart"/>
      <w:r w:rsidRPr="005D7817">
        <w:rPr>
          <w:rFonts w:ascii="Times New Roman" w:hAnsi="Times New Roman" w:cs="Times New Roman"/>
          <w:i/>
          <w:sz w:val="24"/>
          <w:szCs w:val="24"/>
        </w:rPr>
        <w:t>Nyanoka</w:t>
      </w:r>
      <w:proofErr w:type="spellEnd"/>
      <w:r>
        <w:rPr>
          <w:rFonts w:ascii="Times New Roman" w:hAnsi="Times New Roman" w:cs="Times New Roman"/>
          <w:sz w:val="24"/>
          <w:szCs w:val="24"/>
        </w:rPr>
        <w:t>, for the applicant</w:t>
      </w:r>
    </w:p>
    <w:p w:rsidR="005D7817" w:rsidRDefault="005D7817" w:rsidP="005D7817">
      <w:pPr>
        <w:pStyle w:val="NoSpacing"/>
        <w:jc w:val="both"/>
        <w:rPr>
          <w:rFonts w:ascii="Times New Roman" w:hAnsi="Times New Roman" w:cs="Times New Roman"/>
          <w:sz w:val="24"/>
          <w:szCs w:val="24"/>
        </w:rPr>
      </w:pPr>
      <w:r w:rsidRPr="005D7817">
        <w:rPr>
          <w:rFonts w:ascii="Times New Roman" w:hAnsi="Times New Roman" w:cs="Times New Roman"/>
          <w:i/>
          <w:sz w:val="24"/>
          <w:szCs w:val="24"/>
        </w:rPr>
        <w:t xml:space="preserve">S. </w:t>
      </w:r>
      <w:proofErr w:type="spellStart"/>
      <w:r w:rsidRPr="005D7817">
        <w:rPr>
          <w:rFonts w:ascii="Times New Roman" w:hAnsi="Times New Roman" w:cs="Times New Roman"/>
          <w:i/>
          <w:sz w:val="24"/>
          <w:szCs w:val="24"/>
        </w:rPr>
        <w:t>Mushonga</w:t>
      </w:r>
      <w:proofErr w:type="spellEnd"/>
      <w:r>
        <w:rPr>
          <w:rFonts w:ascii="Times New Roman" w:hAnsi="Times New Roman" w:cs="Times New Roman"/>
          <w:sz w:val="24"/>
          <w:szCs w:val="24"/>
        </w:rPr>
        <w:t>, for the first respondent</w:t>
      </w:r>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No appearance for second to fourth respondent</w:t>
      </w: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r>
        <w:rPr>
          <w:rFonts w:ascii="Times New Roman" w:hAnsi="Times New Roman" w:cs="Times New Roman"/>
          <w:sz w:val="24"/>
          <w:szCs w:val="24"/>
        </w:rPr>
        <w:t>MAXWELL J:</w:t>
      </w: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jc w:val="both"/>
        <w:rPr>
          <w:rFonts w:ascii="Times New Roman" w:hAnsi="Times New Roman" w:cs="Times New Roman"/>
          <w:sz w:val="24"/>
          <w:szCs w:val="24"/>
        </w:rPr>
      </w:pPr>
    </w:p>
    <w:p w:rsidR="005D7817" w:rsidRDefault="005D7817"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estate of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was registered with the third respondent under DR 6164/22. Applicant and the first respondent are children of the deceased. Applicant seeks the reopening of his deceased father’s estate which was wound up.</w:t>
      </w:r>
    </w:p>
    <w:p w:rsidR="005D7817" w:rsidRDefault="005D7817"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Founding Affidavit, applicant stated the following. On or around December 1981,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and his then wife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acquired House No. 44 </w:t>
      </w:r>
      <w:proofErr w:type="spellStart"/>
      <w:r>
        <w:rPr>
          <w:rFonts w:ascii="Times New Roman" w:hAnsi="Times New Roman" w:cs="Times New Roman"/>
          <w:sz w:val="24"/>
          <w:szCs w:val="24"/>
        </w:rPr>
        <w:t>Sikavakadzi</w:t>
      </w:r>
      <w:proofErr w:type="spellEnd"/>
      <w:r>
        <w:rPr>
          <w:rFonts w:ascii="Times New Roman" w:hAnsi="Times New Roman" w:cs="Times New Roman"/>
          <w:sz w:val="24"/>
          <w:szCs w:val="24"/>
        </w:rPr>
        <w:t xml:space="preserve"> Street, </w:t>
      </w:r>
      <w:proofErr w:type="spellStart"/>
      <w:r>
        <w:rPr>
          <w:rFonts w:ascii="Times New Roman" w:hAnsi="Times New Roman" w:cs="Times New Roman"/>
          <w:sz w:val="24"/>
          <w:szCs w:val="24"/>
        </w:rPr>
        <w:t>Mufakose</w:t>
      </w:r>
      <w:proofErr w:type="spellEnd"/>
      <w:r>
        <w:rPr>
          <w:rFonts w:ascii="Times New Roman" w:hAnsi="Times New Roman" w:cs="Times New Roman"/>
          <w:sz w:val="24"/>
          <w:szCs w:val="24"/>
        </w:rPr>
        <w:t xml:space="preserve">, Harare (the property). The property is registered </w:t>
      </w:r>
      <w:r w:rsidR="00622040">
        <w:rPr>
          <w:rFonts w:ascii="Times New Roman" w:hAnsi="Times New Roman" w:cs="Times New Roman"/>
          <w:sz w:val="24"/>
          <w:szCs w:val="24"/>
        </w:rPr>
        <w:t xml:space="preserve">in </w:t>
      </w:r>
      <w:r>
        <w:rPr>
          <w:rFonts w:ascii="Times New Roman" w:hAnsi="Times New Roman" w:cs="Times New Roman"/>
          <w:sz w:val="24"/>
          <w:szCs w:val="24"/>
        </w:rPr>
        <w:t xml:space="preserve">both names. The applicant’s father was married to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in terms of the then African Marriage</w:t>
      </w:r>
      <w:r w:rsidR="00622040">
        <w:rPr>
          <w:rFonts w:ascii="Times New Roman" w:hAnsi="Times New Roman" w:cs="Times New Roman"/>
          <w:sz w:val="24"/>
          <w:szCs w:val="24"/>
        </w:rPr>
        <w:t>s</w:t>
      </w:r>
      <w:r>
        <w:rPr>
          <w:rFonts w:ascii="Times New Roman" w:hAnsi="Times New Roman" w:cs="Times New Roman"/>
          <w:sz w:val="24"/>
          <w:szCs w:val="24"/>
        </w:rPr>
        <w:t xml:space="preserve"> Act of 1951. Around 1993 applicant’s father married one Olivia </w:t>
      </w:r>
      <w:proofErr w:type="spellStart"/>
      <w:r>
        <w:rPr>
          <w:rFonts w:ascii="Times New Roman" w:hAnsi="Times New Roman" w:cs="Times New Roman"/>
          <w:sz w:val="24"/>
          <w:szCs w:val="24"/>
        </w:rPr>
        <w:t>Sibanda</w:t>
      </w:r>
      <w:proofErr w:type="spellEnd"/>
      <w:r>
        <w:rPr>
          <w:rFonts w:ascii="Times New Roman" w:hAnsi="Times New Roman" w:cs="Times New Roman"/>
          <w:sz w:val="24"/>
          <w:szCs w:val="24"/>
        </w:rPr>
        <w:t xml:space="preserve"> in terms of traditions and customs. The union resulted in the birth of three children. In 1997 deceased created a will in which he bequeathed full ownership of the property to his daughter, the first respondent. He further granted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a usufruct over the same property for her lifetime even though she was a co – owner. Julia </w:t>
      </w:r>
      <w:proofErr w:type="spellStart"/>
      <w:r>
        <w:rPr>
          <w:rFonts w:ascii="Times New Roman" w:hAnsi="Times New Roman" w:cs="Times New Roman"/>
          <w:sz w:val="24"/>
          <w:szCs w:val="24"/>
        </w:rPr>
        <w:lastRenderedPageBreak/>
        <w:t>Pilime</w:t>
      </w:r>
      <w:proofErr w:type="spellEnd"/>
      <w:r>
        <w:rPr>
          <w:rFonts w:ascii="Times New Roman" w:hAnsi="Times New Roman" w:cs="Times New Roman"/>
          <w:sz w:val="24"/>
          <w:szCs w:val="24"/>
        </w:rPr>
        <w:t xml:space="preserve"> passed on in 2011 intestate. Her estate is registered under DR 289/21.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also passed away in 2017. His estate was also registered with the third respondent.</w:t>
      </w:r>
    </w:p>
    <w:p w:rsidR="005D7817" w:rsidRDefault="005D7817"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Upon registration of John </w:t>
      </w:r>
      <w:proofErr w:type="spellStart"/>
      <w:r>
        <w:rPr>
          <w:rFonts w:ascii="Times New Roman" w:hAnsi="Times New Roman" w:cs="Times New Roman"/>
          <w:sz w:val="24"/>
          <w:szCs w:val="24"/>
        </w:rPr>
        <w:t>Pilime’s</w:t>
      </w:r>
      <w:proofErr w:type="spellEnd"/>
      <w:r>
        <w:rPr>
          <w:rFonts w:ascii="Times New Roman" w:hAnsi="Times New Roman" w:cs="Times New Roman"/>
          <w:sz w:val="24"/>
          <w:szCs w:val="24"/>
        </w:rPr>
        <w:t xml:space="preserve"> estate, first respondent was then awarded full ownership of the property. Applicant averred that there are special circumstances warranting the reopening of the estate of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He submitted that it was wrong and unlawful for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to bequeath the property in question to the first respondent as the property was jointly owned. In addition, apart from the applicant as a beneficiary the deceased also had another wife who became</w:t>
      </w:r>
      <w:r w:rsidR="00C667EB">
        <w:rPr>
          <w:rFonts w:ascii="Times New Roman" w:hAnsi="Times New Roman" w:cs="Times New Roman"/>
          <w:sz w:val="24"/>
          <w:szCs w:val="24"/>
        </w:rPr>
        <w:t xml:space="preserve"> the surviving spouse entitled to inherit from her husband’s estate.</w:t>
      </w:r>
    </w:p>
    <w:p w:rsidR="00C667EB" w:rsidRDefault="00C667EB"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response, first respondent raised points </w:t>
      </w:r>
      <w:r w:rsidRPr="005741E9">
        <w:rPr>
          <w:rFonts w:ascii="Times New Roman" w:hAnsi="Times New Roman" w:cs="Times New Roman"/>
          <w:i/>
          <w:sz w:val="24"/>
          <w:szCs w:val="24"/>
        </w:rPr>
        <w:t xml:space="preserve">in </w:t>
      </w:r>
      <w:proofErr w:type="spellStart"/>
      <w:r w:rsidRPr="005741E9">
        <w:rPr>
          <w:rFonts w:ascii="Times New Roman" w:hAnsi="Times New Roman" w:cs="Times New Roman"/>
          <w:i/>
          <w:sz w:val="24"/>
          <w:szCs w:val="24"/>
        </w:rPr>
        <w:t>limine</w:t>
      </w:r>
      <w:proofErr w:type="spellEnd"/>
      <w:r>
        <w:rPr>
          <w:rFonts w:ascii="Times New Roman" w:hAnsi="Times New Roman" w:cs="Times New Roman"/>
          <w:sz w:val="24"/>
          <w:szCs w:val="24"/>
        </w:rPr>
        <w:t xml:space="preserve">. Firstly, she submitted that the matter is prescribed as applicant was aware of the will since 1997 and therefore cannot challenge it twenty eight years later. Secondly, she submitted that applicant had no </w:t>
      </w:r>
      <w:r w:rsidRPr="005741E9">
        <w:rPr>
          <w:rFonts w:ascii="Times New Roman" w:hAnsi="Times New Roman" w:cs="Times New Roman"/>
          <w:i/>
          <w:sz w:val="24"/>
          <w:szCs w:val="24"/>
        </w:rPr>
        <w:t>locus standi</w:t>
      </w:r>
      <w:r>
        <w:rPr>
          <w:rFonts w:ascii="Times New Roman" w:hAnsi="Times New Roman" w:cs="Times New Roman"/>
          <w:sz w:val="24"/>
          <w:szCs w:val="24"/>
        </w:rPr>
        <w:t xml:space="preserve"> in</w:t>
      </w:r>
      <w:r w:rsidRPr="005741E9">
        <w:rPr>
          <w:rFonts w:ascii="Times New Roman" w:hAnsi="Times New Roman" w:cs="Times New Roman"/>
          <w:i/>
          <w:sz w:val="24"/>
          <w:szCs w:val="24"/>
        </w:rPr>
        <w:t xml:space="preserve"> </w:t>
      </w:r>
      <w:proofErr w:type="spellStart"/>
      <w:r w:rsidRPr="005741E9">
        <w:rPr>
          <w:rFonts w:ascii="Times New Roman" w:hAnsi="Times New Roman" w:cs="Times New Roman"/>
          <w:i/>
          <w:sz w:val="24"/>
          <w:szCs w:val="24"/>
        </w:rPr>
        <w:t>judicio</w:t>
      </w:r>
      <w:proofErr w:type="spellEnd"/>
      <w:r>
        <w:rPr>
          <w:rFonts w:ascii="Times New Roman" w:hAnsi="Times New Roman" w:cs="Times New Roman"/>
          <w:sz w:val="24"/>
          <w:szCs w:val="24"/>
        </w:rPr>
        <w:t xml:space="preserve"> to bring the application as he is not a stake or stock holder in the Estate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Fur</w:t>
      </w:r>
      <w:r w:rsidR="00622040">
        <w:rPr>
          <w:rFonts w:ascii="Times New Roman" w:hAnsi="Times New Roman" w:cs="Times New Roman"/>
          <w:sz w:val="24"/>
          <w:szCs w:val="24"/>
        </w:rPr>
        <w:t>ther that applicant cannot seek</w:t>
      </w:r>
      <w:r>
        <w:rPr>
          <w:rFonts w:ascii="Times New Roman" w:hAnsi="Times New Roman" w:cs="Times New Roman"/>
          <w:sz w:val="24"/>
          <w:szCs w:val="24"/>
        </w:rPr>
        <w:t xml:space="preserve"> to challenge the rights of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to inherit and acquire his late wife’s share in the alleged joint estate. First respondent was of the view that applicant deliberately omitted to cite</w:t>
      </w:r>
      <w:r w:rsidR="00622040">
        <w:rPr>
          <w:rFonts w:ascii="Times New Roman" w:hAnsi="Times New Roman" w:cs="Times New Roman"/>
          <w:sz w:val="24"/>
          <w:szCs w:val="24"/>
        </w:rPr>
        <w:t xml:space="preserve"> the</w:t>
      </w:r>
      <w:r>
        <w:rPr>
          <w:rFonts w:ascii="Times New Roman" w:hAnsi="Times New Roman" w:cs="Times New Roman"/>
          <w:sz w:val="24"/>
          <w:szCs w:val="24"/>
        </w:rPr>
        <w:t xml:space="preserve"> administrator of the Estate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w:t>
      </w:r>
    </w:p>
    <w:p w:rsidR="00C667EB" w:rsidRDefault="00C667EB"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the merits first respondent submitted that no case had been made for the reopening of the late John </w:t>
      </w:r>
      <w:proofErr w:type="spellStart"/>
      <w:r>
        <w:rPr>
          <w:rFonts w:ascii="Times New Roman" w:hAnsi="Times New Roman" w:cs="Times New Roman"/>
          <w:sz w:val="24"/>
          <w:szCs w:val="24"/>
        </w:rPr>
        <w:t>Pilime’s</w:t>
      </w:r>
      <w:proofErr w:type="spellEnd"/>
      <w:r>
        <w:rPr>
          <w:rFonts w:ascii="Times New Roman" w:hAnsi="Times New Roman" w:cs="Times New Roman"/>
          <w:sz w:val="24"/>
          <w:szCs w:val="24"/>
        </w:rPr>
        <w:t xml:space="preserve"> estate as it was duly advertised and applicant did not raise any objection then. He disputed that the property in question was jointly acquired and stated that the agreement of sale between the City of Harare and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only shows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as a spouse and not a co – owner. Further that even if she was a co – owner, her share accrued to the surviving spouse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and not to the applicant. First respondent also stated that the administrator in the estate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authorised</w:t>
      </w:r>
      <w:proofErr w:type="spellEnd"/>
      <w:r>
        <w:rPr>
          <w:rFonts w:ascii="Times New Roman" w:hAnsi="Times New Roman" w:cs="Times New Roman"/>
          <w:sz w:val="24"/>
          <w:szCs w:val="24"/>
        </w:rPr>
        <w:t xml:space="preserve"> that the estate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devolve to her surviving spouse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in terms of the Deceased Estate Succession Act [</w:t>
      </w:r>
      <w:r w:rsidRPr="005741E9">
        <w:rPr>
          <w:rFonts w:ascii="Times New Roman" w:hAnsi="Times New Roman" w:cs="Times New Roman"/>
          <w:i/>
          <w:sz w:val="24"/>
          <w:szCs w:val="24"/>
        </w:rPr>
        <w:t>Chapter 6:02</w:t>
      </w:r>
      <w:r>
        <w:rPr>
          <w:rFonts w:ascii="Times New Roman" w:hAnsi="Times New Roman" w:cs="Times New Roman"/>
          <w:sz w:val="24"/>
          <w:szCs w:val="24"/>
        </w:rPr>
        <w:t xml:space="preserve">] and the share of the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was ceded to the estate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First respondent further stated that a will cannot be declared unlawful because a major child was not made a beneficiary of that will.</w:t>
      </w:r>
    </w:p>
    <w:p w:rsidR="00C667EB" w:rsidRDefault="00C667EB" w:rsidP="001F5BBF">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 the hearing of the matter first respondent persisted with the preliminary point that applicant has no </w:t>
      </w:r>
      <w:r w:rsidRPr="005741E9">
        <w:rPr>
          <w:rFonts w:ascii="Times New Roman" w:hAnsi="Times New Roman" w:cs="Times New Roman"/>
          <w:i/>
          <w:sz w:val="24"/>
          <w:szCs w:val="24"/>
        </w:rPr>
        <w:t>locus standi</w:t>
      </w:r>
      <w:r w:rsidR="00622040">
        <w:rPr>
          <w:rFonts w:ascii="Times New Roman" w:hAnsi="Times New Roman" w:cs="Times New Roman"/>
          <w:sz w:val="24"/>
          <w:szCs w:val="24"/>
        </w:rPr>
        <w:t xml:space="preserve"> to represent a</w:t>
      </w:r>
      <w:r>
        <w:rPr>
          <w:rFonts w:ascii="Times New Roman" w:hAnsi="Times New Roman" w:cs="Times New Roman"/>
          <w:sz w:val="24"/>
          <w:szCs w:val="24"/>
        </w:rPr>
        <w:t xml:space="preserve"> registered deceased estate. Further that the Estate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was registered under DR 2891/21. In the opposing affidavit first respondent stated that one Charles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was appointed as the administrator of the Estate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Counsel for applicant submitted</w:t>
      </w:r>
      <w:r w:rsidR="00800AC3">
        <w:rPr>
          <w:rFonts w:ascii="Times New Roman" w:hAnsi="Times New Roman" w:cs="Times New Roman"/>
          <w:sz w:val="24"/>
          <w:szCs w:val="24"/>
        </w:rPr>
        <w:t xml:space="preserve"> that he had assumed that the points </w:t>
      </w:r>
      <w:r w:rsidR="00800AC3" w:rsidRPr="005741E9">
        <w:rPr>
          <w:rFonts w:ascii="Times New Roman" w:hAnsi="Times New Roman" w:cs="Times New Roman"/>
          <w:i/>
          <w:sz w:val="24"/>
          <w:szCs w:val="24"/>
        </w:rPr>
        <w:t xml:space="preserve">in </w:t>
      </w:r>
      <w:proofErr w:type="spellStart"/>
      <w:r w:rsidR="00800AC3" w:rsidRPr="005741E9">
        <w:rPr>
          <w:rFonts w:ascii="Times New Roman" w:hAnsi="Times New Roman" w:cs="Times New Roman"/>
          <w:i/>
          <w:sz w:val="24"/>
          <w:szCs w:val="24"/>
        </w:rPr>
        <w:t>limine</w:t>
      </w:r>
      <w:proofErr w:type="spellEnd"/>
      <w:r w:rsidR="00800AC3">
        <w:rPr>
          <w:rFonts w:ascii="Times New Roman" w:hAnsi="Times New Roman" w:cs="Times New Roman"/>
          <w:sz w:val="24"/>
          <w:szCs w:val="24"/>
        </w:rPr>
        <w:t xml:space="preserve"> had been withdrawn as they were not addressed in heads of argument. It is trite that a point of law can be raised at any stage of the proceedings. In </w:t>
      </w:r>
      <w:proofErr w:type="spellStart"/>
      <w:r w:rsidR="00800AC3" w:rsidRPr="005741E9">
        <w:rPr>
          <w:rFonts w:ascii="Times New Roman" w:hAnsi="Times New Roman" w:cs="Times New Roman"/>
          <w:i/>
          <w:sz w:val="24"/>
          <w:szCs w:val="24"/>
        </w:rPr>
        <w:t>Muchakata</w:t>
      </w:r>
      <w:proofErr w:type="spellEnd"/>
      <w:r w:rsidR="00800AC3">
        <w:rPr>
          <w:rFonts w:ascii="Times New Roman" w:hAnsi="Times New Roman" w:cs="Times New Roman"/>
          <w:sz w:val="24"/>
          <w:szCs w:val="24"/>
        </w:rPr>
        <w:t xml:space="preserve"> v </w:t>
      </w:r>
      <w:proofErr w:type="spellStart"/>
      <w:r w:rsidR="00800AC3" w:rsidRPr="005741E9">
        <w:rPr>
          <w:rFonts w:ascii="Times New Roman" w:hAnsi="Times New Roman" w:cs="Times New Roman"/>
          <w:i/>
          <w:sz w:val="24"/>
          <w:szCs w:val="24"/>
        </w:rPr>
        <w:t>Netherburn</w:t>
      </w:r>
      <w:proofErr w:type="spellEnd"/>
      <w:r w:rsidR="00800AC3" w:rsidRPr="005741E9">
        <w:rPr>
          <w:rFonts w:ascii="Times New Roman" w:hAnsi="Times New Roman" w:cs="Times New Roman"/>
          <w:i/>
          <w:sz w:val="24"/>
          <w:szCs w:val="24"/>
        </w:rPr>
        <w:t xml:space="preserve"> Mine</w:t>
      </w:r>
      <w:r w:rsidR="00800AC3">
        <w:rPr>
          <w:rFonts w:ascii="Times New Roman" w:hAnsi="Times New Roman" w:cs="Times New Roman"/>
          <w:sz w:val="24"/>
          <w:szCs w:val="24"/>
        </w:rPr>
        <w:t xml:space="preserve"> 1996 (1) ZLR 153 the Supreme Court held that;</w:t>
      </w:r>
    </w:p>
    <w:p w:rsidR="00800AC3" w:rsidRDefault="00800AC3" w:rsidP="00E1734B">
      <w:pPr>
        <w:pStyle w:val="NoSpacing"/>
        <w:spacing w:after="240"/>
        <w:ind w:left="720"/>
        <w:jc w:val="both"/>
        <w:rPr>
          <w:rFonts w:ascii="Times New Roman" w:hAnsi="Times New Roman" w:cs="Times New Roman"/>
          <w:sz w:val="24"/>
          <w:szCs w:val="24"/>
        </w:rPr>
      </w:pPr>
      <w:r w:rsidRPr="00E1734B">
        <w:rPr>
          <w:rFonts w:ascii="Times New Roman" w:hAnsi="Times New Roman" w:cs="Times New Roman"/>
          <w:szCs w:val="24"/>
        </w:rPr>
        <w:t xml:space="preserve">“….a point of law, which goes to the root of the matter, may be raised at any time, even for the first time on appeal, if its consideration involves no unfairness to the party against whom it is directed: </w:t>
      </w:r>
      <w:proofErr w:type="spellStart"/>
      <w:r w:rsidRPr="005741E9">
        <w:rPr>
          <w:rFonts w:ascii="Times New Roman" w:hAnsi="Times New Roman" w:cs="Times New Roman"/>
          <w:i/>
          <w:szCs w:val="24"/>
        </w:rPr>
        <w:t>Morobane</w:t>
      </w:r>
      <w:proofErr w:type="spellEnd"/>
      <w:r w:rsidRPr="00E1734B">
        <w:rPr>
          <w:rFonts w:ascii="Times New Roman" w:hAnsi="Times New Roman" w:cs="Times New Roman"/>
          <w:szCs w:val="24"/>
        </w:rPr>
        <w:t xml:space="preserve"> v </w:t>
      </w:r>
      <w:r w:rsidRPr="005741E9">
        <w:rPr>
          <w:rFonts w:ascii="Times New Roman" w:hAnsi="Times New Roman" w:cs="Times New Roman"/>
          <w:i/>
          <w:szCs w:val="24"/>
        </w:rPr>
        <w:t xml:space="preserve">Bateman </w:t>
      </w:r>
      <w:r w:rsidRPr="00E1734B">
        <w:rPr>
          <w:rFonts w:ascii="Times New Roman" w:hAnsi="Times New Roman" w:cs="Times New Roman"/>
          <w:szCs w:val="24"/>
        </w:rPr>
        <w:t xml:space="preserve">1918 AD 460, </w:t>
      </w:r>
      <w:r w:rsidRPr="005741E9">
        <w:rPr>
          <w:rFonts w:ascii="Times New Roman" w:hAnsi="Times New Roman" w:cs="Times New Roman"/>
          <w:i/>
          <w:szCs w:val="24"/>
        </w:rPr>
        <w:t>Paddock Motors (Pty) Ltd</w:t>
      </w:r>
      <w:r w:rsidRPr="00E1734B">
        <w:rPr>
          <w:rFonts w:ascii="Times New Roman" w:hAnsi="Times New Roman" w:cs="Times New Roman"/>
          <w:szCs w:val="24"/>
        </w:rPr>
        <w:t xml:space="preserve"> v </w:t>
      </w:r>
      <w:proofErr w:type="spellStart"/>
      <w:r w:rsidRPr="005741E9">
        <w:rPr>
          <w:rFonts w:ascii="Times New Roman" w:hAnsi="Times New Roman" w:cs="Times New Roman"/>
          <w:i/>
          <w:szCs w:val="24"/>
        </w:rPr>
        <w:t>Igesund</w:t>
      </w:r>
      <w:proofErr w:type="spellEnd"/>
      <w:r w:rsidRPr="00E1734B">
        <w:rPr>
          <w:rFonts w:ascii="Times New Roman" w:hAnsi="Times New Roman" w:cs="Times New Roman"/>
          <w:szCs w:val="24"/>
        </w:rPr>
        <w:t xml:space="preserve"> 1976 (3) SA 16 @ 23 D – G</w:t>
      </w:r>
      <w:r>
        <w:rPr>
          <w:rFonts w:ascii="Times New Roman" w:hAnsi="Times New Roman" w:cs="Times New Roman"/>
          <w:sz w:val="24"/>
          <w:szCs w:val="24"/>
        </w:rPr>
        <w:t>.”</w:t>
      </w:r>
    </w:p>
    <w:p w:rsidR="00800AC3" w:rsidRDefault="00800AC3"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preliminary point was raised in first respondent’s pleadings. Applicant responded to it in the Answering Affidavit and even addressed it in heads of argument. I am convinced that its consideration does not involve any unfairness to the applicant.</w:t>
      </w:r>
    </w:p>
    <w:p w:rsidR="00800AC3" w:rsidRDefault="00800AC3"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argued that he has </w:t>
      </w:r>
      <w:r w:rsidRPr="005741E9">
        <w:rPr>
          <w:rFonts w:ascii="Times New Roman" w:hAnsi="Times New Roman" w:cs="Times New Roman"/>
          <w:i/>
          <w:sz w:val="24"/>
          <w:szCs w:val="24"/>
        </w:rPr>
        <w:t>locus standi</w:t>
      </w:r>
      <w:r>
        <w:rPr>
          <w:rFonts w:ascii="Times New Roman" w:hAnsi="Times New Roman" w:cs="Times New Roman"/>
          <w:sz w:val="24"/>
          <w:szCs w:val="24"/>
        </w:rPr>
        <w:t xml:space="preserve"> on the basis that he is a son of both John and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He argued that as a son, he is a beneficiary of his late father’s estate and in that capacity can approach the court seeking the reopening of such an estate. He further argued that the order the court is going to give will likely prejudice him if it is adverse to him as he has been in occupation of the property in question and the first respondent seeks his eviction from the same.</w:t>
      </w:r>
    </w:p>
    <w:p w:rsidR="00800AC3" w:rsidRDefault="00800AC3"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Being a child of a deceased person does not automatically translate to him being a beneficiary of the deceased’s estate es</w:t>
      </w:r>
      <w:r w:rsidR="008A39BB">
        <w:rPr>
          <w:rFonts w:ascii="Times New Roman" w:hAnsi="Times New Roman" w:cs="Times New Roman"/>
          <w:sz w:val="24"/>
          <w:szCs w:val="24"/>
        </w:rPr>
        <w:t xml:space="preserve">pecially where there is a will. </w:t>
      </w:r>
      <w:r>
        <w:rPr>
          <w:rFonts w:ascii="Times New Roman" w:hAnsi="Times New Roman" w:cs="Times New Roman"/>
          <w:sz w:val="24"/>
          <w:szCs w:val="24"/>
        </w:rPr>
        <w:t xml:space="preserve">Applicant seeks the invalidating of the will of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on the basis that it disinherited his “mother from a share in the house in question when she had a 50% undivided share….” It is common </w:t>
      </w:r>
      <w:proofErr w:type="gramStart"/>
      <w:r>
        <w:rPr>
          <w:rFonts w:ascii="Times New Roman" w:hAnsi="Times New Roman" w:cs="Times New Roman"/>
          <w:sz w:val="24"/>
          <w:szCs w:val="24"/>
        </w:rPr>
        <w:t>cause</w:t>
      </w:r>
      <w:proofErr w:type="gramEnd"/>
      <w:r>
        <w:rPr>
          <w:rFonts w:ascii="Times New Roman" w:hAnsi="Times New Roman" w:cs="Times New Roman"/>
          <w:sz w:val="24"/>
          <w:szCs w:val="24"/>
        </w:rPr>
        <w:t xml:space="preserve"> that applicant’s mother is deceased. It is trite that it is only the executor of a deceased estate who has the </w:t>
      </w:r>
      <w:r w:rsidRPr="005741E9">
        <w:rPr>
          <w:rFonts w:ascii="Times New Roman" w:hAnsi="Times New Roman" w:cs="Times New Roman"/>
          <w:i/>
          <w:sz w:val="24"/>
          <w:szCs w:val="24"/>
        </w:rPr>
        <w:t>locus standi</w:t>
      </w:r>
      <w:r>
        <w:rPr>
          <w:rFonts w:ascii="Times New Roman" w:hAnsi="Times New Roman" w:cs="Times New Roman"/>
          <w:sz w:val="24"/>
          <w:szCs w:val="24"/>
        </w:rPr>
        <w:t xml:space="preserve"> to represent a deceased’s estate. The executor occupies the position of a legal representative of the deceased with all the rights and obligations attaching to that position. See </w:t>
      </w:r>
      <w:proofErr w:type="spellStart"/>
      <w:r w:rsidRPr="00E1734B">
        <w:rPr>
          <w:rFonts w:ascii="Times New Roman" w:hAnsi="Times New Roman" w:cs="Times New Roman"/>
          <w:i/>
          <w:sz w:val="24"/>
          <w:szCs w:val="24"/>
        </w:rPr>
        <w:t>Nyandoro</w:t>
      </w:r>
      <w:proofErr w:type="spellEnd"/>
      <w:r w:rsidRPr="00E1734B">
        <w:rPr>
          <w:rFonts w:ascii="Times New Roman" w:hAnsi="Times New Roman" w:cs="Times New Roman"/>
          <w:i/>
          <w:sz w:val="24"/>
          <w:szCs w:val="24"/>
        </w:rPr>
        <w:t xml:space="preserve"> &amp; Anor</w:t>
      </w:r>
      <w:r>
        <w:rPr>
          <w:rFonts w:ascii="Times New Roman" w:hAnsi="Times New Roman" w:cs="Times New Roman"/>
          <w:sz w:val="24"/>
          <w:szCs w:val="24"/>
        </w:rPr>
        <w:t xml:space="preserve"> v </w:t>
      </w:r>
      <w:proofErr w:type="spellStart"/>
      <w:r w:rsidRPr="00E1734B">
        <w:rPr>
          <w:rFonts w:ascii="Times New Roman" w:hAnsi="Times New Roman" w:cs="Times New Roman"/>
          <w:i/>
          <w:sz w:val="24"/>
          <w:szCs w:val="24"/>
        </w:rPr>
        <w:t>Nyandoro</w:t>
      </w:r>
      <w:proofErr w:type="spellEnd"/>
      <w:r w:rsidRPr="00E1734B">
        <w:rPr>
          <w:rFonts w:ascii="Times New Roman" w:hAnsi="Times New Roman" w:cs="Times New Roman"/>
          <w:i/>
          <w:sz w:val="24"/>
          <w:szCs w:val="24"/>
        </w:rPr>
        <w:t xml:space="preserve"> &amp; </w:t>
      </w:r>
      <w:proofErr w:type="spellStart"/>
      <w:r w:rsidRPr="00E1734B">
        <w:rPr>
          <w:rFonts w:ascii="Times New Roman" w:hAnsi="Times New Roman" w:cs="Times New Roman"/>
          <w:i/>
          <w:sz w:val="24"/>
          <w:szCs w:val="24"/>
        </w:rPr>
        <w:t>Ors</w:t>
      </w:r>
      <w:proofErr w:type="spellEnd"/>
      <w:r>
        <w:rPr>
          <w:rFonts w:ascii="Times New Roman" w:hAnsi="Times New Roman" w:cs="Times New Roman"/>
          <w:sz w:val="24"/>
          <w:szCs w:val="24"/>
        </w:rPr>
        <w:t xml:space="preserve"> HH 8/89.</w:t>
      </w:r>
      <w:r w:rsidR="00E1734B">
        <w:rPr>
          <w:rFonts w:ascii="Times New Roman" w:hAnsi="Times New Roman" w:cs="Times New Roman"/>
          <w:sz w:val="24"/>
          <w:szCs w:val="24"/>
        </w:rPr>
        <w:t xml:space="preserve"> Applicant did not dispute that the Estate Late Julia </w:t>
      </w:r>
      <w:proofErr w:type="spellStart"/>
      <w:r w:rsidR="00E1734B">
        <w:rPr>
          <w:rFonts w:ascii="Times New Roman" w:hAnsi="Times New Roman" w:cs="Times New Roman"/>
          <w:sz w:val="24"/>
          <w:szCs w:val="24"/>
        </w:rPr>
        <w:t>Pilime</w:t>
      </w:r>
      <w:proofErr w:type="spellEnd"/>
      <w:r w:rsidR="00E1734B">
        <w:rPr>
          <w:rFonts w:ascii="Times New Roman" w:hAnsi="Times New Roman" w:cs="Times New Roman"/>
          <w:sz w:val="24"/>
          <w:szCs w:val="24"/>
        </w:rPr>
        <w:t xml:space="preserve"> was registered under DR 2891/21. Neither did he dispute that one Charles </w:t>
      </w:r>
      <w:proofErr w:type="spellStart"/>
      <w:r w:rsidR="00E1734B">
        <w:rPr>
          <w:rFonts w:ascii="Times New Roman" w:hAnsi="Times New Roman" w:cs="Times New Roman"/>
          <w:sz w:val="24"/>
          <w:szCs w:val="24"/>
        </w:rPr>
        <w:t>Pilime</w:t>
      </w:r>
      <w:proofErr w:type="spellEnd"/>
      <w:r w:rsidR="00E1734B">
        <w:rPr>
          <w:rFonts w:ascii="Times New Roman" w:hAnsi="Times New Roman" w:cs="Times New Roman"/>
          <w:sz w:val="24"/>
          <w:szCs w:val="24"/>
        </w:rPr>
        <w:t xml:space="preserve"> was appointed as the administrator thereof. It is thereof for Charles </w:t>
      </w:r>
      <w:proofErr w:type="spellStart"/>
      <w:r w:rsidR="00E1734B">
        <w:rPr>
          <w:rFonts w:ascii="Times New Roman" w:hAnsi="Times New Roman" w:cs="Times New Roman"/>
          <w:sz w:val="24"/>
          <w:szCs w:val="24"/>
        </w:rPr>
        <w:t>Pilime</w:t>
      </w:r>
      <w:proofErr w:type="spellEnd"/>
      <w:r w:rsidR="00E1734B">
        <w:rPr>
          <w:rFonts w:ascii="Times New Roman" w:hAnsi="Times New Roman" w:cs="Times New Roman"/>
          <w:sz w:val="24"/>
          <w:szCs w:val="24"/>
        </w:rPr>
        <w:t xml:space="preserve"> to claim any share that should accrue to the estate late Julia </w:t>
      </w:r>
      <w:proofErr w:type="spellStart"/>
      <w:r w:rsidR="00E1734B">
        <w:rPr>
          <w:rFonts w:ascii="Times New Roman" w:hAnsi="Times New Roman" w:cs="Times New Roman"/>
          <w:sz w:val="24"/>
          <w:szCs w:val="24"/>
        </w:rPr>
        <w:t>Pilime</w:t>
      </w:r>
      <w:proofErr w:type="spellEnd"/>
      <w:r w:rsidR="00E1734B">
        <w:rPr>
          <w:rFonts w:ascii="Times New Roman" w:hAnsi="Times New Roman" w:cs="Times New Roman"/>
          <w:sz w:val="24"/>
          <w:szCs w:val="24"/>
        </w:rPr>
        <w:t>.</w:t>
      </w:r>
    </w:p>
    <w:p w:rsidR="00E1734B" w:rsidRDefault="00E1734B"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find that applicant has no </w:t>
      </w:r>
      <w:r w:rsidRPr="005741E9">
        <w:rPr>
          <w:rFonts w:ascii="Times New Roman" w:hAnsi="Times New Roman" w:cs="Times New Roman"/>
          <w:i/>
          <w:sz w:val="24"/>
          <w:szCs w:val="24"/>
        </w:rPr>
        <w:t>locus standi</w:t>
      </w:r>
      <w:r>
        <w:rPr>
          <w:rFonts w:ascii="Times New Roman" w:hAnsi="Times New Roman" w:cs="Times New Roman"/>
          <w:sz w:val="24"/>
          <w:szCs w:val="24"/>
        </w:rPr>
        <w:t xml:space="preserve"> to represent the late Julia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The fact that he is a son of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does not give him </w:t>
      </w:r>
      <w:r w:rsidRPr="005741E9">
        <w:rPr>
          <w:rFonts w:ascii="Times New Roman" w:hAnsi="Times New Roman" w:cs="Times New Roman"/>
          <w:i/>
          <w:sz w:val="24"/>
          <w:szCs w:val="24"/>
        </w:rPr>
        <w:t>locus standi</w:t>
      </w:r>
      <w:r>
        <w:rPr>
          <w:rFonts w:ascii="Times New Roman" w:hAnsi="Times New Roman" w:cs="Times New Roman"/>
          <w:sz w:val="24"/>
          <w:szCs w:val="24"/>
        </w:rPr>
        <w:t xml:space="preserve"> in circumstances where the late John </w:t>
      </w:r>
      <w:proofErr w:type="spellStart"/>
      <w:r>
        <w:rPr>
          <w:rFonts w:ascii="Times New Roman" w:hAnsi="Times New Roman" w:cs="Times New Roman"/>
          <w:sz w:val="24"/>
          <w:szCs w:val="24"/>
        </w:rPr>
        <w:t>Pilime</w:t>
      </w:r>
      <w:proofErr w:type="spellEnd"/>
      <w:r>
        <w:rPr>
          <w:rFonts w:ascii="Times New Roman" w:hAnsi="Times New Roman" w:cs="Times New Roman"/>
          <w:sz w:val="24"/>
          <w:szCs w:val="24"/>
        </w:rPr>
        <w:t xml:space="preserve"> died testate.</w:t>
      </w:r>
    </w:p>
    <w:p w:rsidR="00E1734B" w:rsidRDefault="00E1734B"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application is therefore improperly before the court. The first respondent prayed for costs on a higher scale. I am not persuaded that they are warranted in this case. Accordingly I make the following order.</w:t>
      </w:r>
    </w:p>
    <w:p w:rsidR="00E1734B" w:rsidRDefault="00E1734B" w:rsidP="005D781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application be and is hereby struck off the roll with costs as applicant has no </w:t>
      </w:r>
      <w:r w:rsidRPr="00E1734B">
        <w:rPr>
          <w:rFonts w:ascii="Times New Roman" w:hAnsi="Times New Roman" w:cs="Times New Roman"/>
          <w:i/>
          <w:sz w:val="24"/>
          <w:szCs w:val="24"/>
        </w:rPr>
        <w:t>locus standi</w:t>
      </w:r>
      <w:r>
        <w:rPr>
          <w:rFonts w:ascii="Times New Roman" w:hAnsi="Times New Roman" w:cs="Times New Roman"/>
          <w:sz w:val="24"/>
          <w:szCs w:val="24"/>
        </w:rPr>
        <w:t>.</w:t>
      </w:r>
    </w:p>
    <w:p w:rsidR="00E1734B" w:rsidRDefault="00E1734B" w:rsidP="005D7817">
      <w:pPr>
        <w:pStyle w:val="NoSpacing"/>
        <w:spacing w:line="360" w:lineRule="auto"/>
        <w:jc w:val="both"/>
        <w:rPr>
          <w:rFonts w:ascii="Times New Roman" w:hAnsi="Times New Roman" w:cs="Times New Roman"/>
          <w:sz w:val="24"/>
          <w:szCs w:val="24"/>
        </w:rPr>
      </w:pPr>
    </w:p>
    <w:p w:rsidR="001F5BBF" w:rsidRDefault="001F5BBF" w:rsidP="005D7817">
      <w:pPr>
        <w:pStyle w:val="NoSpacing"/>
        <w:spacing w:line="360" w:lineRule="auto"/>
        <w:jc w:val="both"/>
        <w:rPr>
          <w:rFonts w:ascii="Times New Roman" w:hAnsi="Times New Roman" w:cs="Times New Roman"/>
          <w:sz w:val="24"/>
          <w:szCs w:val="24"/>
        </w:rPr>
      </w:pPr>
    </w:p>
    <w:p w:rsidR="00E1734B" w:rsidRDefault="00E1734B" w:rsidP="00E1734B">
      <w:pPr>
        <w:pStyle w:val="NoSpacing"/>
        <w:spacing w:after="240"/>
        <w:jc w:val="both"/>
        <w:rPr>
          <w:rFonts w:ascii="Times New Roman" w:hAnsi="Times New Roman" w:cs="Times New Roman"/>
          <w:sz w:val="24"/>
          <w:szCs w:val="24"/>
        </w:rPr>
      </w:pPr>
      <w:r w:rsidRPr="00E1734B">
        <w:rPr>
          <w:rFonts w:ascii="Times New Roman" w:hAnsi="Times New Roman" w:cs="Times New Roman"/>
          <w:b/>
          <w:smallCaps/>
          <w:sz w:val="24"/>
          <w:szCs w:val="24"/>
        </w:rPr>
        <w:t>Maxwell J</w:t>
      </w:r>
      <w:r>
        <w:rPr>
          <w:rFonts w:ascii="Times New Roman" w:hAnsi="Times New Roman" w:cs="Times New Roman"/>
          <w:sz w:val="24"/>
          <w:szCs w:val="24"/>
        </w:rPr>
        <w:t>: ……………………………………………………</w:t>
      </w:r>
    </w:p>
    <w:p w:rsidR="00E1734B" w:rsidRDefault="00E1734B" w:rsidP="00E1734B">
      <w:pPr>
        <w:pStyle w:val="NoSpacing"/>
        <w:jc w:val="both"/>
        <w:rPr>
          <w:rFonts w:ascii="Times New Roman" w:hAnsi="Times New Roman" w:cs="Times New Roman"/>
          <w:sz w:val="24"/>
          <w:szCs w:val="24"/>
        </w:rPr>
      </w:pPr>
      <w:proofErr w:type="spellStart"/>
      <w:r w:rsidRPr="00E1734B">
        <w:rPr>
          <w:rFonts w:ascii="Times New Roman" w:hAnsi="Times New Roman" w:cs="Times New Roman"/>
          <w:i/>
          <w:sz w:val="24"/>
          <w:szCs w:val="24"/>
        </w:rPr>
        <w:t>Machini</w:t>
      </w:r>
      <w:proofErr w:type="spellEnd"/>
      <w:r w:rsidRPr="00E1734B">
        <w:rPr>
          <w:rFonts w:ascii="Times New Roman" w:hAnsi="Times New Roman" w:cs="Times New Roman"/>
          <w:i/>
          <w:sz w:val="24"/>
          <w:szCs w:val="24"/>
        </w:rPr>
        <w:t xml:space="preserve"> </w:t>
      </w:r>
      <w:proofErr w:type="spellStart"/>
      <w:r w:rsidRPr="00E1734B">
        <w:rPr>
          <w:rFonts w:ascii="Times New Roman" w:hAnsi="Times New Roman" w:cs="Times New Roman"/>
          <w:i/>
          <w:sz w:val="24"/>
          <w:szCs w:val="24"/>
        </w:rPr>
        <w:t>Gidiri</w:t>
      </w:r>
      <w:proofErr w:type="spellEnd"/>
      <w:r w:rsidRPr="00E1734B">
        <w:rPr>
          <w:rFonts w:ascii="Times New Roman" w:hAnsi="Times New Roman" w:cs="Times New Roman"/>
          <w:i/>
          <w:sz w:val="24"/>
          <w:szCs w:val="24"/>
        </w:rPr>
        <w:t xml:space="preserve"> Law Chambers</w:t>
      </w:r>
      <w:r>
        <w:rPr>
          <w:rFonts w:ascii="Times New Roman" w:hAnsi="Times New Roman" w:cs="Times New Roman"/>
          <w:sz w:val="24"/>
          <w:szCs w:val="24"/>
        </w:rPr>
        <w:t>, applicant’s legal practitioners</w:t>
      </w:r>
    </w:p>
    <w:p w:rsidR="00E1734B" w:rsidRPr="005D7817" w:rsidRDefault="00E1734B" w:rsidP="00E1734B">
      <w:pPr>
        <w:pStyle w:val="NoSpacing"/>
        <w:jc w:val="both"/>
        <w:rPr>
          <w:rFonts w:ascii="Times New Roman" w:hAnsi="Times New Roman" w:cs="Times New Roman"/>
          <w:sz w:val="24"/>
          <w:szCs w:val="24"/>
        </w:rPr>
      </w:pPr>
      <w:proofErr w:type="spellStart"/>
      <w:r w:rsidRPr="00E1734B">
        <w:rPr>
          <w:rFonts w:ascii="Times New Roman" w:hAnsi="Times New Roman" w:cs="Times New Roman"/>
          <w:i/>
          <w:sz w:val="24"/>
          <w:szCs w:val="24"/>
        </w:rPr>
        <w:t>Mushonga</w:t>
      </w:r>
      <w:proofErr w:type="spellEnd"/>
      <w:r w:rsidRPr="00E1734B">
        <w:rPr>
          <w:rFonts w:ascii="Times New Roman" w:hAnsi="Times New Roman" w:cs="Times New Roman"/>
          <w:i/>
          <w:sz w:val="24"/>
          <w:szCs w:val="24"/>
        </w:rPr>
        <w:t xml:space="preserve"> </w:t>
      </w:r>
      <w:proofErr w:type="spellStart"/>
      <w:r w:rsidRPr="00E1734B">
        <w:rPr>
          <w:rFonts w:ascii="Times New Roman" w:hAnsi="Times New Roman" w:cs="Times New Roman"/>
          <w:i/>
          <w:sz w:val="24"/>
          <w:szCs w:val="24"/>
        </w:rPr>
        <w:t>Mutsvairo</w:t>
      </w:r>
      <w:proofErr w:type="spellEnd"/>
      <w:r w:rsidRPr="00E1734B">
        <w:rPr>
          <w:rFonts w:ascii="Times New Roman" w:hAnsi="Times New Roman" w:cs="Times New Roman"/>
          <w:i/>
          <w:sz w:val="24"/>
          <w:szCs w:val="24"/>
        </w:rPr>
        <w:t xml:space="preserve"> &amp; Associates</w:t>
      </w:r>
      <w:r>
        <w:rPr>
          <w:rFonts w:ascii="Times New Roman" w:hAnsi="Times New Roman" w:cs="Times New Roman"/>
          <w:sz w:val="24"/>
          <w:szCs w:val="24"/>
        </w:rPr>
        <w:t>, first respondent’s legal practitioners</w:t>
      </w:r>
    </w:p>
    <w:sectPr w:rsidR="00E1734B" w:rsidRPr="005D78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B70" w:rsidRDefault="00B00B70" w:rsidP="005D7817">
      <w:pPr>
        <w:spacing w:after="0" w:line="240" w:lineRule="auto"/>
      </w:pPr>
      <w:r>
        <w:separator/>
      </w:r>
    </w:p>
  </w:endnote>
  <w:endnote w:type="continuationSeparator" w:id="0">
    <w:p w:rsidR="00B00B70" w:rsidRDefault="00B00B70" w:rsidP="005D7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B70" w:rsidRDefault="00B00B70" w:rsidP="005D7817">
      <w:pPr>
        <w:spacing w:after="0" w:line="240" w:lineRule="auto"/>
      </w:pPr>
      <w:r>
        <w:separator/>
      </w:r>
    </w:p>
  </w:footnote>
  <w:footnote w:type="continuationSeparator" w:id="0">
    <w:p w:rsidR="00B00B70" w:rsidRDefault="00B00B70" w:rsidP="005D7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615157"/>
      <w:docPartObj>
        <w:docPartGallery w:val="Page Numbers (Top of Page)"/>
        <w:docPartUnique/>
      </w:docPartObj>
    </w:sdtPr>
    <w:sdtEndPr>
      <w:rPr>
        <w:noProof/>
      </w:rPr>
    </w:sdtEndPr>
    <w:sdtContent>
      <w:p w:rsidR="005D7817" w:rsidRDefault="005D7817">
        <w:pPr>
          <w:pStyle w:val="Header"/>
          <w:jc w:val="right"/>
          <w:rPr>
            <w:noProof/>
          </w:rPr>
        </w:pPr>
        <w:r>
          <w:fldChar w:fldCharType="begin"/>
        </w:r>
        <w:r>
          <w:instrText xml:space="preserve"> PAGE   \* MERGEFORMAT </w:instrText>
        </w:r>
        <w:r>
          <w:fldChar w:fldCharType="separate"/>
        </w:r>
        <w:r w:rsidR="00F4552E">
          <w:rPr>
            <w:noProof/>
          </w:rPr>
          <w:t>1</w:t>
        </w:r>
        <w:r>
          <w:rPr>
            <w:noProof/>
          </w:rPr>
          <w:fldChar w:fldCharType="end"/>
        </w:r>
      </w:p>
      <w:p w:rsidR="001F5BBF" w:rsidRDefault="001F5BBF">
        <w:pPr>
          <w:pStyle w:val="Header"/>
          <w:jc w:val="right"/>
          <w:rPr>
            <w:noProof/>
          </w:rPr>
        </w:pPr>
        <w:r>
          <w:rPr>
            <w:noProof/>
          </w:rPr>
          <w:t>HH 550 - 25</w:t>
        </w:r>
      </w:p>
      <w:p w:rsidR="005D7817" w:rsidRDefault="005D7817">
        <w:pPr>
          <w:pStyle w:val="Header"/>
          <w:jc w:val="right"/>
        </w:pPr>
        <w:r>
          <w:rPr>
            <w:noProof/>
          </w:rPr>
          <w:t>HCHF 963/25</w:t>
        </w:r>
      </w:p>
    </w:sdtContent>
  </w:sdt>
  <w:p w:rsidR="005D7817" w:rsidRDefault="005D7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17"/>
    <w:rsid w:val="000E21E6"/>
    <w:rsid w:val="001F5BBF"/>
    <w:rsid w:val="005741E9"/>
    <w:rsid w:val="005D7817"/>
    <w:rsid w:val="00622040"/>
    <w:rsid w:val="007845BE"/>
    <w:rsid w:val="00800AC3"/>
    <w:rsid w:val="008A39BB"/>
    <w:rsid w:val="009C1797"/>
    <w:rsid w:val="00AA2B3A"/>
    <w:rsid w:val="00B00B70"/>
    <w:rsid w:val="00BF0D2F"/>
    <w:rsid w:val="00C667EB"/>
    <w:rsid w:val="00DE4BBA"/>
    <w:rsid w:val="00E1734B"/>
    <w:rsid w:val="00EC45BE"/>
    <w:rsid w:val="00F2648C"/>
    <w:rsid w:val="00F45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7817"/>
    <w:pPr>
      <w:spacing w:after="0" w:line="240" w:lineRule="auto"/>
    </w:pPr>
  </w:style>
  <w:style w:type="paragraph" w:styleId="Header">
    <w:name w:val="header"/>
    <w:basedOn w:val="Normal"/>
    <w:link w:val="HeaderChar"/>
    <w:uiPriority w:val="99"/>
    <w:unhideWhenUsed/>
    <w:rsid w:val="005D7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817"/>
  </w:style>
  <w:style w:type="paragraph" w:styleId="Footer">
    <w:name w:val="footer"/>
    <w:basedOn w:val="Normal"/>
    <w:link w:val="FooterChar"/>
    <w:uiPriority w:val="99"/>
    <w:unhideWhenUsed/>
    <w:rsid w:val="005D7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8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7817"/>
    <w:pPr>
      <w:spacing w:after="0" w:line="240" w:lineRule="auto"/>
    </w:pPr>
  </w:style>
  <w:style w:type="paragraph" w:styleId="Header">
    <w:name w:val="header"/>
    <w:basedOn w:val="Normal"/>
    <w:link w:val="HeaderChar"/>
    <w:uiPriority w:val="99"/>
    <w:unhideWhenUsed/>
    <w:rsid w:val="005D7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817"/>
  </w:style>
  <w:style w:type="paragraph" w:styleId="Footer">
    <w:name w:val="footer"/>
    <w:basedOn w:val="Normal"/>
    <w:link w:val="FooterChar"/>
    <w:uiPriority w:val="99"/>
    <w:unhideWhenUsed/>
    <w:rsid w:val="005D7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 Room PC</dc:creator>
  <cp:lastModifiedBy>User</cp:lastModifiedBy>
  <cp:revision>3</cp:revision>
  <dcterms:created xsi:type="dcterms:W3CDTF">2025-09-26T10:22:00Z</dcterms:created>
  <dcterms:modified xsi:type="dcterms:W3CDTF">2025-09-26T10:22:00Z</dcterms:modified>
</cp:coreProperties>
</file>