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EA5B3B" w14:textId="6C241E1B" w:rsidR="00307D0F" w:rsidRPr="00DC4FD6" w:rsidRDefault="00307D0F" w:rsidP="00DC4FD6">
      <w:pPr>
        <w:spacing w:after="0" w:line="240" w:lineRule="auto"/>
        <w:jc w:val="both"/>
        <w:rPr>
          <w:rFonts w:ascii="Times New Roman" w:hAnsi="Times New Roman" w:cs="Times New Roman"/>
          <w:sz w:val="24"/>
          <w:szCs w:val="24"/>
        </w:rPr>
      </w:pPr>
      <w:bookmarkStart w:id="0" w:name="_GoBack"/>
      <w:bookmarkEnd w:id="0"/>
      <w:r w:rsidRPr="00DC4FD6">
        <w:rPr>
          <w:rFonts w:ascii="Times New Roman" w:hAnsi="Times New Roman" w:cs="Times New Roman"/>
          <w:sz w:val="24"/>
          <w:szCs w:val="24"/>
        </w:rPr>
        <w:t xml:space="preserve">NATASHA SINIKIWE SITHOLE (nee MOYO)                                                </w:t>
      </w:r>
    </w:p>
    <w:p w14:paraId="253A206F" w14:textId="01C19C04" w:rsidR="00307D0F" w:rsidRPr="00DC4FD6" w:rsidRDefault="00DC4FD6" w:rsidP="00DC4FD6">
      <w:pPr>
        <w:spacing w:after="0" w:line="240" w:lineRule="auto"/>
        <w:jc w:val="both"/>
        <w:rPr>
          <w:rFonts w:ascii="Times New Roman" w:hAnsi="Times New Roman" w:cs="Times New Roman"/>
          <w:sz w:val="24"/>
          <w:szCs w:val="24"/>
        </w:rPr>
      </w:pPr>
      <w:r w:rsidRPr="00DC4FD6">
        <w:rPr>
          <w:rFonts w:ascii="Times New Roman" w:hAnsi="Times New Roman" w:cs="Times New Roman"/>
          <w:sz w:val="24"/>
          <w:szCs w:val="24"/>
        </w:rPr>
        <w:t>ve</w:t>
      </w:r>
      <w:r w:rsidR="00307D0F" w:rsidRPr="00DC4FD6">
        <w:rPr>
          <w:rFonts w:ascii="Times New Roman" w:hAnsi="Times New Roman" w:cs="Times New Roman"/>
          <w:sz w:val="24"/>
          <w:szCs w:val="24"/>
        </w:rPr>
        <w:t>rsus</w:t>
      </w:r>
    </w:p>
    <w:p w14:paraId="0368FCAF" w14:textId="3C031D70" w:rsidR="00307D0F" w:rsidRDefault="00307D0F" w:rsidP="00DC4FD6">
      <w:pPr>
        <w:spacing w:after="0" w:line="240" w:lineRule="auto"/>
        <w:jc w:val="both"/>
        <w:rPr>
          <w:rFonts w:ascii="Times New Roman" w:hAnsi="Times New Roman" w:cs="Times New Roman"/>
          <w:sz w:val="24"/>
          <w:szCs w:val="24"/>
        </w:rPr>
      </w:pPr>
      <w:r w:rsidRPr="00DC4FD6">
        <w:rPr>
          <w:rFonts w:ascii="Times New Roman" w:hAnsi="Times New Roman" w:cs="Times New Roman"/>
          <w:sz w:val="24"/>
          <w:szCs w:val="24"/>
        </w:rPr>
        <w:t>NISBERT SITHOLE</w:t>
      </w:r>
    </w:p>
    <w:p w14:paraId="7921C35A" w14:textId="77777777" w:rsidR="00DC4FD6" w:rsidRDefault="00DC4FD6" w:rsidP="00DC4FD6">
      <w:pPr>
        <w:spacing w:after="0" w:line="240" w:lineRule="auto"/>
        <w:jc w:val="both"/>
        <w:rPr>
          <w:rFonts w:ascii="Times New Roman" w:hAnsi="Times New Roman" w:cs="Times New Roman"/>
          <w:sz w:val="24"/>
          <w:szCs w:val="24"/>
        </w:rPr>
      </w:pPr>
    </w:p>
    <w:p w14:paraId="41E714F6" w14:textId="77777777" w:rsidR="00DC4FD6" w:rsidRPr="00DC4FD6" w:rsidRDefault="00DC4FD6" w:rsidP="00DC4FD6">
      <w:pPr>
        <w:spacing w:after="0" w:line="240" w:lineRule="auto"/>
        <w:jc w:val="both"/>
        <w:rPr>
          <w:rFonts w:ascii="Times New Roman" w:hAnsi="Times New Roman" w:cs="Times New Roman"/>
          <w:sz w:val="24"/>
          <w:szCs w:val="24"/>
        </w:rPr>
      </w:pPr>
    </w:p>
    <w:p w14:paraId="5E8D21C9" w14:textId="6755FC86" w:rsidR="00307D0F" w:rsidRPr="00DC4FD6" w:rsidRDefault="00307D0F" w:rsidP="00DC4FD6">
      <w:pPr>
        <w:spacing w:after="0" w:line="240" w:lineRule="auto"/>
        <w:jc w:val="both"/>
        <w:rPr>
          <w:rFonts w:ascii="Times New Roman" w:hAnsi="Times New Roman" w:cs="Times New Roman"/>
          <w:sz w:val="24"/>
          <w:szCs w:val="24"/>
        </w:rPr>
      </w:pPr>
    </w:p>
    <w:p w14:paraId="68C59F15" w14:textId="5055CEFE" w:rsidR="00307D0F" w:rsidRPr="00DC4FD6" w:rsidRDefault="00307D0F" w:rsidP="00DC4FD6">
      <w:pPr>
        <w:spacing w:after="0" w:line="240" w:lineRule="auto"/>
        <w:jc w:val="both"/>
        <w:rPr>
          <w:rFonts w:ascii="Times New Roman" w:hAnsi="Times New Roman" w:cs="Times New Roman"/>
          <w:sz w:val="24"/>
          <w:szCs w:val="24"/>
        </w:rPr>
      </w:pPr>
      <w:r w:rsidRPr="00DC4FD6">
        <w:rPr>
          <w:rFonts w:ascii="Times New Roman" w:hAnsi="Times New Roman" w:cs="Times New Roman"/>
          <w:sz w:val="24"/>
          <w:szCs w:val="24"/>
        </w:rPr>
        <w:t>H</w:t>
      </w:r>
      <w:r w:rsidR="00A27A5B" w:rsidRPr="00DC4FD6">
        <w:rPr>
          <w:rFonts w:ascii="Times New Roman" w:hAnsi="Times New Roman" w:cs="Times New Roman"/>
          <w:sz w:val="24"/>
          <w:szCs w:val="24"/>
        </w:rPr>
        <w:t>IGH COURT OF ZIMBABWE</w:t>
      </w:r>
    </w:p>
    <w:p w14:paraId="06F2B5DA" w14:textId="2B3B51C5" w:rsidR="00A27A5B" w:rsidRPr="00DC4FD6" w:rsidRDefault="00A27A5B" w:rsidP="00DC4FD6">
      <w:pPr>
        <w:spacing w:after="0" w:line="240" w:lineRule="auto"/>
        <w:jc w:val="both"/>
        <w:rPr>
          <w:rFonts w:ascii="Times New Roman" w:hAnsi="Times New Roman" w:cs="Times New Roman"/>
          <w:b/>
          <w:bCs/>
          <w:sz w:val="24"/>
          <w:szCs w:val="24"/>
        </w:rPr>
      </w:pPr>
      <w:r w:rsidRPr="00DC4FD6">
        <w:rPr>
          <w:rFonts w:ascii="Times New Roman" w:hAnsi="Times New Roman" w:cs="Times New Roman"/>
          <w:b/>
          <w:bCs/>
          <w:sz w:val="24"/>
          <w:szCs w:val="24"/>
        </w:rPr>
        <w:t>ZHOU &amp; CHIKOWERO JJ</w:t>
      </w:r>
    </w:p>
    <w:p w14:paraId="1DBCC01F" w14:textId="2D72096A" w:rsidR="00A27A5B" w:rsidRDefault="00CF7097" w:rsidP="00DC4FD6">
      <w:pPr>
        <w:spacing w:after="0" w:line="240" w:lineRule="auto"/>
        <w:jc w:val="both"/>
        <w:rPr>
          <w:rFonts w:ascii="Times New Roman" w:hAnsi="Times New Roman" w:cs="Times New Roman"/>
          <w:sz w:val="24"/>
          <w:szCs w:val="24"/>
        </w:rPr>
      </w:pPr>
      <w:r w:rsidRPr="00DC4FD6">
        <w:rPr>
          <w:rFonts w:ascii="Times New Roman" w:hAnsi="Times New Roman" w:cs="Times New Roman"/>
          <w:sz w:val="24"/>
          <w:szCs w:val="24"/>
        </w:rPr>
        <w:t>HARARE</w:t>
      </w:r>
      <w:r w:rsidR="00DC4FD6" w:rsidRPr="00DC4FD6">
        <w:rPr>
          <w:rFonts w:ascii="Times New Roman" w:hAnsi="Times New Roman" w:cs="Times New Roman"/>
          <w:sz w:val="24"/>
          <w:szCs w:val="24"/>
        </w:rPr>
        <w:t>;</w:t>
      </w:r>
      <w:r w:rsidRPr="00DC4FD6">
        <w:rPr>
          <w:rFonts w:ascii="Times New Roman" w:hAnsi="Times New Roman" w:cs="Times New Roman"/>
          <w:sz w:val="24"/>
          <w:szCs w:val="24"/>
        </w:rPr>
        <w:t xml:space="preserve"> 6 November 2025 &amp; 5 January 2026</w:t>
      </w:r>
    </w:p>
    <w:p w14:paraId="217E120F" w14:textId="77777777" w:rsidR="00DC4FD6" w:rsidRDefault="00DC4FD6" w:rsidP="00DC4FD6">
      <w:pPr>
        <w:spacing w:after="0" w:line="240" w:lineRule="auto"/>
        <w:jc w:val="both"/>
        <w:rPr>
          <w:rFonts w:ascii="Times New Roman" w:hAnsi="Times New Roman" w:cs="Times New Roman"/>
          <w:sz w:val="24"/>
          <w:szCs w:val="24"/>
        </w:rPr>
      </w:pPr>
    </w:p>
    <w:p w14:paraId="755D3B6E" w14:textId="77777777" w:rsidR="00DC4FD6" w:rsidRPr="00DC4FD6" w:rsidRDefault="00DC4FD6" w:rsidP="00DC4FD6">
      <w:pPr>
        <w:spacing w:after="0" w:line="240" w:lineRule="auto"/>
        <w:jc w:val="both"/>
        <w:rPr>
          <w:rFonts w:ascii="Times New Roman" w:hAnsi="Times New Roman" w:cs="Times New Roman"/>
          <w:sz w:val="24"/>
          <w:szCs w:val="24"/>
        </w:rPr>
      </w:pPr>
    </w:p>
    <w:p w14:paraId="008AC99A" w14:textId="77777777" w:rsidR="00A27A5B" w:rsidRPr="00DC4FD6" w:rsidRDefault="00A27A5B" w:rsidP="00DC4FD6">
      <w:pPr>
        <w:spacing w:after="0" w:line="240" w:lineRule="auto"/>
        <w:jc w:val="both"/>
        <w:rPr>
          <w:rFonts w:ascii="Times New Roman" w:hAnsi="Times New Roman" w:cs="Times New Roman"/>
          <w:sz w:val="24"/>
          <w:szCs w:val="24"/>
        </w:rPr>
      </w:pPr>
    </w:p>
    <w:p w14:paraId="6764CC1F" w14:textId="11520E20" w:rsidR="00A27A5B" w:rsidRDefault="00A27A5B" w:rsidP="00DC4FD6">
      <w:pPr>
        <w:spacing w:after="0" w:line="240" w:lineRule="auto"/>
        <w:jc w:val="both"/>
        <w:rPr>
          <w:rFonts w:ascii="Times New Roman" w:hAnsi="Times New Roman" w:cs="Times New Roman"/>
          <w:b/>
          <w:sz w:val="24"/>
          <w:szCs w:val="24"/>
        </w:rPr>
      </w:pPr>
      <w:r w:rsidRPr="00DC4FD6">
        <w:rPr>
          <w:rFonts w:ascii="Times New Roman" w:hAnsi="Times New Roman" w:cs="Times New Roman"/>
          <w:b/>
          <w:sz w:val="24"/>
          <w:szCs w:val="24"/>
        </w:rPr>
        <w:t>Civil Appeal</w:t>
      </w:r>
    </w:p>
    <w:p w14:paraId="53610E1C" w14:textId="77777777" w:rsidR="00DC4FD6" w:rsidRDefault="00DC4FD6" w:rsidP="00DC4FD6">
      <w:pPr>
        <w:spacing w:after="0" w:line="240" w:lineRule="auto"/>
        <w:jc w:val="both"/>
        <w:rPr>
          <w:rFonts w:ascii="Times New Roman" w:hAnsi="Times New Roman" w:cs="Times New Roman"/>
          <w:b/>
          <w:sz w:val="24"/>
          <w:szCs w:val="24"/>
        </w:rPr>
      </w:pPr>
    </w:p>
    <w:p w14:paraId="09C430ED" w14:textId="77777777" w:rsidR="00DC4FD6" w:rsidRPr="00DC4FD6" w:rsidRDefault="00DC4FD6" w:rsidP="00DC4FD6">
      <w:pPr>
        <w:spacing w:after="0" w:line="240" w:lineRule="auto"/>
        <w:jc w:val="both"/>
        <w:rPr>
          <w:rFonts w:ascii="Times New Roman" w:hAnsi="Times New Roman" w:cs="Times New Roman"/>
          <w:b/>
          <w:sz w:val="24"/>
          <w:szCs w:val="24"/>
        </w:rPr>
      </w:pPr>
    </w:p>
    <w:p w14:paraId="13F4A956" w14:textId="77777777" w:rsidR="00A27A5B" w:rsidRPr="00DC4FD6" w:rsidRDefault="00A27A5B" w:rsidP="00DC4FD6">
      <w:pPr>
        <w:spacing w:after="0" w:line="240" w:lineRule="auto"/>
        <w:jc w:val="both"/>
        <w:rPr>
          <w:rFonts w:ascii="Times New Roman" w:hAnsi="Times New Roman" w:cs="Times New Roman"/>
          <w:b/>
          <w:sz w:val="24"/>
          <w:szCs w:val="24"/>
        </w:rPr>
      </w:pPr>
    </w:p>
    <w:p w14:paraId="2C10F533" w14:textId="7B11528A" w:rsidR="00A27A5B" w:rsidRPr="00DC4FD6" w:rsidRDefault="00A27A5B" w:rsidP="00DC4FD6">
      <w:pPr>
        <w:spacing w:after="0" w:line="240" w:lineRule="auto"/>
        <w:jc w:val="both"/>
        <w:rPr>
          <w:rFonts w:ascii="Times New Roman" w:hAnsi="Times New Roman" w:cs="Times New Roman"/>
          <w:sz w:val="24"/>
          <w:szCs w:val="24"/>
        </w:rPr>
      </w:pPr>
      <w:r w:rsidRPr="00DC4FD6">
        <w:rPr>
          <w:rFonts w:ascii="Times New Roman" w:hAnsi="Times New Roman" w:cs="Times New Roman"/>
          <w:i/>
          <w:sz w:val="24"/>
          <w:szCs w:val="24"/>
        </w:rPr>
        <w:t>E Mubaiwa</w:t>
      </w:r>
      <w:r w:rsidR="00DC4FD6" w:rsidRPr="00DC4FD6">
        <w:rPr>
          <w:rFonts w:ascii="Times New Roman" w:hAnsi="Times New Roman" w:cs="Times New Roman"/>
          <w:i/>
          <w:sz w:val="24"/>
          <w:szCs w:val="24"/>
        </w:rPr>
        <w:t>,</w:t>
      </w:r>
      <w:r w:rsidRPr="00DC4FD6">
        <w:rPr>
          <w:rFonts w:ascii="Times New Roman" w:hAnsi="Times New Roman" w:cs="Times New Roman"/>
          <w:i/>
          <w:sz w:val="24"/>
          <w:szCs w:val="24"/>
        </w:rPr>
        <w:t xml:space="preserve"> </w:t>
      </w:r>
      <w:r w:rsidRPr="00DC4FD6">
        <w:rPr>
          <w:rFonts w:ascii="Times New Roman" w:hAnsi="Times New Roman" w:cs="Times New Roman"/>
          <w:sz w:val="24"/>
          <w:szCs w:val="24"/>
        </w:rPr>
        <w:t>for the appellant</w:t>
      </w:r>
    </w:p>
    <w:p w14:paraId="6F681A6A" w14:textId="62986886" w:rsidR="00A27A5B" w:rsidRDefault="00A27A5B" w:rsidP="00DC4FD6">
      <w:pPr>
        <w:spacing w:after="0" w:line="240" w:lineRule="auto"/>
        <w:jc w:val="both"/>
        <w:rPr>
          <w:rFonts w:ascii="Times New Roman" w:hAnsi="Times New Roman" w:cs="Times New Roman"/>
          <w:sz w:val="24"/>
          <w:szCs w:val="24"/>
        </w:rPr>
      </w:pPr>
      <w:r w:rsidRPr="00DC4FD6">
        <w:rPr>
          <w:rFonts w:ascii="Times New Roman" w:hAnsi="Times New Roman" w:cs="Times New Roman"/>
          <w:i/>
          <w:sz w:val="24"/>
          <w:szCs w:val="24"/>
        </w:rPr>
        <w:t>J</w:t>
      </w:r>
      <w:r w:rsidR="00DC4FD6" w:rsidRPr="00DC4FD6">
        <w:rPr>
          <w:rFonts w:ascii="Times New Roman" w:hAnsi="Times New Roman" w:cs="Times New Roman"/>
          <w:i/>
          <w:sz w:val="24"/>
          <w:szCs w:val="24"/>
        </w:rPr>
        <w:t xml:space="preserve"> </w:t>
      </w:r>
      <w:r w:rsidRPr="00DC4FD6">
        <w:rPr>
          <w:rFonts w:ascii="Times New Roman" w:hAnsi="Times New Roman" w:cs="Times New Roman"/>
          <w:i/>
          <w:sz w:val="24"/>
          <w:szCs w:val="24"/>
        </w:rPr>
        <w:t>Gwapedza</w:t>
      </w:r>
      <w:r w:rsidR="00DC4FD6" w:rsidRPr="00DC4FD6">
        <w:rPr>
          <w:rFonts w:ascii="Times New Roman" w:hAnsi="Times New Roman" w:cs="Times New Roman"/>
          <w:i/>
          <w:sz w:val="24"/>
          <w:szCs w:val="24"/>
        </w:rPr>
        <w:t>,</w:t>
      </w:r>
      <w:r w:rsidRPr="00DC4FD6">
        <w:rPr>
          <w:rFonts w:ascii="Times New Roman" w:hAnsi="Times New Roman" w:cs="Times New Roman"/>
          <w:i/>
          <w:sz w:val="24"/>
          <w:szCs w:val="24"/>
        </w:rPr>
        <w:t xml:space="preserve"> </w:t>
      </w:r>
      <w:r w:rsidRPr="00DC4FD6">
        <w:rPr>
          <w:rFonts w:ascii="Times New Roman" w:hAnsi="Times New Roman" w:cs="Times New Roman"/>
          <w:sz w:val="24"/>
          <w:szCs w:val="24"/>
        </w:rPr>
        <w:t>for the respondent</w:t>
      </w:r>
    </w:p>
    <w:p w14:paraId="66989CEB" w14:textId="77777777" w:rsidR="00DC4FD6" w:rsidRDefault="00DC4FD6" w:rsidP="00DC4FD6">
      <w:pPr>
        <w:spacing w:after="0" w:line="240" w:lineRule="auto"/>
        <w:jc w:val="both"/>
        <w:rPr>
          <w:rFonts w:ascii="Times New Roman" w:hAnsi="Times New Roman" w:cs="Times New Roman"/>
          <w:sz w:val="24"/>
          <w:szCs w:val="24"/>
        </w:rPr>
      </w:pPr>
    </w:p>
    <w:p w14:paraId="3F7EFF35" w14:textId="77777777" w:rsidR="00DC4FD6" w:rsidRPr="00DC4FD6" w:rsidRDefault="00DC4FD6" w:rsidP="00DC4FD6">
      <w:pPr>
        <w:spacing w:after="0" w:line="240" w:lineRule="auto"/>
        <w:jc w:val="both"/>
        <w:rPr>
          <w:rFonts w:ascii="Times New Roman" w:hAnsi="Times New Roman" w:cs="Times New Roman"/>
          <w:sz w:val="24"/>
          <w:szCs w:val="24"/>
        </w:rPr>
      </w:pPr>
    </w:p>
    <w:p w14:paraId="7443824E" w14:textId="77777777" w:rsidR="00A27A5B" w:rsidRPr="00DC4FD6" w:rsidRDefault="00A27A5B" w:rsidP="00DC4FD6">
      <w:pPr>
        <w:spacing w:after="0" w:line="240" w:lineRule="auto"/>
        <w:jc w:val="both"/>
        <w:rPr>
          <w:rFonts w:ascii="Times New Roman" w:hAnsi="Times New Roman" w:cs="Times New Roman"/>
          <w:sz w:val="24"/>
          <w:szCs w:val="24"/>
        </w:rPr>
      </w:pPr>
    </w:p>
    <w:p w14:paraId="392B0DB3" w14:textId="77777777" w:rsidR="00DC4FD6" w:rsidRDefault="00A27A5B" w:rsidP="00DC4FD6">
      <w:pPr>
        <w:spacing w:after="0" w:line="360" w:lineRule="auto"/>
        <w:ind w:firstLine="720"/>
        <w:jc w:val="both"/>
        <w:rPr>
          <w:rFonts w:ascii="Times New Roman" w:hAnsi="Times New Roman" w:cs="Times New Roman"/>
          <w:sz w:val="24"/>
          <w:szCs w:val="24"/>
        </w:rPr>
      </w:pPr>
      <w:r w:rsidRPr="00DC4FD6">
        <w:rPr>
          <w:rFonts w:ascii="Times New Roman" w:hAnsi="Times New Roman" w:cs="Times New Roman"/>
          <w:sz w:val="24"/>
          <w:szCs w:val="24"/>
        </w:rPr>
        <w:t>ZHOU J:</w:t>
      </w:r>
      <w:r w:rsidR="00210496" w:rsidRPr="00DC4FD6">
        <w:rPr>
          <w:rFonts w:ascii="Times New Roman" w:hAnsi="Times New Roman" w:cs="Times New Roman"/>
          <w:sz w:val="24"/>
          <w:szCs w:val="24"/>
        </w:rPr>
        <w:t xml:space="preserve">  This is an appeal against a judgment of the Magistrates Court sitting as a Children’s Court.  The judgment ordered that sole custody of the minor child of the parties who is at the centre of disagreement must remain with the appellant, with the respond</w:t>
      </w:r>
      <w:r w:rsidR="00C459AF" w:rsidRPr="00DC4FD6">
        <w:rPr>
          <w:rFonts w:ascii="Times New Roman" w:hAnsi="Times New Roman" w:cs="Times New Roman"/>
          <w:sz w:val="24"/>
          <w:szCs w:val="24"/>
        </w:rPr>
        <w:t>ent being granted access to</w:t>
      </w:r>
      <w:r w:rsidR="00210496" w:rsidRPr="00DC4FD6">
        <w:rPr>
          <w:rFonts w:ascii="Times New Roman" w:hAnsi="Times New Roman" w:cs="Times New Roman"/>
          <w:sz w:val="24"/>
          <w:szCs w:val="24"/>
        </w:rPr>
        <w:t xml:space="preserve"> the child for the entirety of every school holiday.  The order was made pursuant to an application instituted by the respondent in which he was seeking </w:t>
      </w:r>
      <w:r w:rsidR="00995901" w:rsidRPr="00DC4FD6">
        <w:rPr>
          <w:rFonts w:ascii="Times New Roman" w:hAnsi="Times New Roman" w:cs="Times New Roman"/>
          <w:sz w:val="24"/>
          <w:szCs w:val="24"/>
        </w:rPr>
        <w:t xml:space="preserve">sole </w:t>
      </w:r>
      <w:r w:rsidR="00210496" w:rsidRPr="00DC4FD6">
        <w:rPr>
          <w:rFonts w:ascii="Times New Roman" w:hAnsi="Times New Roman" w:cs="Times New Roman"/>
          <w:sz w:val="24"/>
          <w:szCs w:val="24"/>
        </w:rPr>
        <w:t>custody of the minor child or, alternatively, access to the child.</w:t>
      </w:r>
    </w:p>
    <w:p w14:paraId="48A77AC4" w14:textId="225F32C2" w:rsidR="00995901" w:rsidRPr="00DC4FD6" w:rsidRDefault="00210496" w:rsidP="00DC4FD6">
      <w:pPr>
        <w:spacing w:after="0" w:line="360" w:lineRule="auto"/>
        <w:ind w:firstLine="720"/>
        <w:jc w:val="both"/>
        <w:rPr>
          <w:rFonts w:ascii="Times New Roman" w:hAnsi="Times New Roman" w:cs="Times New Roman"/>
          <w:sz w:val="24"/>
          <w:szCs w:val="24"/>
        </w:rPr>
      </w:pPr>
      <w:r w:rsidRPr="00DC4FD6">
        <w:rPr>
          <w:rFonts w:ascii="Times New Roman" w:hAnsi="Times New Roman" w:cs="Times New Roman"/>
          <w:sz w:val="24"/>
          <w:szCs w:val="24"/>
        </w:rPr>
        <w:t>The appeal is opposed by the respondent.</w:t>
      </w:r>
    </w:p>
    <w:p w14:paraId="5AC92EE4" w14:textId="254E379E" w:rsidR="00CF7097" w:rsidRPr="00DC4FD6" w:rsidRDefault="00995901" w:rsidP="00DC4FD6">
      <w:pPr>
        <w:spacing w:line="360" w:lineRule="auto"/>
        <w:ind w:firstLine="720"/>
        <w:jc w:val="both"/>
        <w:rPr>
          <w:rFonts w:ascii="Times New Roman" w:hAnsi="Times New Roman" w:cs="Times New Roman"/>
          <w:sz w:val="24"/>
          <w:szCs w:val="24"/>
        </w:rPr>
      </w:pPr>
      <w:r w:rsidRPr="00DC4FD6">
        <w:rPr>
          <w:rFonts w:ascii="Times New Roman" w:hAnsi="Times New Roman" w:cs="Times New Roman"/>
          <w:sz w:val="24"/>
          <w:szCs w:val="24"/>
        </w:rPr>
        <w:t>The factual background to the matter is as follows: The appellant is the respondent’s wife.  The two ha</w:t>
      </w:r>
      <w:r w:rsidR="00C459AF" w:rsidRPr="00DC4FD6">
        <w:rPr>
          <w:rFonts w:ascii="Times New Roman" w:hAnsi="Times New Roman" w:cs="Times New Roman"/>
          <w:sz w:val="24"/>
          <w:szCs w:val="24"/>
        </w:rPr>
        <w:t>ve a pending divorce case in this</w:t>
      </w:r>
      <w:r w:rsidRPr="00DC4FD6">
        <w:rPr>
          <w:rFonts w:ascii="Times New Roman" w:hAnsi="Times New Roman" w:cs="Times New Roman"/>
          <w:sz w:val="24"/>
          <w:szCs w:val="24"/>
        </w:rPr>
        <w:t xml:space="preserve"> Court.  The parties separated in February 2024.  Upon separation the appellant retained c</w:t>
      </w:r>
      <w:r w:rsidR="00C459AF" w:rsidRPr="00DC4FD6">
        <w:rPr>
          <w:rFonts w:ascii="Times New Roman" w:hAnsi="Times New Roman" w:cs="Times New Roman"/>
          <w:sz w:val="24"/>
          <w:szCs w:val="24"/>
        </w:rPr>
        <w:t>ustody of their minor child who</w:t>
      </w:r>
      <w:r w:rsidRPr="00DC4FD6">
        <w:rPr>
          <w:rFonts w:ascii="Times New Roman" w:hAnsi="Times New Roman" w:cs="Times New Roman"/>
          <w:sz w:val="24"/>
          <w:szCs w:val="24"/>
        </w:rPr>
        <w:t xml:space="preserve"> was born on 15 February 2020.</w:t>
      </w:r>
      <w:r w:rsidR="00FE4A7D" w:rsidRPr="00DC4FD6">
        <w:rPr>
          <w:rFonts w:ascii="Times New Roman" w:hAnsi="Times New Roman" w:cs="Times New Roman"/>
          <w:sz w:val="24"/>
          <w:szCs w:val="24"/>
        </w:rPr>
        <w:t xml:space="preserve">  The respondent’s basis for seeking sole custody was that the appellant was resident in South Africa where she was working, and that she had informed him of her intention to leave the child in the custody of her cousin sister in Harare.  The respondent averred that in the event that the appellant was returning to settle in Zimbabwe he was amenable to her having sole custody of the child subject to him being granted access to the child every school holiday.  After finding that the appellant had placed sufficient evidence before the Court to prove that she had obtained employment in Harare and would be settling there, the Court </w:t>
      </w:r>
      <w:r w:rsidR="00FE4A7D" w:rsidRPr="00DC4FD6">
        <w:rPr>
          <w:rFonts w:ascii="Times New Roman" w:hAnsi="Times New Roman" w:cs="Times New Roman"/>
          <w:i/>
          <w:sz w:val="24"/>
          <w:szCs w:val="24"/>
        </w:rPr>
        <w:t xml:space="preserve">a quo </w:t>
      </w:r>
      <w:r w:rsidR="00FE4A7D" w:rsidRPr="00DC4FD6">
        <w:rPr>
          <w:rFonts w:ascii="Times New Roman" w:hAnsi="Times New Roman" w:cs="Times New Roman"/>
          <w:sz w:val="24"/>
          <w:szCs w:val="24"/>
        </w:rPr>
        <w:t>granted the order in the terms already adverted to earlier on.  That is the order that the appellant seeks to challenge.</w:t>
      </w:r>
      <w:r w:rsidR="00C927F3" w:rsidRPr="00DC4FD6">
        <w:rPr>
          <w:rFonts w:ascii="Times New Roman" w:hAnsi="Times New Roman" w:cs="Times New Roman"/>
          <w:sz w:val="24"/>
          <w:szCs w:val="24"/>
        </w:rPr>
        <w:t xml:space="preserve"> </w:t>
      </w:r>
    </w:p>
    <w:p w14:paraId="66EE3064" w14:textId="77777777" w:rsidR="00C459AF" w:rsidRPr="00DC4FD6" w:rsidRDefault="00CF7097" w:rsidP="00DC4FD6">
      <w:pPr>
        <w:spacing w:after="0" w:line="360" w:lineRule="auto"/>
        <w:ind w:firstLine="720"/>
        <w:jc w:val="both"/>
        <w:rPr>
          <w:rFonts w:ascii="Times New Roman" w:hAnsi="Times New Roman" w:cs="Times New Roman"/>
          <w:sz w:val="24"/>
          <w:szCs w:val="24"/>
        </w:rPr>
      </w:pPr>
      <w:r w:rsidRPr="00DC4FD6">
        <w:rPr>
          <w:rFonts w:ascii="Times New Roman" w:hAnsi="Times New Roman" w:cs="Times New Roman"/>
          <w:sz w:val="24"/>
          <w:szCs w:val="24"/>
        </w:rPr>
        <w:lastRenderedPageBreak/>
        <w:t xml:space="preserve">The first ground of appeal is that the Court </w:t>
      </w:r>
      <w:r w:rsidRPr="00DC4FD6">
        <w:rPr>
          <w:rFonts w:ascii="Times New Roman" w:hAnsi="Times New Roman" w:cs="Times New Roman"/>
          <w:i/>
          <w:sz w:val="24"/>
          <w:szCs w:val="24"/>
        </w:rPr>
        <w:t xml:space="preserve">a quo </w:t>
      </w:r>
      <w:r w:rsidRPr="00DC4FD6">
        <w:rPr>
          <w:rFonts w:ascii="Times New Roman" w:hAnsi="Times New Roman" w:cs="Times New Roman"/>
          <w:sz w:val="24"/>
          <w:szCs w:val="24"/>
        </w:rPr>
        <w:t>erred in interfering with the appellant’s sole custody rights given to her by s 5 (1) of the Guardianship of Minors Act by giving the respondent access to the minor child in the absence of an application made in terms of s 5 (3) (b) or (c) of the same Act.  This ground of appeal does not make sense, because the order of the Magistrates Court did not i</w:t>
      </w:r>
      <w:r w:rsidR="00C459AF" w:rsidRPr="00DC4FD6">
        <w:rPr>
          <w:rFonts w:ascii="Times New Roman" w:hAnsi="Times New Roman" w:cs="Times New Roman"/>
          <w:sz w:val="24"/>
          <w:szCs w:val="24"/>
        </w:rPr>
        <w:t>n any way interfere with the</w:t>
      </w:r>
      <w:r w:rsidRPr="00DC4FD6">
        <w:rPr>
          <w:rFonts w:ascii="Times New Roman" w:hAnsi="Times New Roman" w:cs="Times New Roman"/>
          <w:sz w:val="24"/>
          <w:szCs w:val="24"/>
        </w:rPr>
        <w:t xml:space="preserve"> issue of custody.  In fact, the request by the respondent for sole custody was dismissed.  What was granted was an order of access to the child.  The respondent as the father of the child is entitled to have access to the child.</w:t>
      </w:r>
      <w:r w:rsidR="00A70DBE" w:rsidRPr="00DC4FD6">
        <w:rPr>
          <w:rFonts w:ascii="Times New Roman" w:hAnsi="Times New Roman" w:cs="Times New Roman"/>
          <w:sz w:val="24"/>
          <w:szCs w:val="24"/>
        </w:rPr>
        <w:t xml:space="preserve">  </w:t>
      </w:r>
    </w:p>
    <w:p w14:paraId="6732A1D5" w14:textId="0836CEEE" w:rsidR="00051569" w:rsidRPr="00DC4FD6" w:rsidRDefault="00A70DBE" w:rsidP="00DC4FD6">
      <w:pPr>
        <w:spacing w:after="0" w:line="360" w:lineRule="auto"/>
        <w:ind w:firstLine="720"/>
        <w:jc w:val="both"/>
        <w:rPr>
          <w:rFonts w:ascii="Times New Roman" w:hAnsi="Times New Roman" w:cs="Times New Roman"/>
          <w:sz w:val="24"/>
          <w:szCs w:val="24"/>
        </w:rPr>
      </w:pPr>
      <w:r w:rsidRPr="00DC4FD6">
        <w:rPr>
          <w:rFonts w:ascii="Times New Roman" w:hAnsi="Times New Roman" w:cs="Times New Roman"/>
          <w:sz w:val="24"/>
          <w:szCs w:val="24"/>
        </w:rPr>
        <w:t xml:space="preserve">From the submissions made by Mr </w:t>
      </w:r>
      <w:r w:rsidRPr="00DC4FD6">
        <w:rPr>
          <w:rFonts w:ascii="Times New Roman" w:hAnsi="Times New Roman" w:cs="Times New Roman"/>
          <w:i/>
          <w:sz w:val="24"/>
          <w:szCs w:val="24"/>
        </w:rPr>
        <w:t xml:space="preserve">Mubaiwa </w:t>
      </w:r>
      <w:r w:rsidRPr="00DC4FD6">
        <w:rPr>
          <w:rFonts w:ascii="Times New Roman" w:hAnsi="Times New Roman" w:cs="Times New Roman"/>
          <w:sz w:val="24"/>
          <w:szCs w:val="24"/>
        </w:rPr>
        <w:t>for the appellant and with reference to the second ground of appeal, the case being advan</w:t>
      </w:r>
      <w:r w:rsidR="00C459AF" w:rsidRPr="00DC4FD6">
        <w:rPr>
          <w:rFonts w:ascii="Times New Roman" w:hAnsi="Times New Roman" w:cs="Times New Roman"/>
          <w:sz w:val="24"/>
          <w:szCs w:val="24"/>
        </w:rPr>
        <w:t>ced by the appellant i</w:t>
      </w:r>
      <w:r w:rsidRPr="00DC4FD6">
        <w:rPr>
          <w:rFonts w:ascii="Times New Roman" w:hAnsi="Times New Roman" w:cs="Times New Roman"/>
          <w:sz w:val="24"/>
          <w:szCs w:val="24"/>
        </w:rPr>
        <w:t>s that because there was no statement on the face of the application to the effect that the application was being made in terms of 53 (3) of the Act then the application was fatal</w:t>
      </w:r>
      <w:r w:rsidR="00C459AF" w:rsidRPr="00DC4FD6">
        <w:rPr>
          <w:rFonts w:ascii="Times New Roman" w:hAnsi="Times New Roman" w:cs="Times New Roman"/>
          <w:sz w:val="24"/>
          <w:szCs w:val="24"/>
        </w:rPr>
        <w:t xml:space="preserve"> because the jurisdiction of the court has not been established</w:t>
      </w:r>
      <w:r w:rsidRPr="00DC4FD6">
        <w:rPr>
          <w:rFonts w:ascii="Times New Roman" w:hAnsi="Times New Roman" w:cs="Times New Roman"/>
          <w:sz w:val="24"/>
          <w:szCs w:val="24"/>
        </w:rPr>
        <w:t>.</w:t>
      </w:r>
      <w:r w:rsidR="009428B1" w:rsidRPr="00DC4FD6">
        <w:rPr>
          <w:rFonts w:ascii="Times New Roman" w:hAnsi="Times New Roman" w:cs="Times New Roman"/>
          <w:sz w:val="24"/>
          <w:szCs w:val="24"/>
        </w:rPr>
        <w:t xml:space="preserve">  The application form has no provision for a statement of the law in terms of which an application is being made.  This ground is therefore not based upon a correct reading of the rules.  Further, whether or not the court has jurisdiction to determine a matter before it does not depend upon a statement whether on the face of the notice of the application or in the affidavit but on the cause of action pleaded</w:t>
      </w:r>
      <w:r w:rsidR="00C459AF" w:rsidRPr="00DC4FD6">
        <w:rPr>
          <w:rFonts w:ascii="Times New Roman" w:hAnsi="Times New Roman" w:cs="Times New Roman"/>
          <w:sz w:val="24"/>
          <w:szCs w:val="24"/>
        </w:rPr>
        <w:t>.  The appellant has not alleged, let alone established,</w:t>
      </w:r>
      <w:r w:rsidR="009428B1" w:rsidRPr="00DC4FD6">
        <w:rPr>
          <w:rFonts w:ascii="Times New Roman" w:hAnsi="Times New Roman" w:cs="Times New Roman"/>
          <w:sz w:val="24"/>
          <w:szCs w:val="24"/>
        </w:rPr>
        <w:t xml:space="preserve"> that the Court </w:t>
      </w:r>
      <w:r w:rsidR="009428B1" w:rsidRPr="00DC4FD6">
        <w:rPr>
          <w:rFonts w:ascii="Times New Roman" w:hAnsi="Times New Roman" w:cs="Times New Roman"/>
          <w:i/>
          <w:sz w:val="24"/>
          <w:szCs w:val="24"/>
        </w:rPr>
        <w:t xml:space="preserve">a quo </w:t>
      </w:r>
      <w:r w:rsidR="009428B1" w:rsidRPr="00DC4FD6">
        <w:rPr>
          <w:rFonts w:ascii="Times New Roman" w:hAnsi="Times New Roman" w:cs="Times New Roman"/>
          <w:sz w:val="24"/>
          <w:szCs w:val="24"/>
        </w:rPr>
        <w:t>had no jurisdiction to de</w:t>
      </w:r>
      <w:r w:rsidR="00C459AF" w:rsidRPr="00DC4FD6">
        <w:rPr>
          <w:rFonts w:ascii="Times New Roman" w:hAnsi="Times New Roman" w:cs="Times New Roman"/>
          <w:sz w:val="24"/>
          <w:szCs w:val="24"/>
        </w:rPr>
        <w:t>al with the issue of access to the</w:t>
      </w:r>
      <w:r w:rsidR="009428B1" w:rsidRPr="00DC4FD6">
        <w:rPr>
          <w:rFonts w:ascii="Times New Roman" w:hAnsi="Times New Roman" w:cs="Times New Roman"/>
          <w:sz w:val="24"/>
          <w:szCs w:val="24"/>
        </w:rPr>
        <w:t xml:space="preserve"> minor child.  There is therefore no substance in the two grounds of appeal and in the submissions made in support thereof.</w:t>
      </w:r>
    </w:p>
    <w:p w14:paraId="71307B93" w14:textId="20AC9007" w:rsidR="00051569" w:rsidRPr="00DC4FD6" w:rsidRDefault="00051569" w:rsidP="00DC4FD6">
      <w:pPr>
        <w:spacing w:after="0" w:line="360" w:lineRule="auto"/>
        <w:ind w:firstLine="720"/>
        <w:jc w:val="both"/>
        <w:rPr>
          <w:rFonts w:ascii="Times New Roman" w:hAnsi="Times New Roman" w:cs="Times New Roman"/>
          <w:sz w:val="24"/>
          <w:szCs w:val="24"/>
        </w:rPr>
      </w:pPr>
      <w:r w:rsidRPr="00DC4FD6">
        <w:rPr>
          <w:rFonts w:ascii="Times New Roman" w:hAnsi="Times New Roman" w:cs="Times New Roman"/>
          <w:sz w:val="24"/>
          <w:szCs w:val="24"/>
        </w:rPr>
        <w:t xml:space="preserve">The third ground of appeal is that the court </w:t>
      </w:r>
      <w:r w:rsidRPr="00DC4FD6">
        <w:rPr>
          <w:rFonts w:ascii="Times New Roman" w:hAnsi="Times New Roman" w:cs="Times New Roman"/>
          <w:i/>
          <w:sz w:val="24"/>
          <w:szCs w:val="24"/>
        </w:rPr>
        <w:t xml:space="preserve">a quo </w:t>
      </w:r>
      <w:r w:rsidRPr="00DC4FD6">
        <w:rPr>
          <w:rFonts w:ascii="Times New Roman" w:hAnsi="Times New Roman" w:cs="Times New Roman"/>
          <w:sz w:val="24"/>
          <w:szCs w:val="24"/>
        </w:rPr>
        <w:t>grossly misdirected itself by exercising its discretion on wrong principles, irrelevant considerations or absent the relevant ones, in determining a matter in respect of which the respondent had already instituted proceedings in the High Court and, further, in giving the respondent relief which is contrary to what he is seeking in the High Court case number HCBF 428/25.</w:t>
      </w:r>
      <w:r w:rsidR="00F816B8" w:rsidRPr="00DC4FD6">
        <w:rPr>
          <w:rFonts w:ascii="Times New Roman" w:hAnsi="Times New Roman" w:cs="Times New Roman"/>
          <w:sz w:val="24"/>
          <w:szCs w:val="24"/>
        </w:rPr>
        <w:t xml:space="preserve">  The essence of the argument is that the Court </w:t>
      </w:r>
      <w:r w:rsidR="00F816B8" w:rsidRPr="00DC4FD6">
        <w:rPr>
          <w:rFonts w:ascii="Times New Roman" w:hAnsi="Times New Roman" w:cs="Times New Roman"/>
          <w:i/>
          <w:sz w:val="24"/>
          <w:szCs w:val="24"/>
        </w:rPr>
        <w:t xml:space="preserve">a quo </w:t>
      </w:r>
      <w:r w:rsidR="00F816B8" w:rsidRPr="00DC4FD6">
        <w:rPr>
          <w:rFonts w:ascii="Times New Roman" w:hAnsi="Times New Roman" w:cs="Times New Roman"/>
          <w:sz w:val="24"/>
          <w:szCs w:val="24"/>
        </w:rPr>
        <w:t>ought to have deferred its determination on the matter to the High Court since in th</w:t>
      </w:r>
      <w:r w:rsidR="00C459AF" w:rsidRPr="00DC4FD6">
        <w:rPr>
          <w:rFonts w:ascii="Times New Roman" w:hAnsi="Times New Roman" w:cs="Times New Roman"/>
          <w:sz w:val="24"/>
          <w:szCs w:val="24"/>
        </w:rPr>
        <w:t>e divorce proceedings there are</w:t>
      </w:r>
      <w:r w:rsidR="00F816B8" w:rsidRPr="00DC4FD6">
        <w:rPr>
          <w:rFonts w:ascii="Times New Roman" w:hAnsi="Times New Roman" w:cs="Times New Roman"/>
          <w:sz w:val="24"/>
          <w:szCs w:val="24"/>
        </w:rPr>
        <w:t xml:space="preserve"> also the issues of custody and access to be dealt with.  The pending divorce proceedings in this court did not oust the jurisdiction of the Court </w:t>
      </w:r>
      <w:r w:rsidR="00F816B8" w:rsidRPr="00DC4FD6">
        <w:rPr>
          <w:rFonts w:ascii="Times New Roman" w:hAnsi="Times New Roman" w:cs="Times New Roman"/>
          <w:i/>
          <w:sz w:val="24"/>
          <w:szCs w:val="24"/>
        </w:rPr>
        <w:t xml:space="preserve">a quo </w:t>
      </w:r>
      <w:r w:rsidR="00F816B8" w:rsidRPr="00DC4FD6">
        <w:rPr>
          <w:rFonts w:ascii="Times New Roman" w:hAnsi="Times New Roman" w:cs="Times New Roman"/>
          <w:sz w:val="24"/>
          <w:szCs w:val="24"/>
        </w:rPr>
        <w:t xml:space="preserve">to deal with the matter.  It is trite that </w:t>
      </w:r>
      <w:r w:rsidR="00F816B8" w:rsidRPr="00DC4FD6">
        <w:rPr>
          <w:rFonts w:ascii="Times New Roman" w:hAnsi="Times New Roman" w:cs="Times New Roman"/>
          <w:i/>
          <w:sz w:val="24"/>
          <w:szCs w:val="24"/>
        </w:rPr>
        <w:t xml:space="preserve">lis pendens </w:t>
      </w:r>
      <w:r w:rsidR="00F816B8" w:rsidRPr="00DC4FD6">
        <w:rPr>
          <w:rFonts w:ascii="Times New Roman" w:hAnsi="Times New Roman" w:cs="Times New Roman"/>
          <w:sz w:val="24"/>
          <w:szCs w:val="24"/>
        </w:rPr>
        <w:t>does not absolutely bar a party against whom it is held.  The Court has a discretion as to whether or not to stay the matter before it pending determination of the matter before another competent court.  This is a matter within the discretion of the court before which the objection is being taken.</w:t>
      </w:r>
      <w:r w:rsidR="002A5215" w:rsidRPr="00DC4FD6">
        <w:rPr>
          <w:rFonts w:ascii="Times New Roman" w:hAnsi="Times New Roman" w:cs="Times New Roman"/>
          <w:sz w:val="24"/>
          <w:szCs w:val="24"/>
        </w:rPr>
        <w:t xml:space="preserve">  The exercise of a discretion can only be impeached on very limited grounds.  None of those </w:t>
      </w:r>
      <w:r w:rsidR="002A5215" w:rsidRPr="00DC4FD6">
        <w:rPr>
          <w:rFonts w:ascii="Times New Roman" w:hAnsi="Times New Roman" w:cs="Times New Roman"/>
          <w:sz w:val="24"/>
          <w:szCs w:val="24"/>
        </w:rPr>
        <w:lastRenderedPageBreak/>
        <w:t xml:space="preserve">grounds have been established by the appellant </w:t>
      </w:r>
      <w:r w:rsidR="002A5215" w:rsidRPr="00DC4FD6">
        <w:rPr>
          <w:rFonts w:ascii="Times New Roman" w:hAnsi="Times New Roman" w:cs="Times New Roman"/>
          <w:i/>
          <w:sz w:val="24"/>
          <w:szCs w:val="24"/>
        </w:rPr>
        <w:t>in casu</w:t>
      </w:r>
      <w:r w:rsidR="00C459AF" w:rsidRPr="00DC4FD6">
        <w:rPr>
          <w:rFonts w:ascii="Times New Roman" w:hAnsi="Times New Roman" w:cs="Times New Roman"/>
          <w:sz w:val="24"/>
          <w:szCs w:val="24"/>
        </w:rPr>
        <w:t>.  The</w:t>
      </w:r>
      <w:r w:rsidR="002A5215" w:rsidRPr="00DC4FD6">
        <w:rPr>
          <w:rFonts w:ascii="Times New Roman" w:hAnsi="Times New Roman" w:cs="Times New Roman"/>
          <w:sz w:val="24"/>
          <w:szCs w:val="24"/>
        </w:rPr>
        <w:t xml:space="preserve"> mere fact that the respondent is the </w:t>
      </w:r>
      <w:r w:rsidR="002A5215" w:rsidRPr="00DC4FD6">
        <w:rPr>
          <w:rFonts w:ascii="Times New Roman" w:hAnsi="Times New Roman" w:cs="Times New Roman"/>
          <w:i/>
          <w:sz w:val="24"/>
          <w:szCs w:val="24"/>
        </w:rPr>
        <w:t xml:space="preserve">dominus litis </w:t>
      </w:r>
      <w:r w:rsidR="002A5215" w:rsidRPr="00DC4FD6">
        <w:rPr>
          <w:rFonts w:ascii="Times New Roman" w:hAnsi="Times New Roman" w:cs="Times New Roman"/>
          <w:sz w:val="24"/>
          <w:szCs w:val="24"/>
        </w:rPr>
        <w:t>in the High Court divorce case is not a ground for upholding the appellant’s objection to the determination of the access dispute by the Magistrates Court.</w:t>
      </w:r>
      <w:r w:rsidR="00F816B8" w:rsidRPr="00DC4FD6">
        <w:rPr>
          <w:rFonts w:ascii="Times New Roman" w:hAnsi="Times New Roman" w:cs="Times New Roman"/>
          <w:sz w:val="24"/>
          <w:szCs w:val="24"/>
        </w:rPr>
        <w:t xml:space="preserve">  </w:t>
      </w:r>
    </w:p>
    <w:p w14:paraId="34CC6CDA" w14:textId="05D0538D" w:rsidR="00C3164C" w:rsidRPr="00DC4FD6" w:rsidRDefault="00051569" w:rsidP="00DC4FD6">
      <w:pPr>
        <w:spacing w:after="0" w:line="360" w:lineRule="auto"/>
        <w:ind w:firstLine="720"/>
        <w:jc w:val="both"/>
        <w:rPr>
          <w:rFonts w:ascii="Times New Roman" w:hAnsi="Times New Roman" w:cs="Times New Roman"/>
          <w:sz w:val="24"/>
          <w:szCs w:val="24"/>
        </w:rPr>
      </w:pPr>
      <w:r w:rsidRPr="00DC4FD6">
        <w:rPr>
          <w:rFonts w:ascii="Times New Roman" w:hAnsi="Times New Roman" w:cs="Times New Roman"/>
          <w:sz w:val="24"/>
          <w:szCs w:val="24"/>
        </w:rPr>
        <w:t xml:space="preserve">The fourth ground of appeal is that the court </w:t>
      </w:r>
      <w:r w:rsidRPr="00DC4FD6">
        <w:rPr>
          <w:rFonts w:ascii="Times New Roman" w:hAnsi="Times New Roman" w:cs="Times New Roman"/>
          <w:i/>
          <w:sz w:val="24"/>
          <w:szCs w:val="24"/>
        </w:rPr>
        <w:t xml:space="preserve">a quo </w:t>
      </w:r>
      <w:r w:rsidRPr="00DC4FD6">
        <w:rPr>
          <w:rFonts w:ascii="Times New Roman" w:hAnsi="Times New Roman" w:cs="Times New Roman"/>
          <w:sz w:val="24"/>
          <w:szCs w:val="24"/>
        </w:rPr>
        <w:t xml:space="preserve">grossly misdirected itself </w:t>
      </w:r>
      <w:r w:rsidR="00F53BF4" w:rsidRPr="00DC4FD6">
        <w:rPr>
          <w:rFonts w:ascii="Times New Roman" w:hAnsi="Times New Roman" w:cs="Times New Roman"/>
          <w:sz w:val="24"/>
          <w:szCs w:val="24"/>
        </w:rPr>
        <w:t>in giving the respondent full and exclusive access to the child over the full length of all school holidays contrary to the evidence tendered and the best interests of the child.</w:t>
      </w:r>
      <w:r w:rsidR="001E5F88" w:rsidRPr="00DC4FD6">
        <w:rPr>
          <w:rFonts w:ascii="Times New Roman" w:hAnsi="Times New Roman" w:cs="Times New Roman"/>
          <w:sz w:val="24"/>
          <w:szCs w:val="24"/>
        </w:rPr>
        <w:t xml:space="preserve">  We find merit in this ground of appeal.  Other than </w:t>
      </w:r>
      <w:r w:rsidR="00DC4FD6" w:rsidRPr="00DC4FD6">
        <w:rPr>
          <w:rFonts w:ascii="Times New Roman" w:hAnsi="Times New Roman" w:cs="Times New Roman"/>
          <w:sz w:val="24"/>
          <w:szCs w:val="24"/>
        </w:rPr>
        <w:t>that,</w:t>
      </w:r>
      <w:r w:rsidR="001E5F88" w:rsidRPr="00DC4FD6">
        <w:rPr>
          <w:rFonts w:ascii="Times New Roman" w:hAnsi="Times New Roman" w:cs="Times New Roman"/>
          <w:sz w:val="24"/>
          <w:szCs w:val="24"/>
        </w:rPr>
        <w:t xml:space="preserve"> the draft order in the application made the alternat</w:t>
      </w:r>
      <w:r w:rsidR="003668BE" w:rsidRPr="00DC4FD6">
        <w:rPr>
          <w:rFonts w:ascii="Times New Roman" w:hAnsi="Times New Roman" w:cs="Times New Roman"/>
          <w:sz w:val="24"/>
          <w:szCs w:val="24"/>
        </w:rPr>
        <w:t>ive request to have the child</w:t>
      </w:r>
      <w:r w:rsidR="001E5F88" w:rsidRPr="00DC4FD6">
        <w:rPr>
          <w:rFonts w:ascii="Times New Roman" w:hAnsi="Times New Roman" w:cs="Times New Roman"/>
          <w:sz w:val="24"/>
          <w:szCs w:val="24"/>
        </w:rPr>
        <w:t xml:space="preserve"> during the entire school holiday, the respondent did not justify this relief.  Even in the hearing before this Court </w:t>
      </w:r>
      <w:r w:rsidR="002E7BFA" w:rsidRPr="00DC4FD6">
        <w:rPr>
          <w:rFonts w:ascii="Times New Roman" w:hAnsi="Times New Roman" w:cs="Times New Roman"/>
          <w:sz w:val="24"/>
          <w:szCs w:val="24"/>
        </w:rPr>
        <w:t>no meaningful submissions were mad</w:t>
      </w:r>
      <w:r w:rsidR="003668BE" w:rsidRPr="00DC4FD6">
        <w:rPr>
          <w:rFonts w:ascii="Times New Roman" w:hAnsi="Times New Roman" w:cs="Times New Roman"/>
          <w:sz w:val="24"/>
          <w:szCs w:val="24"/>
        </w:rPr>
        <w:t>e to justify taking the child</w:t>
      </w:r>
      <w:r w:rsidR="002E7BFA" w:rsidRPr="00DC4FD6">
        <w:rPr>
          <w:rFonts w:ascii="Times New Roman" w:hAnsi="Times New Roman" w:cs="Times New Roman"/>
          <w:sz w:val="24"/>
          <w:szCs w:val="24"/>
        </w:rPr>
        <w:t xml:space="preserve"> away from the appellant on all school holidays.</w:t>
      </w:r>
      <w:r w:rsidR="003668BE" w:rsidRPr="00DC4FD6">
        <w:rPr>
          <w:rFonts w:ascii="Times New Roman" w:hAnsi="Times New Roman" w:cs="Times New Roman"/>
          <w:sz w:val="24"/>
          <w:szCs w:val="24"/>
        </w:rPr>
        <w:t xml:space="preserve">  During the term the appellant, e</w:t>
      </w:r>
      <w:r w:rsidR="002E7BFA" w:rsidRPr="00DC4FD6">
        <w:rPr>
          <w:rFonts w:ascii="Times New Roman" w:hAnsi="Times New Roman" w:cs="Times New Roman"/>
          <w:sz w:val="24"/>
          <w:szCs w:val="24"/>
        </w:rPr>
        <w:t>ven if she was unemployed or</w:t>
      </w:r>
      <w:r w:rsidR="003668BE" w:rsidRPr="00DC4FD6">
        <w:rPr>
          <w:rFonts w:ascii="Times New Roman" w:hAnsi="Times New Roman" w:cs="Times New Roman"/>
          <w:sz w:val="24"/>
          <w:szCs w:val="24"/>
        </w:rPr>
        <w:t xml:space="preserve"> spent all her time at home,</w:t>
      </w:r>
      <w:r w:rsidR="002E7BFA" w:rsidRPr="00DC4FD6">
        <w:rPr>
          <w:rFonts w:ascii="Times New Roman" w:hAnsi="Times New Roman" w:cs="Times New Roman"/>
          <w:sz w:val="24"/>
          <w:szCs w:val="24"/>
        </w:rPr>
        <w:t xml:space="preserve"> will not be having all the time with the child since the child will obviously be attending school.  If, as is apparent from the papers, she goes to work then it means that the only tim</w:t>
      </w:r>
      <w:r w:rsidR="003668BE" w:rsidRPr="00DC4FD6">
        <w:rPr>
          <w:rFonts w:ascii="Times New Roman" w:hAnsi="Times New Roman" w:cs="Times New Roman"/>
          <w:sz w:val="24"/>
          <w:szCs w:val="24"/>
        </w:rPr>
        <w:t>e that she has with the child</w:t>
      </w:r>
      <w:r w:rsidR="002E7BFA" w:rsidRPr="00DC4FD6">
        <w:rPr>
          <w:rFonts w:ascii="Times New Roman" w:hAnsi="Times New Roman" w:cs="Times New Roman"/>
          <w:sz w:val="24"/>
          <w:szCs w:val="24"/>
        </w:rPr>
        <w:t xml:space="preserve"> would be in the evening or during the weekends.  It is therefore in the best interests of the child that that portion of the order be interfered with so that the respondent has the children during the first half of every scho</w:t>
      </w:r>
      <w:r w:rsidR="003668BE" w:rsidRPr="00DC4FD6">
        <w:rPr>
          <w:rFonts w:ascii="Times New Roman" w:hAnsi="Times New Roman" w:cs="Times New Roman"/>
          <w:sz w:val="24"/>
          <w:szCs w:val="24"/>
        </w:rPr>
        <w:t>ol holiday.  Having the child</w:t>
      </w:r>
      <w:r w:rsidR="002E7BFA" w:rsidRPr="00DC4FD6">
        <w:rPr>
          <w:rFonts w:ascii="Times New Roman" w:hAnsi="Times New Roman" w:cs="Times New Roman"/>
          <w:sz w:val="24"/>
          <w:szCs w:val="24"/>
        </w:rPr>
        <w:t xml:space="preserve"> during the second half of the school holiday enables the appellant as the custodian parent to</w:t>
      </w:r>
      <w:r w:rsidR="003668BE" w:rsidRPr="00DC4FD6">
        <w:rPr>
          <w:rFonts w:ascii="Times New Roman" w:hAnsi="Times New Roman" w:cs="Times New Roman"/>
          <w:sz w:val="24"/>
          <w:szCs w:val="24"/>
        </w:rPr>
        <w:t xml:space="preserve"> adequately prepare the child</w:t>
      </w:r>
      <w:r w:rsidR="002E7BFA" w:rsidRPr="00DC4FD6">
        <w:rPr>
          <w:rFonts w:ascii="Times New Roman" w:hAnsi="Times New Roman" w:cs="Times New Roman"/>
          <w:sz w:val="24"/>
          <w:szCs w:val="24"/>
        </w:rPr>
        <w:t xml:space="preserve"> for the commencement of a school term.</w:t>
      </w:r>
      <w:r w:rsidR="00C3164C" w:rsidRPr="00DC4FD6">
        <w:rPr>
          <w:rFonts w:ascii="Times New Roman" w:hAnsi="Times New Roman" w:cs="Times New Roman"/>
          <w:sz w:val="24"/>
          <w:szCs w:val="24"/>
        </w:rPr>
        <w:t xml:space="preserve">  We note, however, that the appellant did not ask for this relief in her notice of appeal although the ground of appeal was argued.  This court is mindful of the fact that the relief proposed is merely for the guidance of the Court which is otherwise at large to grant appropriate relief.  She wanted the respondent’s application to be dismissed in its entirety or to be held in abeyance pending determination of the High Court divorce matter.  </w:t>
      </w:r>
      <w:r w:rsidR="00132854" w:rsidRPr="00DC4FD6">
        <w:rPr>
          <w:rFonts w:ascii="Times New Roman" w:hAnsi="Times New Roman" w:cs="Times New Roman"/>
          <w:sz w:val="24"/>
          <w:szCs w:val="24"/>
        </w:rPr>
        <w:t>In essence, she wanted the respondent to be denied access to the child.  That is not in the bests interests of the child and shows selfishness on her part.  For those</w:t>
      </w:r>
      <w:r w:rsidR="00C3164C" w:rsidRPr="00DC4FD6">
        <w:rPr>
          <w:rFonts w:ascii="Times New Roman" w:hAnsi="Times New Roman" w:cs="Times New Roman"/>
          <w:sz w:val="24"/>
          <w:szCs w:val="24"/>
        </w:rPr>
        <w:t xml:space="preserve"> reason</w:t>
      </w:r>
      <w:r w:rsidR="00132854" w:rsidRPr="00DC4FD6">
        <w:rPr>
          <w:rFonts w:ascii="Times New Roman" w:hAnsi="Times New Roman" w:cs="Times New Roman"/>
          <w:sz w:val="24"/>
          <w:szCs w:val="24"/>
        </w:rPr>
        <w:t>s</w:t>
      </w:r>
      <w:r w:rsidR="00C3164C" w:rsidRPr="00DC4FD6">
        <w:rPr>
          <w:rFonts w:ascii="Times New Roman" w:hAnsi="Times New Roman" w:cs="Times New Roman"/>
          <w:sz w:val="24"/>
          <w:szCs w:val="24"/>
        </w:rPr>
        <w:t>, she cannot recover the costs of the appeal.</w:t>
      </w:r>
      <w:r w:rsidR="002E7BFA" w:rsidRPr="00DC4FD6">
        <w:rPr>
          <w:rFonts w:ascii="Times New Roman" w:hAnsi="Times New Roman" w:cs="Times New Roman"/>
          <w:sz w:val="24"/>
          <w:szCs w:val="24"/>
        </w:rPr>
        <w:t xml:space="preserve"> </w:t>
      </w:r>
    </w:p>
    <w:p w14:paraId="4AB41B11" w14:textId="77777777" w:rsidR="00C3164C" w:rsidRPr="00DC4FD6" w:rsidRDefault="00C3164C" w:rsidP="00307D0F">
      <w:pPr>
        <w:spacing w:line="360" w:lineRule="auto"/>
        <w:jc w:val="both"/>
        <w:rPr>
          <w:rFonts w:ascii="Times New Roman" w:hAnsi="Times New Roman" w:cs="Times New Roman"/>
          <w:sz w:val="24"/>
          <w:szCs w:val="24"/>
        </w:rPr>
      </w:pPr>
      <w:r w:rsidRPr="00DC4FD6">
        <w:rPr>
          <w:rFonts w:ascii="Times New Roman" w:hAnsi="Times New Roman" w:cs="Times New Roman"/>
          <w:sz w:val="24"/>
          <w:szCs w:val="24"/>
        </w:rPr>
        <w:t>In the result, IT IS ORDERED THAT:</w:t>
      </w:r>
    </w:p>
    <w:p w14:paraId="72BA6468" w14:textId="77777777" w:rsidR="00C3164C" w:rsidRPr="00DC4FD6" w:rsidRDefault="00C3164C" w:rsidP="00C3164C">
      <w:pPr>
        <w:pStyle w:val="ListParagraph"/>
        <w:numPr>
          <w:ilvl w:val="0"/>
          <w:numId w:val="1"/>
        </w:numPr>
        <w:spacing w:line="360" w:lineRule="auto"/>
        <w:jc w:val="both"/>
        <w:rPr>
          <w:rFonts w:ascii="Times New Roman" w:hAnsi="Times New Roman" w:cs="Times New Roman"/>
          <w:sz w:val="24"/>
          <w:szCs w:val="24"/>
        </w:rPr>
      </w:pPr>
      <w:r w:rsidRPr="00DC4FD6">
        <w:rPr>
          <w:rFonts w:ascii="Times New Roman" w:hAnsi="Times New Roman" w:cs="Times New Roman"/>
          <w:sz w:val="24"/>
          <w:szCs w:val="24"/>
        </w:rPr>
        <w:t>The appeal is partly allowed.</w:t>
      </w:r>
    </w:p>
    <w:p w14:paraId="0DBAA5AB" w14:textId="77777777" w:rsidR="00C3164C" w:rsidRPr="00DC4FD6" w:rsidRDefault="00C3164C" w:rsidP="00C3164C">
      <w:pPr>
        <w:pStyle w:val="ListParagraph"/>
        <w:numPr>
          <w:ilvl w:val="0"/>
          <w:numId w:val="1"/>
        </w:numPr>
        <w:spacing w:line="360" w:lineRule="auto"/>
        <w:jc w:val="both"/>
        <w:rPr>
          <w:rFonts w:ascii="Times New Roman" w:hAnsi="Times New Roman" w:cs="Times New Roman"/>
          <w:sz w:val="24"/>
          <w:szCs w:val="24"/>
        </w:rPr>
      </w:pPr>
      <w:r w:rsidRPr="00DC4FD6">
        <w:rPr>
          <w:rFonts w:ascii="Times New Roman" w:hAnsi="Times New Roman" w:cs="Times New Roman"/>
          <w:sz w:val="24"/>
          <w:szCs w:val="24"/>
        </w:rPr>
        <w:t xml:space="preserve">The portion of the order of the court </w:t>
      </w:r>
      <w:r w:rsidRPr="00DC4FD6">
        <w:rPr>
          <w:rFonts w:ascii="Times New Roman" w:hAnsi="Times New Roman" w:cs="Times New Roman"/>
          <w:i/>
          <w:sz w:val="24"/>
          <w:szCs w:val="24"/>
        </w:rPr>
        <w:t xml:space="preserve">a quo </w:t>
      </w:r>
      <w:r w:rsidRPr="00DC4FD6">
        <w:rPr>
          <w:rFonts w:ascii="Times New Roman" w:hAnsi="Times New Roman" w:cs="Times New Roman"/>
          <w:sz w:val="24"/>
          <w:szCs w:val="24"/>
        </w:rPr>
        <w:t>granting the respondent access to the minor child for the entirety of every school holiday is set aside and the following is substituted:</w:t>
      </w:r>
    </w:p>
    <w:p w14:paraId="1518FA7C" w14:textId="683660CD" w:rsidR="00C3164C" w:rsidRDefault="00C3164C" w:rsidP="00C3164C">
      <w:pPr>
        <w:pStyle w:val="ListParagraph"/>
        <w:spacing w:line="360" w:lineRule="auto"/>
        <w:jc w:val="both"/>
        <w:rPr>
          <w:rFonts w:ascii="Times New Roman" w:hAnsi="Times New Roman" w:cs="Times New Roman"/>
          <w:sz w:val="24"/>
          <w:szCs w:val="24"/>
        </w:rPr>
      </w:pPr>
      <w:r w:rsidRPr="00DC4FD6">
        <w:rPr>
          <w:rFonts w:ascii="Times New Roman" w:hAnsi="Times New Roman" w:cs="Times New Roman"/>
          <w:sz w:val="24"/>
          <w:szCs w:val="24"/>
        </w:rPr>
        <w:t xml:space="preserve">“The applicant be and is granted access to the minor child </w:t>
      </w:r>
      <w:r w:rsidR="00132854" w:rsidRPr="00DC4FD6">
        <w:rPr>
          <w:rFonts w:ascii="Times New Roman" w:hAnsi="Times New Roman" w:cs="Times New Roman"/>
          <w:sz w:val="24"/>
          <w:szCs w:val="24"/>
        </w:rPr>
        <w:t xml:space="preserve">TINAYEISHE SITHOLE (born on 15 February 2020) </w:t>
      </w:r>
      <w:r w:rsidRPr="00DC4FD6">
        <w:rPr>
          <w:rFonts w:ascii="Times New Roman" w:hAnsi="Times New Roman" w:cs="Times New Roman"/>
          <w:sz w:val="24"/>
          <w:szCs w:val="24"/>
        </w:rPr>
        <w:t>during the first half of every school holiday.”</w:t>
      </w:r>
    </w:p>
    <w:p w14:paraId="4B1C53F5" w14:textId="77777777" w:rsidR="00DC4FD6" w:rsidRDefault="00DC4FD6" w:rsidP="00C3164C">
      <w:pPr>
        <w:pStyle w:val="ListParagraph"/>
        <w:spacing w:line="360" w:lineRule="auto"/>
        <w:jc w:val="both"/>
        <w:rPr>
          <w:rFonts w:ascii="Times New Roman" w:hAnsi="Times New Roman" w:cs="Times New Roman"/>
          <w:sz w:val="24"/>
          <w:szCs w:val="24"/>
        </w:rPr>
      </w:pPr>
    </w:p>
    <w:p w14:paraId="285A5C66" w14:textId="77777777" w:rsidR="00DC4FD6" w:rsidRPr="00DC4FD6" w:rsidRDefault="00DC4FD6" w:rsidP="00C3164C">
      <w:pPr>
        <w:pStyle w:val="ListParagraph"/>
        <w:spacing w:line="360" w:lineRule="auto"/>
        <w:jc w:val="both"/>
        <w:rPr>
          <w:rFonts w:ascii="Times New Roman" w:hAnsi="Times New Roman" w:cs="Times New Roman"/>
          <w:sz w:val="24"/>
          <w:szCs w:val="24"/>
        </w:rPr>
      </w:pPr>
    </w:p>
    <w:p w14:paraId="0C47664F" w14:textId="29EC725A" w:rsidR="00C3164C" w:rsidRPr="00DC4FD6" w:rsidRDefault="00C3164C" w:rsidP="00C3164C">
      <w:pPr>
        <w:pStyle w:val="ListParagraph"/>
        <w:numPr>
          <w:ilvl w:val="0"/>
          <w:numId w:val="1"/>
        </w:numPr>
        <w:spacing w:line="360" w:lineRule="auto"/>
        <w:jc w:val="both"/>
        <w:rPr>
          <w:rFonts w:ascii="Times New Roman" w:hAnsi="Times New Roman" w:cs="Times New Roman"/>
          <w:sz w:val="24"/>
          <w:szCs w:val="24"/>
        </w:rPr>
      </w:pPr>
      <w:r w:rsidRPr="00DC4FD6">
        <w:rPr>
          <w:rFonts w:ascii="Times New Roman" w:hAnsi="Times New Roman" w:cs="Times New Roman"/>
          <w:sz w:val="24"/>
          <w:szCs w:val="24"/>
        </w:rPr>
        <w:t>Each party shall bear his or her own costs.</w:t>
      </w:r>
    </w:p>
    <w:p w14:paraId="6EEBAA6E" w14:textId="77777777" w:rsidR="00132854" w:rsidRPr="00132854" w:rsidRDefault="00132854" w:rsidP="00132854">
      <w:pPr>
        <w:pStyle w:val="ListParagraph"/>
        <w:spacing w:line="360" w:lineRule="auto"/>
        <w:jc w:val="both"/>
        <w:rPr>
          <w:sz w:val="24"/>
          <w:szCs w:val="24"/>
        </w:rPr>
      </w:pPr>
    </w:p>
    <w:p w14:paraId="2AD8D3E0" w14:textId="5F38CD4E" w:rsidR="00C3164C" w:rsidRDefault="00C3164C" w:rsidP="00C3164C">
      <w:pPr>
        <w:spacing w:line="360" w:lineRule="auto"/>
        <w:jc w:val="both"/>
        <w:rPr>
          <w:rFonts w:ascii="Times New Roman" w:hAnsi="Times New Roman" w:cs="Times New Roman"/>
          <w:b/>
          <w:bCs/>
          <w:sz w:val="24"/>
          <w:szCs w:val="24"/>
        </w:rPr>
      </w:pPr>
      <w:r w:rsidRPr="00DC4FD6">
        <w:rPr>
          <w:rFonts w:ascii="Times New Roman" w:hAnsi="Times New Roman" w:cs="Times New Roman"/>
          <w:b/>
          <w:bCs/>
          <w:sz w:val="24"/>
          <w:szCs w:val="24"/>
        </w:rPr>
        <w:t>ZHOU J</w:t>
      </w:r>
      <w:r w:rsidR="00DC4FD6">
        <w:rPr>
          <w:rFonts w:ascii="Times New Roman" w:hAnsi="Times New Roman" w:cs="Times New Roman"/>
          <w:b/>
          <w:bCs/>
          <w:sz w:val="24"/>
          <w:szCs w:val="24"/>
        </w:rPr>
        <w:t>:</w:t>
      </w:r>
      <w:r w:rsidRPr="00DC4FD6">
        <w:rPr>
          <w:rFonts w:ascii="Times New Roman" w:hAnsi="Times New Roman" w:cs="Times New Roman"/>
          <w:b/>
          <w:bCs/>
          <w:sz w:val="24"/>
          <w:szCs w:val="24"/>
        </w:rPr>
        <w:tab/>
        <w:t>. . . . . . . . . . . . . . . . . .</w:t>
      </w:r>
    </w:p>
    <w:p w14:paraId="46321A2A" w14:textId="77777777" w:rsidR="00DC4FD6" w:rsidRPr="00DC4FD6" w:rsidRDefault="00DC4FD6" w:rsidP="00C3164C">
      <w:pPr>
        <w:spacing w:line="360" w:lineRule="auto"/>
        <w:jc w:val="both"/>
        <w:rPr>
          <w:rFonts w:ascii="Times New Roman" w:hAnsi="Times New Roman" w:cs="Times New Roman"/>
          <w:b/>
          <w:bCs/>
          <w:sz w:val="24"/>
          <w:szCs w:val="24"/>
        </w:rPr>
      </w:pPr>
    </w:p>
    <w:p w14:paraId="5CEAEC8F" w14:textId="5B450C4B" w:rsidR="00A27A5B" w:rsidRPr="00DC4FD6" w:rsidRDefault="00C3164C" w:rsidP="00C3164C">
      <w:pPr>
        <w:spacing w:line="360" w:lineRule="auto"/>
        <w:jc w:val="both"/>
        <w:rPr>
          <w:rFonts w:ascii="Times New Roman" w:hAnsi="Times New Roman" w:cs="Times New Roman"/>
          <w:b/>
          <w:bCs/>
          <w:sz w:val="24"/>
          <w:szCs w:val="24"/>
        </w:rPr>
      </w:pPr>
      <w:r w:rsidRPr="00DC4FD6">
        <w:rPr>
          <w:rFonts w:ascii="Times New Roman" w:hAnsi="Times New Roman" w:cs="Times New Roman"/>
          <w:b/>
          <w:bCs/>
          <w:sz w:val="24"/>
          <w:szCs w:val="24"/>
        </w:rPr>
        <w:t>CHIKOWERO J agrees</w:t>
      </w:r>
      <w:r w:rsidRPr="00DC4FD6">
        <w:rPr>
          <w:rFonts w:ascii="Times New Roman" w:hAnsi="Times New Roman" w:cs="Times New Roman"/>
          <w:b/>
          <w:bCs/>
          <w:sz w:val="24"/>
          <w:szCs w:val="24"/>
        </w:rPr>
        <w:tab/>
        <w:t>. . . . . . . . . . . . . . . . . . . . . . . . . . . . . .</w:t>
      </w:r>
      <w:r w:rsidR="00CF7097" w:rsidRPr="00DC4FD6">
        <w:rPr>
          <w:rFonts w:ascii="Times New Roman" w:hAnsi="Times New Roman" w:cs="Times New Roman"/>
          <w:b/>
          <w:bCs/>
          <w:sz w:val="24"/>
          <w:szCs w:val="24"/>
        </w:rPr>
        <w:t xml:space="preserve"> </w:t>
      </w:r>
      <w:r w:rsidR="00A27A5B" w:rsidRPr="00DC4FD6">
        <w:rPr>
          <w:rFonts w:ascii="Times New Roman" w:hAnsi="Times New Roman" w:cs="Times New Roman"/>
          <w:b/>
          <w:bCs/>
          <w:sz w:val="24"/>
          <w:szCs w:val="24"/>
        </w:rPr>
        <w:t xml:space="preserve"> </w:t>
      </w:r>
    </w:p>
    <w:p w14:paraId="01D49D1B" w14:textId="77777777" w:rsidR="005209BC" w:rsidRPr="00DC4FD6" w:rsidRDefault="005209BC" w:rsidP="00C3164C">
      <w:pPr>
        <w:spacing w:line="360" w:lineRule="auto"/>
        <w:jc w:val="both"/>
        <w:rPr>
          <w:rFonts w:ascii="Times New Roman" w:hAnsi="Times New Roman" w:cs="Times New Roman"/>
          <w:sz w:val="24"/>
          <w:szCs w:val="24"/>
        </w:rPr>
      </w:pPr>
    </w:p>
    <w:p w14:paraId="549BC67C" w14:textId="0382F832" w:rsidR="005209BC" w:rsidRPr="00DC4FD6" w:rsidRDefault="005209BC" w:rsidP="00DC4FD6">
      <w:pPr>
        <w:spacing w:after="0" w:line="240" w:lineRule="auto"/>
        <w:jc w:val="both"/>
        <w:rPr>
          <w:rFonts w:ascii="Times New Roman" w:hAnsi="Times New Roman" w:cs="Times New Roman"/>
          <w:sz w:val="24"/>
          <w:szCs w:val="24"/>
        </w:rPr>
      </w:pPr>
      <w:r w:rsidRPr="00DC4FD6">
        <w:rPr>
          <w:rFonts w:ascii="Times New Roman" w:hAnsi="Times New Roman" w:cs="Times New Roman"/>
          <w:i/>
          <w:sz w:val="24"/>
          <w:szCs w:val="24"/>
        </w:rPr>
        <w:t xml:space="preserve">Nyahuma’s Law, </w:t>
      </w:r>
      <w:r w:rsidRPr="00DC4FD6">
        <w:rPr>
          <w:rFonts w:ascii="Times New Roman" w:hAnsi="Times New Roman" w:cs="Times New Roman"/>
          <w:sz w:val="24"/>
          <w:szCs w:val="24"/>
        </w:rPr>
        <w:t>appellant’s legal practitioners</w:t>
      </w:r>
    </w:p>
    <w:p w14:paraId="52784AFD" w14:textId="4674EFEC" w:rsidR="005209BC" w:rsidRPr="00DC4FD6" w:rsidRDefault="005209BC" w:rsidP="00DC4FD6">
      <w:pPr>
        <w:spacing w:after="0" w:line="240" w:lineRule="auto"/>
        <w:jc w:val="both"/>
        <w:rPr>
          <w:rFonts w:ascii="Times New Roman" w:hAnsi="Times New Roman" w:cs="Times New Roman"/>
          <w:sz w:val="24"/>
          <w:szCs w:val="24"/>
        </w:rPr>
      </w:pPr>
      <w:r w:rsidRPr="00DC4FD6">
        <w:rPr>
          <w:rFonts w:ascii="Times New Roman" w:hAnsi="Times New Roman" w:cs="Times New Roman"/>
          <w:i/>
          <w:sz w:val="24"/>
          <w:szCs w:val="24"/>
        </w:rPr>
        <w:t xml:space="preserve">Chitsa &amp; Masvaya Law Chambers, </w:t>
      </w:r>
      <w:r w:rsidRPr="00DC4FD6">
        <w:rPr>
          <w:rFonts w:ascii="Times New Roman" w:hAnsi="Times New Roman" w:cs="Times New Roman"/>
          <w:sz w:val="24"/>
          <w:szCs w:val="24"/>
        </w:rPr>
        <w:t>respondent’s legal practitioners</w:t>
      </w:r>
    </w:p>
    <w:sectPr w:rsidR="005209BC" w:rsidRPr="00DC4FD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A7F19E4" w14:textId="77777777" w:rsidR="00977392" w:rsidRDefault="00977392" w:rsidP="00AA3235">
      <w:pPr>
        <w:spacing w:after="0" w:line="240" w:lineRule="auto"/>
      </w:pPr>
      <w:r>
        <w:separator/>
      </w:r>
    </w:p>
  </w:endnote>
  <w:endnote w:type="continuationSeparator" w:id="0">
    <w:p w14:paraId="4BB738F9" w14:textId="77777777" w:rsidR="00977392" w:rsidRDefault="00977392" w:rsidP="00AA32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57D2218" w14:textId="77777777" w:rsidR="00977392" w:rsidRDefault="00977392" w:rsidP="00AA3235">
      <w:pPr>
        <w:spacing w:after="0" w:line="240" w:lineRule="auto"/>
      </w:pPr>
      <w:r>
        <w:separator/>
      </w:r>
    </w:p>
  </w:footnote>
  <w:footnote w:type="continuationSeparator" w:id="0">
    <w:p w14:paraId="620508D0" w14:textId="77777777" w:rsidR="00977392" w:rsidRDefault="00977392" w:rsidP="00AA323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36271280"/>
      <w:docPartObj>
        <w:docPartGallery w:val="Page Numbers (Top of Page)"/>
        <w:docPartUnique/>
      </w:docPartObj>
    </w:sdtPr>
    <w:sdtEndPr>
      <w:rPr>
        <w:noProof/>
      </w:rPr>
    </w:sdtEndPr>
    <w:sdtContent>
      <w:p w14:paraId="71A3F12D" w14:textId="77777777" w:rsidR="00DC4FD6" w:rsidRDefault="00F816B8">
        <w:pPr>
          <w:pStyle w:val="Header"/>
          <w:jc w:val="right"/>
          <w:rPr>
            <w:noProof/>
          </w:rPr>
        </w:pPr>
        <w:r>
          <w:fldChar w:fldCharType="begin"/>
        </w:r>
        <w:r>
          <w:instrText xml:space="preserve"> PAGE   \* MERGEFORMAT </w:instrText>
        </w:r>
        <w:r>
          <w:fldChar w:fldCharType="separate"/>
        </w:r>
        <w:r w:rsidR="00085144">
          <w:rPr>
            <w:noProof/>
          </w:rPr>
          <w:t>1</w:t>
        </w:r>
        <w:r>
          <w:rPr>
            <w:noProof/>
          </w:rPr>
          <w:fldChar w:fldCharType="end"/>
        </w:r>
      </w:p>
      <w:p w14:paraId="20B5F241" w14:textId="79751550" w:rsidR="00DC4FD6" w:rsidRDefault="00DC4FD6">
        <w:pPr>
          <w:pStyle w:val="Header"/>
          <w:jc w:val="right"/>
          <w:rPr>
            <w:noProof/>
          </w:rPr>
        </w:pPr>
        <w:r>
          <w:rPr>
            <w:noProof/>
          </w:rPr>
          <w:t>HH</w:t>
        </w:r>
        <w:r w:rsidR="00FC1AA4">
          <w:rPr>
            <w:noProof/>
          </w:rPr>
          <w:t xml:space="preserve"> 08-26</w:t>
        </w:r>
      </w:p>
      <w:p w14:paraId="31414441" w14:textId="6C71BA8A" w:rsidR="00F816B8" w:rsidRDefault="00DC4FD6">
        <w:pPr>
          <w:pStyle w:val="Header"/>
          <w:jc w:val="right"/>
        </w:pPr>
        <w:r>
          <w:rPr>
            <w:noProof/>
          </w:rPr>
          <w:t>HCHF 3403/25</w:t>
        </w:r>
      </w:p>
    </w:sdtContent>
  </w:sdt>
  <w:p w14:paraId="0E87C541" w14:textId="77777777" w:rsidR="00F816B8" w:rsidRDefault="00F816B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4865DF"/>
    <w:multiLevelType w:val="hybridMultilevel"/>
    <w:tmpl w:val="915C1294"/>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7D0F"/>
    <w:rsid w:val="00051569"/>
    <w:rsid w:val="000522E5"/>
    <w:rsid w:val="0005423D"/>
    <w:rsid w:val="00085144"/>
    <w:rsid w:val="001321FE"/>
    <w:rsid w:val="00132854"/>
    <w:rsid w:val="001E5F88"/>
    <w:rsid w:val="00210496"/>
    <w:rsid w:val="002A5215"/>
    <w:rsid w:val="002D48C2"/>
    <w:rsid w:val="002E7BFA"/>
    <w:rsid w:val="00307D0F"/>
    <w:rsid w:val="003668BE"/>
    <w:rsid w:val="00412792"/>
    <w:rsid w:val="0043572E"/>
    <w:rsid w:val="00502798"/>
    <w:rsid w:val="005040EF"/>
    <w:rsid w:val="005050B8"/>
    <w:rsid w:val="005209BC"/>
    <w:rsid w:val="005F3FBA"/>
    <w:rsid w:val="006E7DEC"/>
    <w:rsid w:val="00700510"/>
    <w:rsid w:val="0073752C"/>
    <w:rsid w:val="008F2686"/>
    <w:rsid w:val="009203F9"/>
    <w:rsid w:val="009428B1"/>
    <w:rsid w:val="00972B1C"/>
    <w:rsid w:val="00977392"/>
    <w:rsid w:val="00995901"/>
    <w:rsid w:val="00A10862"/>
    <w:rsid w:val="00A27A5B"/>
    <w:rsid w:val="00A70DBE"/>
    <w:rsid w:val="00AA3235"/>
    <w:rsid w:val="00AD572A"/>
    <w:rsid w:val="00B75C93"/>
    <w:rsid w:val="00BE541F"/>
    <w:rsid w:val="00C3164C"/>
    <w:rsid w:val="00C459AF"/>
    <w:rsid w:val="00C64E1D"/>
    <w:rsid w:val="00C927F3"/>
    <w:rsid w:val="00CF5C0E"/>
    <w:rsid w:val="00CF7097"/>
    <w:rsid w:val="00D55F73"/>
    <w:rsid w:val="00DC4FD6"/>
    <w:rsid w:val="00EB1E35"/>
    <w:rsid w:val="00EE43D8"/>
    <w:rsid w:val="00F53BF4"/>
    <w:rsid w:val="00F816B8"/>
    <w:rsid w:val="00FC1AA4"/>
    <w:rsid w:val="00FE4A7D"/>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3F7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32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A3235"/>
  </w:style>
  <w:style w:type="paragraph" w:styleId="Footer">
    <w:name w:val="footer"/>
    <w:basedOn w:val="Normal"/>
    <w:link w:val="FooterChar"/>
    <w:uiPriority w:val="99"/>
    <w:unhideWhenUsed/>
    <w:rsid w:val="00AA32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A3235"/>
  </w:style>
  <w:style w:type="paragraph" w:styleId="ListParagraph">
    <w:name w:val="List Paragraph"/>
    <w:basedOn w:val="Normal"/>
    <w:uiPriority w:val="34"/>
    <w:qFormat/>
    <w:rsid w:val="00C3164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32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A3235"/>
  </w:style>
  <w:style w:type="paragraph" w:styleId="Footer">
    <w:name w:val="footer"/>
    <w:basedOn w:val="Normal"/>
    <w:link w:val="FooterChar"/>
    <w:uiPriority w:val="99"/>
    <w:unhideWhenUsed/>
    <w:rsid w:val="00AA32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A3235"/>
  </w:style>
  <w:style w:type="paragraph" w:styleId="ListParagraph">
    <w:name w:val="List Paragraph"/>
    <w:basedOn w:val="Normal"/>
    <w:uiPriority w:val="34"/>
    <w:qFormat/>
    <w:rsid w:val="00C3164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1160</Words>
  <Characters>6612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JSC</cp:lastModifiedBy>
  <cp:revision>2</cp:revision>
  <dcterms:created xsi:type="dcterms:W3CDTF">2026-01-09T12:39:00Z</dcterms:created>
  <dcterms:modified xsi:type="dcterms:W3CDTF">2026-01-09T12:39:00Z</dcterms:modified>
</cp:coreProperties>
</file>