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EC0A8" w14:textId="7EDB113F" w:rsidR="0018247F" w:rsidRPr="008C0AD6" w:rsidRDefault="0018247F" w:rsidP="0018247F">
      <w:pPr>
        <w:rPr>
          <w:rFonts w:ascii="Times New Roman" w:hAnsi="Times New Roman" w:cs="Times New Roman"/>
        </w:rPr>
      </w:pPr>
      <w:bookmarkStart w:id="0" w:name="_GoBack"/>
      <w:bookmarkEnd w:id="0"/>
    </w:p>
    <w:p w14:paraId="07939ECD"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COMBINED HARARE RESIDENTS ASSOCIATION</w:t>
      </w:r>
    </w:p>
    <w:p w14:paraId="453FDF49"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and</w:t>
      </w:r>
    </w:p>
    <w:p w14:paraId="3E65D1EE"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ALLAN NORMAN MARKHAM</w:t>
      </w:r>
    </w:p>
    <w:p w14:paraId="63336C34"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 xml:space="preserve">versus </w:t>
      </w:r>
    </w:p>
    <w:p w14:paraId="46CAF170"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ZIMBABWE ELECTORAL COMMISSION</w:t>
      </w:r>
    </w:p>
    <w:p w14:paraId="729D3AC3" w14:textId="77777777" w:rsidR="0018247F" w:rsidRPr="00B96D81"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and</w:t>
      </w:r>
    </w:p>
    <w:p w14:paraId="14E44C52" w14:textId="77777777" w:rsidR="0018247F" w:rsidRDefault="0018247F" w:rsidP="005D6B35">
      <w:pPr>
        <w:spacing w:after="0" w:line="240" w:lineRule="auto"/>
        <w:jc w:val="both"/>
        <w:rPr>
          <w:rFonts w:ascii="Times New Roman" w:hAnsi="Times New Roman" w:cs="Times New Roman"/>
          <w:bCs/>
          <w:sz w:val="24"/>
          <w:szCs w:val="24"/>
          <w:lang w:val="en-US"/>
        </w:rPr>
      </w:pPr>
      <w:r w:rsidRPr="00B96D81">
        <w:rPr>
          <w:rFonts w:ascii="Times New Roman" w:hAnsi="Times New Roman" w:cs="Times New Roman"/>
          <w:bCs/>
          <w:sz w:val="24"/>
          <w:szCs w:val="24"/>
          <w:lang w:val="en-US"/>
        </w:rPr>
        <w:t>THE PRESIDENT OF ZIMBABWE</w:t>
      </w:r>
    </w:p>
    <w:p w14:paraId="3733EDFD" w14:textId="77777777" w:rsidR="008D2A2A" w:rsidRPr="00B96D81" w:rsidRDefault="008D2A2A" w:rsidP="005F7397">
      <w:pPr>
        <w:spacing w:after="0" w:line="240" w:lineRule="auto"/>
        <w:ind w:firstLine="720"/>
        <w:jc w:val="both"/>
        <w:rPr>
          <w:rFonts w:ascii="Times New Roman" w:hAnsi="Times New Roman" w:cs="Times New Roman"/>
          <w:b/>
          <w:bCs/>
          <w:sz w:val="24"/>
          <w:szCs w:val="24"/>
          <w:lang w:val="en-US"/>
        </w:rPr>
      </w:pPr>
    </w:p>
    <w:p w14:paraId="15509479" w14:textId="77777777" w:rsidR="0018247F" w:rsidRPr="00B96D81" w:rsidRDefault="0018247F" w:rsidP="005F7397">
      <w:pPr>
        <w:spacing w:after="0" w:line="360" w:lineRule="auto"/>
        <w:ind w:firstLine="720"/>
        <w:jc w:val="both"/>
        <w:rPr>
          <w:rFonts w:ascii="Times New Roman" w:hAnsi="Times New Roman" w:cs="Times New Roman"/>
          <w:b/>
          <w:bCs/>
          <w:lang w:val="en-US"/>
        </w:rPr>
      </w:pPr>
    </w:p>
    <w:p w14:paraId="4F5C9FA7" w14:textId="77777777" w:rsidR="0018247F" w:rsidRPr="00F47EF1" w:rsidRDefault="0018247F" w:rsidP="005D6B35">
      <w:pPr>
        <w:spacing w:after="0" w:line="240" w:lineRule="auto"/>
        <w:jc w:val="both"/>
        <w:rPr>
          <w:rFonts w:ascii="Times New Roman" w:hAnsi="Times New Roman" w:cs="Times New Roman"/>
          <w:bCs/>
          <w:sz w:val="24"/>
          <w:szCs w:val="24"/>
          <w:lang w:val="en-US"/>
        </w:rPr>
      </w:pPr>
      <w:r w:rsidRPr="00F47EF1">
        <w:rPr>
          <w:rFonts w:ascii="Times New Roman" w:hAnsi="Times New Roman" w:cs="Times New Roman"/>
          <w:bCs/>
          <w:sz w:val="24"/>
          <w:szCs w:val="24"/>
          <w:lang w:val="en-US"/>
        </w:rPr>
        <w:t>HIGH COURT OF ZIMBABWE</w:t>
      </w:r>
    </w:p>
    <w:p w14:paraId="2F659E43" w14:textId="77777777" w:rsidR="0018247F" w:rsidRPr="00F47EF1" w:rsidRDefault="0018247F" w:rsidP="005D6B35">
      <w:pPr>
        <w:spacing w:after="0" w:line="240" w:lineRule="auto"/>
        <w:jc w:val="both"/>
        <w:rPr>
          <w:rFonts w:ascii="Times New Roman" w:hAnsi="Times New Roman" w:cs="Times New Roman"/>
          <w:b/>
          <w:bCs/>
          <w:sz w:val="24"/>
          <w:szCs w:val="24"/>
          <w:lang w:val="en-US"/>
        </w:rPr>
      </w:pPr>
      <w:r w:rsidRPr="00F47EF1">
        <w:rPr>
          <w:rFonts w:ascii="Times New Roman" w:hAnsi="Times New Roman" w:cs="Times New Roman"/>
          <w:b/>
          <w:bCs/>
          <w:sz w:val="24"/>
          <w:szCs w:val="24"/>
          <w:lang w:val="en-US"/>
        </w:rPr>
        <w:t>MUNANGATI- MANONGWA J</w:t>
      </w:r>
    </w:p>
    <w:p w14:paraId="68754CF3" w14:textId="62243BC0" w:rsidR="0018247F" w:rsidRPr="00F47EF1" w:rsidRDefault="008C0AD6" w:rsidP="005D6B35">
      <w:pPr>
        <w:spacing w:after="0" w:line="240" w:lineRule="auto"/>
        <w:jc w:val="both"/>
        <w:rPr>
          <w:rFonts w:ascii="Times New Roman" w:hAnsi="Times New Roman" w:cs="Times New Roman"/>
          <w:bCs/>
          <w:sz w:val="24"/>
          <w:szCs w:val="24"/>
          <w:lang w:val="en-US"/>
        </w:rPr>
      </w:pPr>
      <w:r w:rsidRPr="00F47EF1">
        <w:rPr>
          <w:rFonts w:ascii="Times New Roman" w:hAnsi="Times New Roman" w:cs="Times New Roman"/>
          <w:bCs/>
          <w:sz w:val="24"/>
          <w:szCs w:val="24"/>
          <w:lang w:val="en-US"/>
        </w:rPr>
        <w:t>HARARE, November 2025, 20</w:t>
      </w:r>
      <w:r w:rsidR="0018247F" w:rsidRPr="00F47EF1">
        <w:rPr>
          <w:rFonts w:ascii="Times New Roman" w:hAnsi="Times New Roman" w:cs="Times New Roman"/>
          <w:bCs/>
          <w:sz w:val="24"/>
          <w:szCs w:val="24"/>
          <w:lang w:val="en-US"/>
        </w:rPr>
        <w:t xml:space="preserve"> January 2025</w:t>
      </w:r>
      <w:r w:rsidRPr="00F47EF1">
        <w:rPr>
          <w:rFonts w:ascii="Times New Roman" w:hAnsi="Times New Roman" w:cs="Times New Roman"/>
          <w:bCs/>
          <w:sz w:val="24"/>
          <w:szCs w:val="24"/>
          <w:lang w:val="en-US"/>
        </w:rPr>
        <w:t xml:space="preserve"> and 3 February 202</w:t>
      </w:r>
      <w:r w:rsidR="00E373BB">
        <w:rPr>
          <w:rFonts w:ascii="Times New Roman" w:hAnsi="Times New Roman" w:cs="Times New Roman"/>
          <w:bCs/>
          <w:sz w:val="24"/>
          <w:szCs w:val="24"/>
          <w:lang w:val="en-US"/>
        </w:rPr>
        <w:t>6</w:t>
      </w:r>
      <w:r w:rsidRPr="00F47EF1">
        <w:rPr>
          <w:rFonts w:ascii="Times New Roman" w:hAnsi="Times New Roman" w:cs="Times New Roman"/>
          <w:bCs/>
          <w:sz w:val="24"/>
          <w:szCs w:val="24"/>
          <w:lang w:val="en-US"/>
        </w:rPr>
        <w:t>.</w:t>
      </w:r>
    </w:p>
    <w:p w14:paraId="7715F398" w14:textId="77777777" w:rsidR="0018247F" w:rsidRPr="008C0AD6" w:rsidRDefault="0018247F" w:rsidP="008C0AD6">
      <w:pPr>
        <w:spacing w:line="360" w:lineRule="auto"/>
        <w:ind w:firstLine="720"/>
        <w:jc w:val="both"/>
        <w:rPr>
          <w:rFonts w:ascii="Times New Roman" w:hAnsi="Times New Roman" w:cs="Times New Roman"/>
          <w:b/>
          <w:bCs/>
          <w:sz w:val="24"/>
          <w:szCs w:val="24"/>
          <w:lang w:val="en-US"/>
        </w:rPr>
      </w:pPr>
    </w:p>
    <w:p w14:paraId="202F0EF3" w14:textId="77777777" w:rsidR="0018247F" w:rsidRPr="008C0AD6" w:rsidRDefault="0018247F" w:rsidP="005D6B35">
      <w:pPr>
        <w:spacing w:line="360" w:lineRule="auto"/>
        <w:jc w:val="both"/>
        <w:rPr>
          <w:rFonts w:ascii="Times New Roman" w:hAnsi="Times New Roman" w:cs="Times New Roman"/>
          <w:b/>
          <w:bCs/>
          <w:sz w:val="24"/>
          <w:szCs w:val="24"/>
          <w:lang w:val="en-US"/>
        </w:rPr>
      </w:pPr>
      <w:r w:rsidRPr="008C0AD6">
        <w:rPr>
          <w:rFonts w:ascii="Times New Roman" w:hAnsi="Times New Roman" w:cs="Times New Roman"/>
          <w:b/>
          <w:bCs/>
          <w:sz w:val="24"/>
          <w:szCs w:val="24"/>
          <w:lang w:val="en-US"/>
        </w:rPr>
        <w:t>Opposed Matter</w:t>
      </w:r>
    </w:p>
    <w:p w14:paraId="485D3627" w14:textId="77777777" w:rsidR="0018247F" w:rsidRPr="008C0AD6" w:rsidRDefault="0018247F" w:rsidP="008C0AD6">
      <w:pPr>
        <w:spacing w:after="0" w:line="360" w:lineRule="auto"/>
        <w:ind w:firstLine="720"/>
        <w:jc w:val="both"/>
        <w:rPr>
          <w:rFonts w:ascii="Times New Roman" w:hAnsi="Times New Roman" w:cs="Times New Roman"/>
          <w:b/>
          <w:bCs/>
          <w:sz w:val="24"/>
          <w:szCs w:val="24"/>
          <w:lang w:val="en-US"/>
        </w:rPr>
      </w:pPr>
    </w:p>
    <w:p w14:paraId="3AF340A6" w14:textId="77777777" w:rsidR="0018247F" w:rsidRPr="008C0AD6" w:rsidRDefault="0018247F" w:rsidP="005D6B35">
      <w:pPr>
        <w:spacing w:after="0" w:line="360" w:lineRule="auto"/>
        <w:jc w:val="both"/>
        <w:rPr>
          <w:rFonts w:ascii="Times New Roman" w:hAnsi="Times New Roman" w:cs="Times New Roman"/>
          <w:bCs/>
          <w:sz w:val="24"/>
          <w:szCs w:val="24"/>
          <w:lang w:val="en-US"/>
        </w:rPr>
      </w:pPr>
      <w:r w:rsidRPr="008C0AD6">
        <w:rPr>
          <w:rFonts w:ascii="Times New Roman" w:hAnsi="Times New Roman" w:cs="Times New Roman"/>
          <w:bCs/>
          <w:i/>
          <w:iCs/>
          <w:sz w:val="24"/>
          <w:szCs w:val="24"/>
          <w:lang w:val="en-US"/>
        </w:rPr>
        <w:t>T Biti,</w:t>
      </w:r>
      <w:r w:rsidRPr="008C0AD6">
        <w:rPr>
          <w:rFonts w:ascii="Times New Roman" w:hAnsi="Times New Roman" w:cs="Times New Roman"/>
          <w:bCs/>
          <w:sz w:val="24"/>
          <w:szCs w:val="24"/>
          <w:lang w:val="en-US"/>
        </w:rPr>
        <w:t xml:space="preserve"> for the applicants</w:t>
      </w:r>
    </w:p>
    <w:p w14:paraId="2103E8EA" w14:textId="77777777" w:rsidR="0018247F" w:rsidRPr="008C0AD6" w:rsidRDefault="0018247F" w:rsidP="005D6B35">
      <w:pPr>
        <w:spacing w:after="0" w:line="360" w:lineRule="auto"/>
        <w:jc w:val="both"/>
        <w:rPr>
          <w:rFonts w:ascii="Times New Roman" w:hAnsi="Times New Roman" w:cs="Times New Roman"/>
          <w:bCs/>
          <w:sz w:val="24"/>
          <w:szCs w:val="24"/>
          <w:lang w:val="en-US"/>
        </w:rPr>
      </w:pPr>
      <w:r w:rsidRPr="008C0AD6">
        <w:rPr>
          <w:rFonts w:ascii="Times New Roman" w:hAnsi="Times New Roman" w:cs="Times New Roman"/>
          <w:bCs/>
          <w:i/>
          <w:iCs/>
          <w:sz w:val="24"/>
          <w:szCs w:val="24"/>
          <w:lang w:val="en-US"/>
        </w:rPr>
        <w:t>T.M Kanengoni</w:t>
      </w:r>
      <w:r w:rsidRPr="008C0AD6">
        <w:rPr>
          <w:rFonts w:ascii="Times New Roman" w:hAnsi="Times New Roman" w:cs="Times New Roman"/>
          <w:bCs/>
          <w:sz w:val="24"/>
          <w:szCs w:val="24"/>
          <w:lang w:val="en-US"/>
        </w:rPr>
        <w:t>, for the first respondent</w:t>
      </w:r>
    </w:p>
    <w:p w14:paraId="69616FDC" w14:textId="77777777" w:rsidR="0018247F" w:rsidRPr="008C0AD6" w:rsidRDefault="0018247F" w:rsidP="008C0AD6">
      <w:pPr>
        <w:spacing w:line="360" w:lineRule="auto"/>
        <w:ind w:firstLine="720"/>
        <w:jc w:val="both"/>
        <w:rPr>
          <w:rFonts w:ascii="Times New Roman" w:hAnsi="Times New Roman" w:cs="Times New Roman"/>
          <w:bCs/>
          <w:sz w:val="24"/>
          <w:szCs w:val="24"/>
          <w:lang w:val="en-US"/>
        </w:rPr>
      </w:pPr>
    </w:p>
    <w:p w14:paraId="135B99F8" w14:textId="46A141C3" w:rsidR="0018247F" w:rsidRPr="008C0AD6" w:rsidRDefault="0018247F" w:rsidP="008C0AD6">
      <w:pPr>
        <w:spacing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lang w:val="en-US"/>
        </w:rPr>
        <w:t xml:space="preserve"> MUNANGATI- MANONGWA J:</w:t>
      </w:r>
      <w:r w:rsidRPr="008C0AD6">
        <w:rPr>
          <w:rFonts w:ascii="Times New Roman" w:hAnsi="Times New Roman" w:cs="Times New Roman"/>
          <w:b/>
          <w:bCs/>
          <w:sz w:val="24"/>
          <w:szCs w:val="24"/>
        </w:rPr>
        <w:t xml:space="preserve"> </w:t>
      </w:r>
      <w:r w:rsidRPr="008C0AD6">
        <w:rPr>
          <w:rFonts w:ascii="Times New Roman" w:hAnsi="Times New Roman" w:cs="Times New Roman"/>
          <w:sz w:val="24"/>
          <w:szCs w:val="24"/>
        </w:rPr>
        <w:t xml:space="preserve">This is an application for condonation for the late filing of a certificate of service in Case No. </w:t>
      </w:r>
      <w:r w:rsidRPr="008C0AD6">
        <w:rPr>
          <w:rFonts w:ascii="Times New Roman" w:hAnsi="Times New Roman" w:cs="Times New Roman"/>
          <w:b/>
          <w:sz w:val="24"/>
          <w:szCs w:val="24"/>
        </w:rPr>
        <w:t>HCH 3241/24</w:t>
      </w:r>
      <w:r w:rsidRPr="008C0AD6">
        <w:rPr>
          <w:rFonts w:ascii="Times New Roman" w:hAnsi="Times New Roman" w:cs="Times New Roman"/>
          <w:sz w:val="24"/>
          <w:szCs w:val="24"/>
        </w:rPr>
        <w:t xml:space="preserve"> and for the reinstatement of the matter, which was struck off the roll after being deemed abandoned in terms of Rule 58(14) and (15) of the High Court Rules, 2021.</w:t>
      </w:r>
    </w:p>
    <w:p w14:paraId="7351EC1B" w14:textId="00ACF419" w:rsidR="0018247F" w:rsidRPr="008C0AD6" w:rsidRDefault="0018247F" w:rsidP="008C0AD6">
      <w:pPr>
        <w:spacing w:after="0"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FACTUAL BACKGROUND</w:t>
      </w:r>
    </w:p>
    <w:p w14:paraId="28DBCA69"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applicants instituted a constitutional application against the respondents in terms of s 2(1) of the Constitution of Zimbabwe. They sought a declaration that the Delimitation Report prepared by the first respondent and gazetted by the President of the Republic of Zimbabwe on 20 February 2023, as Proclamation No. 1 of 2023, was invalid and ultra vires the Constitution.</w:t>
      </w:r>
    </w:p>
    <w:p w14:paraId="12F0E8B4"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application was issued on 24 July 2024. The applicants’ legal practitioners prepared a certificate of service on 29 July 2024. However, the certificate was only uploaded onto the Integrated Electronic Case Management System (IECMS) on 5 August 2024, three days outside the period prescribed by Rule 58(14).</w:t>
      </w:r>
    </w:p>
    <w:p w14:paraId="3F1BEA9A"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lastRenderedPageBreak/>
        <w:t>The first respondent opposed the application, raising a preliminary objection that the matter was not properly before the court due to non-compliance with Rule 58(14) and (15) of the High Court Rules, 2021.</w:t>
      </w:r>
    </w:p>
    <w:p w14:paraId="0A830A29" w14:textId="202C9B37"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On 2 May 2025, Dembure J upheld the objection and ruled that the application was deemed abandoned, resulting in it being struck off the roll.</w:t>
      </w:r>
    </w:p>
    <w:p w14:paraId="60298828" w14:textId="77777777" w:rsidR="0018247F" w:rsidRPr="008C0AD6" w:rsidRDefault="0018247F" w:rsidP="008C0AD6">
      <w:pPr>
        <w:spacing w:after="0"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APPLICANTS’ CASE</w:t>
      </w:r>
    </w:p>
    <w:p w14:paraId="34594863"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first applicant submits that Rule 58(15) provides that where proof of service is not filed within the prescribed time, the matter is deemed abandoned. However, reliance is placed on Practice Direction No. 1 of 2025, which allows reinstatement of matters deemed abandoned upon a showing of good cause.</w:t>
      </w:r>
    </w:p>
    <w:p w14:paraId="603AE058" w14:textId="77777777" w:rsidR="0018247F" w:rsidRPr="008C0AD6" w:rsidRDefault="0018247F" w:rsidP="008C0AD6">
      <w:pPr>
        <w:spacing w:line="360" w:lineRule="auto"/>
        <w:ind w:firstLine="720"/>
        <w:contextualSpacing/>
        <w:jc w:val="both"/>
        <w:rPr>
          <w:rFonts w:ascii="Times New Roman" w:hAnsi="Times New Roman" w:cs="Times New Roman"/>
          <w:sz w:val="24"/>
          <w:szCs w:val="24"/>
        </w:rPr>
      </w:pPr>
      <w:r w:rsidRPr="008C0AD6">
        <w:rPr>
          <w:rFonts w:ascii="Times New Roman" w:hAnsi="Times New Roman" w:cs="Times New Roman"/>
          <w:sz w:val="24"/>
          <w:szCs w:val="24"/>
        </w:rPr>
        <w:t>It is contended that the certificate of service was prepared timeously and that the delay was occasioned by technical challenges encountered during the uploading process on the IECMS platform. The delay amounted to only three days.</w:t>
      </w:r>
    </w:p>
    <w:p w14:paraId="4DBD7CC4" w14:textId="77777777" w:rsidR="0018247F" w:rsidRPr="008C0AD6" w:rsidRDefault="0018247F" w:rsidP="008C0AD6">
      <w:pPr>
        <w:spacing w:line="360" w:lineRule="auto"/>
        <w:ind w:firstLine="720"/>
        <w:contextualSpacing/>
        <w:jc w:val="both"/>
        <w:rPr>
          <w:rFonts w:ascii="Times New Roman" w:hAnsi="Times New Roman" w:cs="Times New Roman"/>
          <w:sz w:val="24"/>
          <w:szCs w:val="24"/>
        </w:rPr>
      </w:pPr>
      <w:r w:rsidRPr="008C0AD6">
        <w:rPr>
          <w:rFonts w:ascii="Times New Roman" w:hAnsi="Times New Roman" w:cs="Times New Roman"/>
          <w:sz w:val="24"/>
          <w:szCs w:val="24"/>
        </w:rPr>
        <w:t>The first applicant further submits that the respondents were previously granted indulgence when they filed their opposing papers on 31 October 2024, despite having been served on 26 July 2024, a delay of approximately four months.</w:t>
      </w:r>
    </w:p>
    <w:p w14:paraId="2EB219BE" w14:textId="179FB90C"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On the basis of these circumstances, the applicant submits that good cause has been shown and seeks reinstatement of the matter.</w:t>
      </w:r>
    </w:p>
    <w:p w14:paraId="01924819" w14:textId="77777777" w:rsidR="0018247F" w:rsidRPr="008C0AD6" w:rsidRDefault="0018247F" w:rsidP="008C0AD6">
      <w:pPr>
        <w:spacing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RESPONDENT’S CASE</w:t>
      </w:r>
    </w:p>
    <w:p w14:paraId="63E491CA"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first respondent argues that Practice Direction No. 1 of 2025 is inapplicable to the present matter. It is submitted that the matter was deemed abandoned strictly in terms of Rule 58(14) and (15) of the High Court Rules, 2021, and not due to inactivity or want of prosecution.</w:t>
      </w:r>
    </w:p>
    <w:p w14:paraId="52B9E0C1"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It is further contended that the definitions contained in paragraph 2.1 of the Practice Direction relate exclusively to neglect in prosecuting a matter and do not extend to abandonment arising from non-compliance with specific rules of court.</w:t>
      </w:r>
    </w:p>
    <w:p w14:paraId="7A181CE1" w14:textId="7138288F"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respondent also challenges the authority of the applicants, submitting that the second applicant did not depose to an affidavit nor expressly associate itself with the relief sought. It is further argued that the deponent of the first applicant’s affidavit lacks authority, as no resolution authorising the institution of the reinstatement application was produced.</w:t>
      </w:r>
    </w:p>
    <w:p w14:paraId="0A18E18C" w14:textId="77777777" w:rsidR="0018247F" w:rsidRPr="008C0AD6" w:rsidRDefault="0018247F" w:rsidP="008C0AD6">
      <w:pPr>
        <w:spacing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ISSUE FOR DETERMINATION</w:t>
      </w:r>
    </w:p>
    <w:p w14:paraId="20AD1578" w14:textId="1278FC60"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lastRenderedPageBreak/>
        <w:t>Whether the applicant has shown good cause entitling it to condonation and reinstatement of the matter.</w:t>
      </w:r>
    </w:p>
    <w:p w14:paraId="2B1D5ADC" w14:textId="77777777" w:rsidR="0018247F" w:rsidRPr="008C0AD6" w:rsidRDefault="0018247F" w:rsidP="008C0AD6">
      <w:pPr>
        <w:spacing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ANALYSIS</w:t>
      </w:r>
    </w:p>
    <w:p w14:paraId="20338197" w14:textId="77777777" w:rsidR="0018247F" w:rsidRPr="008C0AD6" w:rsidRDefault="0018247F" w:rsidP="008C0AD6">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central issue in this matter is whether the late filing of the certificate of service should be condoned and whether the matter should be reinstated.</w:t>
      </w:r>
    </w:p>
    <w:p w14:paraId="72FF4542" w14:textId="77777777" w:rsidR="0018247F" w:rsidRPr="008C0AD6" w:rsidRDefault="0018247F" w:rsidP="008C0AD6">
      <w:pPr>
        <w:spacing w:after="0" w:line="360" w:lineRule="auto"/>
        <w:ind w:firstLine="720"/>
        <w:contextualSpacing/>
        <w:jc w:val="both"/>
        <w:rPr>
          <w:rFonts w:ascii="Times New Roman" w:hAnsi="Times New Roman" w:cs="Times New Roman"/>
          <w:sz w:val="24"/>
          <w:szCs w:val="24"/>
        </w:rPr>
      </w:pPr>
      <w:r w:rsidRPr="008C0AD6">
        <w:rPr>
          <w:rFonts w:ascii="Times New Roman" w:hAnsi="Times New Roman" w:cs="Times New Roman"/>
          <w:sz w:val="24"/>
          <w:szCs w:val="24"/>
        </w:rPr>
        <w:t>Rule 58(15) of the High Court Rules, 2021 provides that failure to file proof of service within the stipulated time results in the matter being deemed abandoned. However, the rule does not oust the inherent discretion of the court to grant condonation where good cause is shown.</w:t>
      </w:r>
    </w:p>
    <w:p w14:paraId="5496BF04" w14:textId="77777777" w:rsidR="0007487B" w:rsidRDefault="0018247F" w:rsidP="00020D71">
      <w:pPr>
        <w:spacing w:line="360" w:lineRule="auto"/>
        <w:ind w:firstLine="720"/>
        <w:contextualSpacing/>
        <w:jc w:val="both"/>
        <w:rPr>
          <w:rFonts w:ascii="Times New Roman" w:hAnsi="Times New Roman" w:cs="Times New Roman"/>
          <w:sz w:val="24"/>
          <w:szCs w:val="24"/>
        </w:rPr>
      </w:pPr>
      <w:r w:rsidRPr="008C0AD6">
        <w:rPr>
          <w:rFonts w:ascii="Times New Roman" w:hAnsi="Times New Roman" w:cs="Times New Roman"/>
          <w:sz w:val="24"/>
          <w:szCs w:val="24"/>
        </w:rPr>
        <w:t xml:space="preserve">Practice Direction No. 1 of 2025 applies to all matters in the High Court that have been deemed abandoned under the High Court Rules, 2021 or are inactive. Paragraph 1.1 of the Practice Direction makes this position clear. </w:t>
      </w:r>
      <w:r w:rsidR="00020D71">
        <w:rPr>
          <w:rFonts w:ascii="Times New Roman" w:hAnsi="Times New Roman" w:cs="Times New Roman"/>
          <w:sz w:val="24"/>
          <w:szCs w:val="24"/>
        </w:rPr>
        <w:t>It states that,</w:t>
      </w:r>
    </w:p>
    <w:p w14:paraId="05CF5083" w14:textId="22EC22FD" w:rsidR="00020D71" w:rsidRDefault="0007487B" w:rsidP="0007487B">
      <w:pPr>
        <w:spacing w:after="0" w:line="240" w:lineRule="auto"/>
        <w:ind w:firstLine="720"/>
        <w:contextualSpacing/>
        <w:rPr>
          <w:rFonts w:ascii="Times New Roman" w:hAnsi="Times New Roman" w:cs="Times New Roman"/>
        </w:rPr>
      </w:pPr>
      <w:r>
        <w:rPr>
          <w:rFonts w:ascii="Times New Roman" w:hAnsi="Times New Roman" w:cs="Times New Roman"/>
          <w:sz w:val="24"/>
          <w:szCs w:val="24"/>
        </w:rPr>
        <w:tab/>
      </w:r>
      <w:r w:rsidR="00020D71" w:rsidRPr="0007487B">
        <w:rPr>
          <w:rFonts w:ascii="Times New Roman" w:hAnsi="Times New Roman" w:cs="Times New Roman"/>
        </w:rPr>
        <w:t xml:space="preserve"> “The practice direction applies to all matters in the High Court of Zimbabwe </w:t>
      </w:r>
      <w:r w:rsidRPr="0007487B">
        <w:rPr>
          <w:rFonts w:ascii="Times New Roman" w:hAnsi="Times New Roman" w:cs="Times New Roman"/>
        </w:rPr>
        <w:tab/>
      </w:r>
      <w:r w:rsidRPr="0007487B">
        <w:rPr>
          <w:rFonts w:ascii="Times New Roman" w:hAnsi="Times New Roman" w:cs="Times New Roman"/>
        </w:rPr>
        <w:tab/>
      </w:r>
      <w:r>
        <w:rPr>
          <w:rFonts w:ascii="Times New Roman" w:hAnsi="Times New Roman" w:cs="Times New Roman"/>
        </w:rPr>
        <w:tab/>
      </w:r>
      <w:r w:rsidR="00020D71" w:rsidRPr="0007487B">
        <w:rPr>
          <w:rFonts w:ascii="Times New Roman" w:hAnsi="Times New Roman" w:cs="Times New Roman"/>
        </w:rPr>
        <w:t xml:space="preserve">that have been deemed abandoned under the provisions of the High Court Rules, </w:t>
      </w:r>
      <w:r w:rsidRPr="0007487B">
        <w:rPr>
          <w:rFonts w:ascii="Times New Roman" w:hAnsi="Times New Roman" w:cs="Times New Roman"/>
        </w:rPr>
        <w:tab/>
      </w:r>
      <w:r w:rsidRPr="0007487B">
        <w:rPr>
          <w:rFonts w:ascii="Times New Roman" w:hAnsi="Times New Roman" w:cs="Times New Roman"/>
        </w:rPr>
        <w:tab/>
      </w:r>
      <w:r>
        <w:rPr>
          <w:rFonts w:ascii="Times New Roman" w:hAnsi="Times New Roman" w:cs="Times New Roman"/>
        </w:rPr>
        <w:tab/>
      </w:r>
      <w:r w:rsidR="00020D71" w:rsidRPr="0007487B">
        <w:rPr>
          <w:rFonts w:ascii="Times New Roman" w:hAnsi="Times New Roman" w:cs="Times New Roman"/>
        </w:rPr>
        <w:t>2021 or are inactive.”</w:t>
      </w:r>
    </w:p>
    <w:p w14:paraId="1EC4F0CF" w14:textId="77777777" w:rsidR="0007487B" w:rsidRPr="0007487B" w:rsidRDefault="0007487B" w:rsidP="0007487B">
      <w:pPr>
        <w:spacing w:after="0" w:line="240" w:lineRule="auto"/>
        <w:ind w:firstLine="720"/>
        <w:contextualSpacing/>
        <w:jc w:val="both"/>
        <w:rPr>
          <w:rFonts w:ascii="Times New Roman" w:hAnsi="Times New Roman" w:cs="Times New Roman"/>
        </w:rPr>
      </w:pPr>
    </w:p>
    <w:p w14:paraId="4610F926" w14:textId="235C3877" w:rsidR="0018247F" w:rsidRPr="008C0AD6" w:rsidRDefault="0018247F" w:rsidP="008C0AD6">
      <w:pPr>
        <w:spacing w:line="360" w:lineRule="auto"/>
        <w:ind w:firstLine="720"/>
        <w:contextualSpacing/>
        <w:jc w:val="both"/>
        <w:rPr>
          <w:rFonts w:ascii="Times New Roman" w:hAnsi="Times New Roman" w:cs="Times New Roman"/>
          <w:sz w:val="24"/>
          <w:szCs w:val="24"/>
        </w:rPr>
      </w:pPr>
      <w:r w:rsidRPr="008C0AD6">
        <w:rPr>
          <w:rFonts w:ascii="Times New Roman" w:hAnsi="Times New Roman" w:cs="Times New Roman"/>
          <w:sz w:val="24"/>
          <w:szCs w:val="24"/>
        </w:rPr>
        <w:t>Accordingly, the respondent’s contention that the Practice Direction i</w:t>
      </w:r>
      <w:r w:rsidR="00B84F31">
        <w:rPr>
          <w:rFonts w:ascii="Times New Roman" w:hAnsi="Times New Roman" w:cs="Times New Roman"/>
          <w:sz w:val="24"/>
          <w:szCs w:val="24"/>
        </w:rPr>
        <w:t>s inapplicable is without merit given the clear provisions of paragraph 1.1 above.</w:t>
      </w:r>
    </w:p>
    <w:p w14:paraId="14331088" w14:textId="77777777"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 xml:space="preserve">The principles governing reinstatement and condonation are settled. In </w:t>
      </w:r>
      <w:r w:rsidRPr="008C0AD6">
        <w:rPr>
          <w:rFonts w:ascii="Times New Roman" w:hAnsi="Times New Roman" w:cs="Times New Roman"/>
          <w:bCs/>
          <w:i/>
          <w:sz w:val="24"/>
          <w:szCs w:val="24"/>
        </w:rPr>
        <w:t>FBC Holdings</w:t>
      </w:r>
      <w:r w:rsidRPr="008C0AD6">
        <w:rPr>
          <w:rFonts w:ascii="Times New Roman" w:hAnsi="Times New Roman" w:cs="Times New Roman"/>
          <w:b/>
          <w:bCs/>
          <w:sz w:val="24"/>
          <w:szCs w:val="24"/>
        </w:rPr>
        <w:t xml:space="preserve"> </w:t>
      </w:r>
      <w:r w:rsidRPr="008C0AD6">
        <w:rPr>
          <w:rFonts w:ascii="Times New Roman" w:hAnsi="Times New Roman" w:cs="Times New Roman"/>
          <w:bCs/>
          <w:sz w:val="24"/>
          <w:szCs w:val="24"/>
        </w:rPr>
        <w:t>v</w:t>
      </w:r>
      <w:r w:rsidRPr="008C0AD6">
        <w:rPr>
          <w:rFonts w:ascii="Times New Roman" w:hAnsi="Times New Roman" w:cs="Times New Roman"/>
          <w:bCs/>
          <w:i/>
          <w:sz w:val="24"/>
          <w:szCs w:val="24"/>
        </w:rPr>
        <w:t xml:space="preserve"> Chiwanza SC 31/17</w:t>
      </w:r>
      <w:r w:rsidRPr="008C0AD6">
        <w:rPr>
          <w:rFonts w:ascii="Times New Roman" w:hAnsi="Times New Roman" w:cs="Times New Roman"/>
          <w:sz w:val="24"/>
          <w:szCs w:val="24"/>
        </w:rPr>
        <w:t>, the Supreme Court stated:</w:t>
      </w:r>
    </w:p>
    <w:p w14:paraId="060DF033" w14:textId="0F4943C7" w:rsidR="0018247F" w:rsidRPr="00E373BB" w:rsidRDefault="0018247F" w:rsidP="00E373BB">
      <w:pPr>
        <w:spacing w:after="0" w:line="240" w:lineRule="auto"/>
        <w:ind w:left="720" w:firstLine="720"/>
        <w:contextualSpacing/>
        <w:jc w:val="both"/>
        <w:rPr>
          <w:rFonts w:ascii="Times New Roman" w:hAnsi="Times New Roman" w:cs="Times New Roman"/>
          <w:iCs/>
        </w:rPr>
      </w:pPr>
      <w:r w:rsidRPr="00E373BB">
        <w:rPr>
          <w:rFonts w:ascii="Times New Roman" w:hAnsi="Times New Roman" w:cs="Times New Roman"/>
          <w:iCs/>
        </w:rPr>
        <w:t xml:space="preserve">“In considering applications for </w:t>
      </w:r>
      <w:r w:rsidR="00C12DDC" w:rsidRPr="00E373BB">
        <w:rPr>
          <w:rFonts w:ascii="Times New Roman" w:hAnsi="Times New Roman" w:cs="Times New Roman"/>
          <w:iCs/>
        </w:rPr>
        <w:t>condonation</w:t>
      </w:r>
      <w:r w:rsidRPr="00E373BB">
        <w:rPr>
          <w:rFonts w:ascii="Times New Roman" w:hAnsi="Times New Roman" w:cs="Times New Roman"/>
          <w:iCs/>
        </w:rPr>
        <w:t xml:space="preserve"> of non-compliance with its rules, </w:t>
      </w:r>
      <w:r w:rsidR="001F6874" w:rsidRPr="00E373BB">
        <w:rPr>
          <w:rFonts w:ascii="Times New Roman" w:hAnsi="Times New Roman" w:cs="Times New Roman"/>
          <w:iCs/>
        </w:rPr>
        <w:tab/>
      </w:r>
      <w:r w:rsidR="001F6874" w:rsidRPr="00E373BB">
        <w:rPr>
          <w:rFonts w:ascii="Times New Roman" w:hAnsi="Times New Roman" w:cs="Times New Roman"/>
          <w:iCs/>
        </w:rPr>
        <w:tab/>
      </w:r>
      <w:r w:rsidRPr="00E373BB">
        <w:rPr>
          <w:rFonts w:ascii="Times New Roman" w:hAnsi="Times New Roman" w:cs="Times New Roman"/>
          <w:iCs/>
        </w:rPr>
        <w:t xml:space="preserve">the court has a discretion </w:t>
      </w:r>
      <w:r w:rsidR="00C12DDC" w:rsidRPr="00E373BB">
        <w:rPr>
          <w:rFonts w:ascii="Times New Roman" w:hAnsi="Times New Roman" w:cs="Times New Roman"/>
          <w:iCs/>
        </w:rPr>
        <w:t xml:space="preserve">which it has </w:t>
      </w:r>
      <w:r w:rsidRPr="00E373BB">
        <w:rPr>
          <w:rFonts w:ascii="Times New Roman" w:hAnsi="Times New Roman" w:cs="Times New Roman"/>
          <w:iCs/>
        </w:rPr>
        <w:t>to exercise judicially</w:t>
      </w:r>
      <w:r w:rsidR="00C12DDC" w:rsidRPr="00E373BB">
        <w:rPr>
          <w:rFonts w:ascii="Times New Roman" w:hAnsi="Times New Roman" w:cs="Times New Roman"/>
          <w:iCs/>
        </w:rPr>
        <w:t xml:space="preserve"> in the sense that it </w:t>
      </w:r>
      <w:r w:rsidR="001F6874" w:rsidRPr="00E373BB">
        <w:rPr>
          <w:rFonts w:ascii="Times New Roman" w:hAnsi="Times New Roman" w:cs="Times New Roman"/>
          <w:iCs/>
        </w:rPr>
        <w:tab/>
      </w:r>
      <w:r w:rsidR="001F6874" w:rsidRPr="00E373BB">
        <w:rPr>
          <w:rFonts w:ascii="Times New Roman" w:hAnsi="Times New Roman" w:cs="Times New Roman"/>
          <w:iCs/>
        </w:rPr>
        <w:tab/>
      </w:r>
      <w:r w:rsidR="00C12DDC" w:rsidRPr="00E373BB">
        <w:rPr>
          <w:rFonts w:ascii="Times New Roman" w:hAnsi="Times New Roman" w:cs="Times New Roman"/>
          <w:iCs/>
        </w:rPr>
        <w:t xml:space="preserve">has to consider all the facts and apply established principles bearing in mind </w:t>
      </w:r>
      <w:r w:rsidR="001F6874" w:rsidRPr="00E373BB">
        <w:rPr>
          <w:rFonts w:ascii="Times New Roman" w:hAnsi="Times New Roman" w:cs="Times New Roman"/>
          <w:iCs/>
        </w:rPr>
        <w:tab/>
      </w:r>
      <w:r w:rsidR="001F6874" w:rsidRPr="00E373BB">
        <w:rPr>
          <w:rFonts w:ascii="Times New Roman" w:hAnsi="Times New Roman" w:cs="Times New Roman"/>
          <w:iCs/>
        </w:rPr>
        <w:tab/>
      </w:r>
      <w:r w:rsidR="00C12DDC" w:rsidRPr="00E373BB">
        <w:rPr>
          <w:rFonts w:ascii="Times New Roman" w:hAnsi="Times New Roman" w:cs="Times New Roman"/>
          <w:iCs/>
        </w:rPr>
        <w:t xml:space="preserve">that it has to do justice. </w:t>
      </w:r>
      <w:r w:rsidRPr="00E373BB">
        <w:rPr>
          <w:rFonts w:ascii="Times New Roman" w:hAnsi="Times New Roman" w:cs="Times New Roman"/>
          <w:iCs/>
        </w:rPr>
        <w:t>Some of the relevant factors</w:t>
      </w:r>
      <w:r w:rsidR="00C12DDC" w:rsidRPr="00E373BB">
        <w:rPr>
          <w:rFonts w:ascii="Times New Roman" w:hAnsi="Times New Roman" w:cs="Times New Roman"/>
          <w:iCs/>
        </w:rPr>
        <w:t xml:space="preserve"> that may be considered </w:t>
      </w:r>
      <w:r w:rsidR="001F6874" w:rsidRPr="00E373BB">
        <w:rPr>
          <w:rFonts w:ascii="Times New Roman" w:hAnsi="Times New Roman" w:cs="Times New Roman"/>
          <w:iCs/>
        </w:rPr>
        <w:tab/>
      </w:r>
      <w:r w:rsidR="001F6874" w:rsidRPr="00E373BB">
        <w:rPr>
          <w:rFonts w:ascii="Times New Roman" w:hAnsi="Times New Roman" w:cs="Times New Roman"/>
          <w:iCs/>
        </w:rPr>
        <w:tab/>
      </w:r>
      <w:r w:rsidR="00C12DDC" w:rsidRPr="00E373BB">
        <w:rPr>
          <w:rFonts w:ascii="Times New Roman" w:hAnsi="Times New Roman" w:cs="Times New Roman"/>
          <w:iCs/>
        </w:rPr>
        <w:t>and weighed one against the other</w:t>
      </w:r>
      <w:r w:rsidRPr="00E373BB">
        <w:rPr>
          <w:rFonts w:ascii="Times New Roman" w:hAnsi="Times New Roman" w:cs="Times New Roman"/>
          <w:iCs/>
        </w:rPr>
        <w:t xml:space="preserve"> are</w:t>
      </w:r>
      <w:r w:rsidR="00C12DDC" w:rsidRPr="00E373BB">
        <w:rPr>
          <w:rFonts w:ascii="Times New Roman" w:hAnsi="Times New Roman" w:cs="Times New Roman"/>
          <w:iCs/>
        </w:rPr>
        <w:t>:</w:t>
      </w:r>
      <w:r w:rsidRPr="00E373BB">
        <w:rPr>
          <w:rFonts w:ascii="Times New Roman" w:hAnsi="Times New Roman" w:cs="Times New Roman"/>
          <w:iCs/>
        </w:rPr>
        <w:t xml:space="preserve"> the degree of non-compliance, the </w:t>
      </w:r>
      <w:r w:rsidR="001F6874" w:rsidRPr="00E373BB">
        <w:rPr>
          <w:rFonts w:ascii="Times New Roman" w:hAnsi="Times New Roman" w:cs="Times New Roman"/>
          <w:iCs/>
        </w:rPr>
        <w:tab/>
      </w:r>
      <w:r w:rsidR="001F6874" w:rsidRPr="00E373BB">
        <w:rPr>
          <w:rFonts w:ascii="Times New Roman" w:hAnsi="Times New Roman" w:cs="Times New Roman"/>
          <w:iCs/>
        </w:rPr>
        <w:tab/>
      </w:r>
      <w:r w:rsidRPr="00E373BB">
        <w:rPr>
          <w:rFonts w:ascii="Times New Roman" w:hAnsi="Times New Roman" w:cs="Times New Roman"/>
          <w:iCs/>
        </w:rPr>
        <w:t>explanation thereof, the prospects of success</w:t>
      </w:r>
      <w:r w:rsidR="00C12DDC" w:rsidRPr="00E373BB">
        <w:rPr>
          <w:rFonts w:ascii="Times New Roman" w:hAnsi="Times New Roman" w:cs="Times New Roman"/>
          <w:iCs/>
        </w:rPr>
        <w:t xml:space="preserve"> on appeal</w:t>
      </w:r>
      <w:r w:rsidRPr="00E373BB">
        <w:rPr>
          <w:rFonts w:ascii="Times New Roman" w:hAnsi="Times New Roman" w:cs="Times New Roman"/>
          <w:iCs/>
        </w:rPr>
        <w:t xml:space="preserve">, the importance of </w:t>
      </w:r>
      <w:r w:rsidR="001F6874" w:rsidRPr="00E373BB">
        <w:rPr>
          <w:rFonts w:ascii="Times New Roman" w:hAnsi="Times New Roman" w:cs="Times New Roman"/>
          <w:iCs/>
        </w:rPr>
        <w:tab/>
      </w:r>
      <w:r w:rsidR="001F6874" w:rsidRPr="00E373BB">
        <w:rPr>
          <w:rFonts w:ascii="Times New Roman" w:hAnsi="Times New Roman" w:cs="Times New Roman"/>
          <w:iCs/>
        </w:rPr>
        <w:tab/>
      </w:r>
      <w:r w:rsidRPr="00E373BB">
        <w:rPr>
          <w:rFonts w:ascii="Times New Roman" w:hAnsi="Times New Roman" w:cs="Times New Roman"/>
          <w:iCs/>
        </w:rPr>
        <w:t xml:space="preserve">the case, </w:t>
      </w:r>
      <w:r w:rsidR="00C12DDC" w:rsidRPr="00E373BB">
        <w:rPr>
          <w:rFonts w:ascii="Times New Roman" w:hAnsi="Times New Roman" w:cs="Times New Roman"/>
          <w:iCs/>
        </w:rPr>
        <w:t xml:space="preserve">the respondent’s interests in the finality of the judgment, the </w:t>
      </w:r>
      <w:r w:rsidR="001F6874" w:rsidRPr="00E373BB">
        <w:rPr>
          <w:rFonts w:ascii="Times New Roman" w:hAnsi="Times New Roman" w:cs="Times New Roman"/>
          <w:iCs/>
        </w:rPr>
        <w:tab/>
      </w:r>
      <w:r w:rsidR="001F6874" w:rsidRPr="00E373BB">
        <w:rPr>
          <w:rFonts w:ascii="Times New Roman" w:hAnsi="Times New Roman" w:cs="Times New Roman"/>
          <w:iCs/>
        </w:rPr>
        <w:tab/>
      </w:r>
      <w:r w:rsidR="001F6874" w:rsidRPr="00E373BB">
        <w:rPr>
          <w:rFonts w:ascii="Times New Roman" w:hAnsi="Times New Roman" w:cs="Times New Roman"/>
          <w:iCs/>
        </w:rPr>
        <w:tab/>
      </w:r>
      <w:r w:rsidR="00C12DDC" w:rsidRPr="00E373BB">
        <w:rPr>
          <w:rFonts w:ascii="Times New Roman" w:hAnsi="Times New Roman" w:cs="Times New Roman"/>
          <w:iCs/>
        </w:rPr>
        <w:t xml:space="preserve">convenience to the court </w:t>
      </w:r>
      <w:r w:rsidRPr="00E373BB">
        <w:rPr>
          <w:rFonts w:ascii="Times New Roman" w:hAnsi="Times New Roman" w:cs="Times New Roman"/>
          <w:iCs/>
        </w:rPr>
        <w:t xml:space="preserve">and the avoidance of unnecessary delays in the </w:t>
      </w:r>
      <w:r w:rsidR="001F6874" w:rsidRPr="00E373BB">
        <w:rPr>
          <w:rFonts w:ascii="Times New Roman" w:hAnsi="Times New Roman" w:cs="Times New Roman"/>
          <w:iCs/>
        </w:rPr>
        <w:tab/>
      </w:r>
      <w:r w:rsidR="001F6874" w:rsidRPr="00E373BB">
        <w:rPr>
          <w:rFonts w:ascii="Times New Roman" w:hAnsi="Times New Roman" w:cs="Times New Roman"/>
          <w:iCs/>
        </w:rPr>
        <w:tab/>
      </w:r>
      <w:r w:rsidR="001F6874" w:rsidRPr="00E373BB">
        <w:rPr>
          <w:rFonts w:ascii="Times New Roman" w:hAnsi="Times New Roman" w:cs="Times New Roman"/>
          <w:iCs/>
        </w:rPr>
        <w:tab/>
      </w:r>
      <w:r w:rsidRPr="00E373BB">
        <w:rPr>
          <w:rFonts w:ascii="Times New Roman" w:hAnsi="Times New Roman" w:cs="Times New Roman"/>
          <w:iCs/>
        </w:rPr>
        <w:t>administration of justice.”</w:t>
      </w:r>
    </w:p>
    <w:p w14:paraId="1D47036E" w14:textId="77777777" w:rsidR="007F429B" w:rsidRPr="00E373BB" w:rsidRDefault="007F429B" w:rsidP="00E373BB">
      <w:pPr>
        <w:spacing w:after="0" w:line="240" w:lineRule="auto"/>
        <w:ind w:firstLine="720"/>
        <w:contextualSpacing/>
        <w:jc w:val="both"/>
        <w:rPr>
          <w:rFonts w:ascii="Times New Roman" w:hAnsi="Times New Roman" w:cs="Times New Roman"/>
          <w:iCs/>
        </w:rPr>
      </w:pPr>
    </w:p>
    <w:p w14:paraId="5FC4903E" w14:textId="77777777" w:rsidR="0018247F" w:rsidRPr="008C0AD6" w:rsidRDefault="0018247F" w:rsidP="00E373B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In the present matter, the degree of non-compliance is minimal. The delay was only three days. The explanation proffered — technical challenges encountered on the IECMS platform — is reasonable and plausible. There is no suggestion of wilful disregard of the rules or persistent neglect.</w:t>
      </w:r>
    </w:p>
    <w:p w14:paraId="12DE91D0" w14:textId="77777777" w:rsidR="0018247F" w:rsidRPr="008C0AD6" w:rsidRDefault="0018247F" w:rsidP="00E373B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lastRenderedPageBreak/>
        <w:t xml:space="preserve">In </w:t>
      </w:r>
      <w:r w:rsidRPr="007F429B">
        <w:rPr>
          <w:rFonts w:ascii="Times New Roman" w:hAnsi="Times New Roman" w:cs="Times New Roman"/>
          <w:bCs/>
          <w:i/>
          <w:sz w:val="24"/>
          <w:szCs w:val="24"/>
        </w:rPr>
        <w:t xml:space="preserve">Director of Civil Aviation </w:t>
      </w:r>
      <w:r w:rsidRPr="007F429B">
        <w:rPr>
          <w:rFonts w:ascii="Times New Roman" w:hAnsi="Times New Roman" w:cs="Times New Roman"/>
          <w:bCs/>
          <w:sz w:val="24"/>
          <w:szCs w:val="24"/>
        </w:rPr>
        <w:t>v</w:t>
      </w:r>
      <w:r w:rsidRPr="007F429B">
        <w:rPr>
          <w:rFonts w:ascii="Times New Roman" w:hAnsi="Times New Roman" w:cs="Times New Roman"/>
          <w:bCs/>
          <w:i/>
          <w:sz w:val="24"/>
          <w:szCs w:val="24"/>
        </w:rPr>
        <w:t xml:space="preserve"> Hall 1990 (2) ZLR 354 (S)</w:t>
      </w:r>
      <w:r w:rsidRPr="008C0AD6">
        <w:rPr>
          <w:rFonts w:ascii="Times New Roman" w:hAnsi="Times New Roman" w:cs="Times New Roman"/>
          <w:sz w:val="24"/>
          <w:szCs w:val="24"/>
        </w:rPr>
        <w:t>, the court held that condonation should not be granted where no explanation is given for the delay. In this case, an explanation has been provided, and it has not been shown to be unsatisfactory.</w:t>
      </w:r>
    </w:p>
    <w:p w14:paraId="7F8C92A1" w14:textId="77777777" w:rsidR="0018247F" w:rsidRPr="008C0AD6" w:rsidRDefault="0018247F" w:rsidP="007F429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applicant acted promptly upon discovering the default and brought this application without undue delay. This conduct demonstrates a genuine intention to comply with procedural requirements.</w:t>
      </w:r>
    </w:p>
    <w:p w14:paraId="4EE221EC" w14:textId="77777777" w:rsidR="0018247F" w:rsidRPr="008C0AD6" w:rsidRDefault="0018247F" w:rsidP="007F429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As regards the respondent’s argument on authority and the alleged disconnect between the applicants, it must be noted that the original matter was instituted jointly. Reinstatement of the matter necessarily affects both applicants. The absence of a separate affidavit from the second applicant does not, in the circumstances of this case, render the application fatally defective. The objection is overly technical and does not advance the interests of justice.</w:t>
      </w:r>
    </w:p>
    <w:p w14:paraId="27D31962" w14:textId="064BAB54" w:rsidR="0018247F" w:rsidRPr="008C0AD6" w:rsidRDefault="0018247F" w:rsidP="007F429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Courts are enjoined to balance strict compliance with the rules against the overarching need to have disputes determined on their merits. While adherence to procedural rules is fundamental, rigid formalism should not defeat substantive justice where good cause has been shown.</w:t>
      </w:r>
    </w:p>
    <w:p w14:paraId="6881851D" w14:textId="77777777" w:rsidR="0018247F" w:rsidRPr="008C0AD6" w:rsidRDefault="0018247F" w:rsidP="007F429B">
      <w:pPr>
        <w:spacing w:after="0"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CONCLUSION</w:t>
      </w:r>
    </w:p>
    <w:p w14:paraId="4BDC926F" w14:textId="77777777" w:rsidR="0018247F" w:rsidRPr="008C0AD6" w:rsidRDefault="0018247F" w:rsidP="007F429B">
      <w:pPr>
        <w:spacing w:after="0"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This court does not condone laxity or disregard of court rules. However, where a litigant provides a reasonable explanation for a minor procedural default and acts promptly to remedy it, the court ought to exercise its discretion in favour of allowing the matter to be heard on its merits.</w:t>
      </w:r>
    </w:p>
    <w:p w14:paraId="2CDEB746" w14:textId="4681CBA6"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applicant has shown good cause for the late filing of the certificate of service. The interests of justice favour reinstatement.</w:t>
      </w:r>
    </w:p>
    <w:p w14:paraId="7729C53A" w14:textId="77777777" w:rsidR="0018247F" w:rsidRPr="008C0AD6" w:rsidRDefault="0018247F" w:rsidP="008C0AD6">
      <w:pPr>
        <w:spacing w:line="360" w:lineRule="auto"/>
        <w:ind w:firstLine="720"/>
        <w:jc w:val="both"/>
        <w:rPr>
          <w:rFonts w:ascii="Times New Roman" w:hAnsi="Times New Roman" w:cs="Times New Roman"/>
          <w:b/>
          <w:bCs/>
          <w:sz w:val="24"/>
          <w:szCs w:val="24"/>
        </w:rPr>
      </w:pPr>
      <w:r w:rsidRPr="008C0AD6">
        <w:rPr>
          <w:rFonts w:ascii="Times New Roman" w:hAnsi="Times New Roman" w:cs="Times New Roman"/>
          <w:b/>
          <w:bCs/>
          <w:sz w:val="24"/>
          <w:szCs w:val="24"/>
        </w:rPr>
        <w:t>ORDER</w:t>
      </w:r>
    </w:p>
    <w:p w14:paraId="1880493E" w14:textId="77777777" w:rsidR="0018247F" w:rsidRPr="008C0AD6" w:rsidRDefault="0018247F" w:rsidP="008C0AD6">
      <w:p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Accordingly, it is ordered that:</w:t>
      </w:r>
    </w:p>
    <w:p w14:paraId="0C869D14" w14:textId="77777777" w:rsidR="0018247F" w:rsidRPr="008C0AD6" w:rsidRDefault="0018247F" w:rsidP="008C0AD6">
      <w:pPr>
        <w:numPr>
          <w:ilvl w:val="0"/>
          <w:numId w:val="1"/>
        </w:num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The application for condonation for the late filing of the certificate of service be and is hereby granted.</w:t>
      </w:r>
    </w:p>
    <w:p w14:paraId="2344BBAB" w14:textId="3F4E0270" w:rsidR="0018247F" w:rsidRPr="008C0AD6" w:rsidRDefault="0018247F" w:rsidP="008C0AD6">
      <w:pPr>
        <w:numPr>
          <w:ilvl w:val="0"/>
          <w:numId w:val="1"/>
        </w:numPr>
        <w:spacing w:line="360" w:lineRule="auto"/>
        <w:ind w:firstLine="720"/>
        <w:jc w:val="both"/>
        <w:rPr>
          <w:rFonts w:ascii="Times New Roman" w:hAnsi="Times New Roman" w:cs="Times New Roman"/>
          <w:sz w:val="24"/>
          <w:szCs w:val="24"/>
        </w:rPr>
      </w:pPr>
      <w:r w:rsidRPr="008C0AD6">
        <w:rPr>
          <w:rFonts w:ascii="Times New Roman" w:hAnsi="Times New Roman" w:cs="Times New Roman"/>
          <w:sz w:val="24"/>
          <w:szCs w:val="24"/>
        </w:rPr>
        <w:t xml:space="preserve">The matter under </w:t>
      </w:r>
      <w:r w:rsidRPr="007F429B">
        <w:rPr>
          <w:rFonts w:ascii="Times New Roman" w:hAnsi="Times New Roman" w:cs="Times New Roman"/>
          <w:b/>
          <w:sz w:val="24"/>
          <w:szCs w:val="24"/>
        </w:rPr>
        <w:t>Case No. HCH 3241/24</w:t>
      </w:r>
      <w:r w:rsidRPr="008C0AD6">
        <w:rPr>
          <w:rFonts w:ascii="Times New Roman" w:hAnsi="Times New Roman" w:cs="Times New Roman"/>
          <w:sz w:val="24"/>
          <w:szCs w:val="24"/>
        </w:rPr>
        <w:t xml:space="preserve"> be and is hereby reinstated and shall proceed in accordance with the rules of this court.</w:t>
      </w:r>
    </w:p>
    <w:p w14:paraId="4E16094A" w14:textId="77777777" w:rsidR="0018247F" w:rsidRPr="008C0AD6" w:rsidRDefault="0018247F" w:rsidP="008C0AD6">
      <w:pPr>
        <w:spacing w:line="360" w:lineRule="auto"/>
        <w:ind w:firstLine="720"/>
        <w:jc w:val="both"/>
        <w:rPr>
          <w:rFonts w:ascii="Times New Roman" w:hAnsi="Times New Roman" w:cs="Times New Roman"/>
          <w:sz w:val="24"/>
          <w:szCs w:val="24"/>
        </w:rPr>
      </w:pPr>
    </w:p>
    <w:p w14:paraId="4B0DF025" w14:textId="77777777" w:rsidR="0018247F" w:rsidRPr="008C0AD6" w:rsidRDefault="0018247F" w:rsidP="008C0AD6">
      <w:pPr>
        <w:spacing w:line="360" w:lineRule="auto"/>
        <w:ind w:firstLine="720"/>
        <w:jc w:val="both"/>
        <w:rPr>
          <w:rFonts w:ascii="Times New Roman" w:hAnsi="Times New Roman" w:cs="Times New Roman"/>
          <w:sz w:val="24"/>
          <w:szCs w:val="24"/>
        </w:rPr>
      </w:pPr>
    </w:p>
    <w:p w14:paraId="558A4AA4" w14:textId="2C6B21F1" w:rsidR="0018247F" w:rsidRDefault="0018247F" w:rsidP="00E373BB">
      <w:pPr>
        <w:spacing w:line="360" w:lineRule="auto"/>
        <w:jc w:val="both"/>
        <w:rPr>
          <w:rFonts w:ascii="Times New Roman" w:hAnsi="Times New Roman" w:cs="Times New Roman"/>
          <w:sz w:val="24"/>
          <w:szCs w:val="24"/>
        </w:rPr>
      </w:pPr>
      <w:r w:rsidRPr="007F429B">
        <w:rPr>
          <w:rFonts w:ascii="Times New Roman" w:hAnsi="Times New Roman" w:cs="Times New Roman"/>
          <w:b/>
          <w:sz w:val="24"/>
          <w:szCs w:val="24"/>
        </w:rPr>
        <w:t>MUNANGATI- MANONGWA J</w:t>
      </w:r>
      <w:r w:rsidR="00B87F3E">
        <w:rPr>
          <w:rFonts w:ascii="Times New Roman" w:hAnsi="Times New Roman" w:cs="Times New Roman"/>
          <w:b/>
          <w:sz w:val="24"/>
          <w:szCs w:val="24"/>
        </w:rPr>
        <w:t>…………………..</w:t>
      </w:r>
    </w:p>
    <w:p w14:paraId="29441070" w14:textId="77777777" w:rsidR="002D22F4" w:rsidRDefault="002D22F4" w:rsidP="00E373BB">
      <w:pPr>
        <w:spacing w:line="360" w:lineRule="auto"/>
        <w:jc w:val="both"/>
        <w:rPr>
          <w:rFonts w:ascii="Times New Roman" w:hAnsi="Times New Roman" w:cs="Times New Roman"/>
          <w:sz w:val="24"/>
          <w:szCs w:val="24"/>
        </w:rPr>
      </w:pPr>
    </w:p>
    <w:p w14:paraId="33375CE0" w14:textId="5A98E688" w:rsidR="002D22F4" w:rsidRDefault="002D22F4" w:rsidP="002D22F4">
      <w:pPr>
        <w:spacing w:after="0" w:line="240" w:lineRule="auto"/>
        <w:jc w:val="both"/>
        <w:rPr>
          <w:rFonts w:ascii="Times New Roman" w:hAnsi="Times New Roman" w:cs="Times New Roman"/>
          <w:sz w:val="24"/>
          <w:szCs w:val="24"/>
        </w:rPr>
      </w:pPr>
      <w:r w:rsidRPr="002D22F4">
        <w:rPr>
          <w:rFonts w:ascii="Times New Roman" w:hAnsi="Times New Roman" w:cs="Times New Roman"/>
          <w:i/>
          <w:sz w:val="24"/>
          <w:szCs w:val="24"/>
        </w:rPr>
        <w:t>Tendai Biti Law</w:t>
      </w:r>
      <w:r>
        <w:rPr>
          <w:rFonts w:ascii="Times New Roman" w:hAnsi="Times New Roman" w:cs="Times New Roman"/>
          <w:sz w:val="24"/>
          <w:szCs w:val="24"/>
        </w:rPr>
        <w:t>, applicants’ legal practitioners</w:t>
      </w:r>
    </w:p>
    <w:p w14:paraId="36D0CBF2" w14:textId="43549F59" w:rsidR="002D22F4" w:rsidRDefault="002D22F4" w:rsidP="002D22F4">
      <w:pPr>
        <w:spacing w:after="0" w:line="240" w:lineRule="auto"/>
        <w:jc w:val="both"/>
        <w:rPr>
          <w:rFonts w:ascii="Times New Roman" w:hAnsi="Times New Roman" w:cs="Times New Roman"/>
          <w:sz w:val="24"/>
          <w:szCs w:val="24"/>
        </w:rPr>
      </w:pPr>
      <w:r w:rsidRPr="002D22F4">
        <w:rPr>
          <w:rFonts w:ascii="Times New Roman" w:hAnsi="Times New Roman" w:cs="Times New Roman"/>
          <w:i/>
          <w:sz w:val="24"/>
          <w:szCs w:val="24"/>
        </w:rPr>
        <w:t>Nyika, Kanengoni and Partners</w:t>
      </w:r>
      <w:r>
        <w:rPr>
          <w:rFonts w:ascii="Times New Roman" w:hAnsi="Times New Roman" w:cs="Times New Roman"/>
          <w:sz w:val="24"/>
          <w:szCs w:val="24"/>
        </w:rPr>
        <w:t>, first respondent’s legal practitioners</w:t>
      </w:r>
    </w:p>
    <w:p w14:paraId="2D4F69C1" w14:textId="77777777" w:rsidR="002D22F4" w:rsidRDefault="002D22F4" w:rsidP="00E373BB">
      <w:pPr>
        <w:spacing w:line="360" w:lineRule="auto"/>
        <w:jc w:val="both"/>
        <w:rPr>
          <w:rFonts w:ascii="Times New Roman" w:hAnsi="Times New Roman" w:cs="Times New Roman"/>
          <w:sz w:val="24"/>
          <w:szCs w:val="24"/>
        </w:rPr>
      </w:pPr>
    </w:p>
    <w:p w14:paraId="0A36D5DB" w14:textId="77777777" w:rsidR="002D22F4" w:rsidRPr="008C0AD6" w:rsidRDefault="002D22F4" w:rsidP="00E373BB">
      <w:pPr>
        <w:spacing w:line="360" w:lineRule="auto"/>
        <w:jc w:val="both"/>
        <w:rPr>
          <w:rFonts w:ascii="Times New Roman" w:hAnsi="Times New Roman" w:cs="Times New Roman"/>
          <w:sz w:val="24"/>
          <w:szCs w:val="24"/>
        </w:rPr>
      </w:pPr>
    </w:p>
    <w:p w14:paraId="2EC06632" w14:textId="77777777" w:rsidR="0018247F" w:rsidRPr="008C0AD6" w:rsidRDefault="0018247F" w:rsidP="008C0AD6">
      <w:pPr>
        <w:spacing w:line="360" w:lineRule="auto"/>
        <w:ind w:firstLine="720"/>
        <w:jc w:val="both"/>
        <w:rPr>
          <w:rFonts w:ascii="Times New Roman" w:hAnsi="Times New Roman" w:cs="Times New Roman"/>
          <w:sz w:val="24"/>
          <w:szCs w:val="24"/>
        </w:rPr>
      </w:pPr>
    </w:p>
    <w:p w14:paraId="1EE059D4" w14:textId="77777777" w:rsidR="00273AC9" w:rsidRPr="008C0AD6" w:rsidRDefault="00952DAC" w:rsidP="008C0AD6">
      <w:pPr>
        <w:spacing w:line="360" w:lineRule="auto"/>
        <w:ind w:firstLine="720"/>
        <w:jc w:val="both"/>
        <w:rPr>
          <w:rFonts w:ascii="Times New Roman" w:hAnsi="Times New Roman" w:cs="Times New Roman"/>
          <w:sz w:val="24"/>
          <w:szCs w:val="24"/>
        </w:rPr>
      </w:pPr>
    </w:p>
    <w:sectPr w:rsidR="00273AC9" w:rsidRPr="008C0A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AD7EF" w14:textId="77777777" w:rsidR="00952DAC" w:rsidRDefault="00952DAC" w:rsidP="008C0AD6">
      <w:pPr>
        <w:spacing w:after="0" w:line="240" w:lineRule="auto"/>
      </w:pPr>
      <w:r>
        <w:separator/>
      </w:r>
    </w:p>
  </w:endnote>
  <w:endnote w:type="continuationSeparator" w:id="0">
    <w:p w14:paraId="2F64188D" w14:textId="77777777" w:rsidR="00952DAC" w:rsidRDefault="00952DAC" w:rsidP="008C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D2514" w14:textId="77777777" w:rsidR="00952DAC" w:rsidRDefault="00952DAC" w:rsidP="008C0AD6">
      <w:pPr>
        <w:spacing w:after="0" w:line="240" w:lineRule="auto"/>
      </w:pPr>
      <w:r>
        <w:separator/>
      </w:r>
    </w:p>
  </w:footnote>
  <w:footnote w:type="continuationSeparator" w:id="0">
    <w:p w14:paraId="25128889" w14:textId="77777777" w:rsidR="00952DAC" w:rsidRDefault="00952DAC" w:rsidP="008C0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66376"/>
      <w:docPartObj>
        <w:docPartGallery w:val="Page Numbers (Top of Page)"/>
        <w:docPartUnique/>
      </w:docPartObj>
    </w:sdtPr>
    <w:sdtEndPr>
      <w:rPr>
        <w:noProof/>
      </w:rPr>
    </w:sdtEndPr>
    <w:sdtContent>
      <w:p w14:paraId="0BBB73F9" w14:textId="77777777" w:rsidR="008C0AD6" w:rsidRDefault="008C0AD6">
        <w:pPr>
          <w:pStyle w:val="Header"/>
          <w:jc w:val="right"/>
          <w:rPr>
            <w:noProof/>
          </w:rPr>
        </w:pPr>
        <w:r>
          <w:fldChar w:fldCharType="begin"/>
        </w:r>
        <w:r>
          <w:instrText xml:space="preserve"> PAGE   \* MERGEFORMAT </w:instrText>
        </w:r>
        <w:r>
          <w:fldChar w:fldCharType="separate"/>
        </w:r>
        <w:r w:rsidR="00B67B70">
          <w:rPr>
            <w:noProof/>
          </w:rPr>
          <w:t>1</w:t>
        </w:r>
        <w:r>
          <w:rPr>
            <w:noProof/>
          </w:rPr>
          <w:fldChar w:fldCharType="end"/>
        </w:r>
      </w:p>
      <w:p w14:paraId="79A2F999" w14:textId="7BDA08A2" w:rsidR="008C0AD6" w:rsidRDefault="00D978B8">
        <w:pPr>
          <w:pStyle w:val="Header"/>
          <w:jc w:val="right"/>
          <w:rPr>
            <w:noProof/>
          </w:rPr>
        </w:pPr>
        <w:r>
          <w:rPr>
            <w:noProof/>
          </w:rPr>
          <w:t>HH 105-26</w:t>
        </w:r>
      </w:p>
      <w:p w14:paraId="2BC9646F" w14:textId="75423C95" w:rsidR="008C0AD6" w:rsidRDefault="0007487B">
        <w:pPr>
          <w:pStyle w:val="Header"/>
          <w:jc w:val="right"/>
          <w:rPr>
            <w:noProof/>
          </w:rPr>
        </w:pPr>
        <w:r>
          <w:rPr>
            <w:noProof/>
          </w:rPr>
          <w:t>HCH 2384/25</w:t>
        </w:r>
      </w:p>
      <w:p w14:paraId="6B177113" w14:textId="681EBA82" w:rsidR="008C0AD6" w:rsidRDefault="00952DAC">
        <w:pPr>
          <w:pStyle w:val="Header"/>
          <w:jc w:val="right"/>
        </w:pPr>
      </w:p>
    </w:sdtContent>
  </w:sdt>
  <w:p w14:paraId="7FB0AEC9" w14:textId="77777777" w:rsidR="008C0AD6" w:rsidRDefault="008C0A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71FB1"/>
    <w:multiLevelType w:val="multilevel"/>
    <w:tmpl w:val="ECE6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47F"/>
    <w:rsid w:val="00012A04"/>
    <w:rsid w:val="00020D71"/>
    <w:rsid w:val="0007487B"/>
    <w:rsid w:val="00083413"/>
    <w:rsid w:val="000D7B4C"/>
    <w:rsid w:val="00112BEB"/>
    <w:rsid w:val="00160570"/>
    <w:rsid w:val="0018247F"/>
    <w:rsid w:val="0019580E"/>
    <w:rsid w:val="001D1CF5"/>
    <w:rsid w:val="001F6874"/>
    <w:rsid w:val="0029698C"/>
    <w:rsid w:val="002C1ADF"/>
    <w:rsid w:val="002D22F4"/>
    <w:rsid w:val="0031361D"/>
    <w:rsid w:val="0033740D"/>
    <w:rsid w:val="003830BB"/>
    <w:rsid w:val="003C560C"/>
    <w:rsid w:val="00422596"/>
    <w:rsid w:val="00451FA6"/>
    <w:rsid w:val="004E4BC5"/>
    <w:rsid w:val="005A203E"/>
    <w:rsid w:val="005A536C"/>
    <w:rsid w:val="005D6B35"/>
    <w:rsid w:val="005F7397"/>
    <w:rsid w:val="00640EFA"/>
    <w:rsid w:val="006B16EE"/>
    <w:rsid w:val="006E20AF"/>
    <w:rsid w:val="007F429B"/>
    <w:rsid w:val="00824922"/>
    <w:rsid w:val="008531F4"/>
    <w:rsid w:val="00884C10"/>
    <w:rsid w:val="008C0AD6"/>
    <w:rsid w:val="008D2A2A"/>
    <w:rsid w:val="00937EB6"/>
    <w:rsid w:val="00952DAC"/>
    <w:rsid w:val="009A1557"/>
    <w:rsid w:val="009B2151"/>
    <w:rsid w:val="009D1727"/>
    <w:rsid w:val="00A06451"/>
    <w:rsid w:val="00A57C89"/>
    <w:rsid w:val="00AE7567"/>
    <w:rsid w:val="00B15296"/>
    <w:rsid w:val="00B616AD"/>
    <w:rsid w:val="00B67B70"/>
    <w:rsid w:val="00B84F31"/>
    <w:rsid w:val="00B87F3E"/>
    <w:rsid w:val="00B96D81"/>
    <w:rsid w:val="00C12DDC"/>
    <w:rsid w:val="00CF6C20"/>
    <w:rsid w:val="00D445D5"/>
    <w:rsid w:val="00D57DA4"/>
    <w:rsid w:val="00D978B8"/>
    <w:rsid w:val="00DE778E"/>
    <w:rsid w:val="00E339A8"/>
    <w:rsid w:val="00E373BB"/>
    <w:rsid w:val="00EB1249"/>
    <w:rsid w:val="00EB3006"/>
    <w:rsid w:val="00F47EF1"/>
    <w:rsid w:val="00FD6BA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47F"/>
    <w:pPr>
      <w:ind w:left="720"/>
      <w:contextualSpacing/>
    </w:pPr>
  </w:style>
  <w:style w:type="paragraph" w:styleId="Header">
    <w:name w:val="header"/>
    <w:basedOn w:val="Normal"/>
    <w:link w:val="HeaderChar"/>
    <w:uiPriority w:val="99"/>
    <w:unhideWhenUsed/>
    <w:rsid w:val="008C0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AD6"/>
  </w:style>
  <w:style w:type="paragraph" w:styleId="Footer">
    <w:name w:val="footer"/>
    <w:basedOn w:val="Normal"/>
    <w:link w:val="FooterChar"/>
    <w:uiPriority w:val="99"/>
    <w:unhideWhenUsed/>
    <w:rsid w:val="008C0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A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47F"/>
    <w:pPr>
      <w:ind w:left="720"/>
      <w:contextualSpacing/>
    </w:pPr>
  </w:style>
  <w:style w:type="paragraph" w:styleId="Header">
    <w:name w:val="header"/>
    <w:basedOn w:val="Normal"/>
    <w:link w:val="HeaderChar"/>
    <w:uiPriority w:val="99"/>
    <w:unhideWhenUsed/>
    <w:rsid w:val="008C0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AD6"/>
  </w:style>
  <w:style w:type="paragraph" w:styleId="Footer">
    <w:name w:val="footer"/>
    <w:basedOn w:val="Normal"/>
    <w:link w:val="FooterChar"/>
    <w:uiPriority w:val="99"/>
    <w:unhideWhenUsed/>
    <w:rsid w:val="008C0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33498">
      <w:bodyDiv w:val="1"/>
      <w:marLeft w:val="0"/>
      <w:marRight w:val="0"/>
      <w:marTop w:val="0"/>
      <w:marBottom w:val="0"/>
      <w:divBdr>
        <w:top w:val="none" w:sz="0" w:space="0" w:color="auto"/>
        <w:left w:val="none" w:sz="0" w:space="0" w:color="auto"/>
        <w:bottom w:val="none" w:sz="0" w:space="0" w:color="auto"/>
        <w:right w:val="none" w:sz="0" w:space="0" w:color="auto"/>
      </w:divBdr>
      <w:divsChild>
        <w:div w:id="408498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cp:lastPrinted>2026-02-03T08:38:00Z</cp:lastPrinted>
  <dcterms:created xsi:type="dcterms:W3CDTF">2026-02-13T09:16:00Z</dcterms:created>
  <dcterms:modified xsi:type="dcterms:W3CDTF">2026-02-13T09:16:00Z</dcterms:modified>
</cp:coreProperties>
</file>