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E66D5F" w14:textId="77777777" w:rsidR="00123866" w:rsidRDefault="00123866">
      <w:bookmarkStart w:id="0" w:name="_GoBack"/>
      <w:bookmarkEnd w:id="0"/>
    </w:p>
    <w:p w14:paraId="54FEB6FE"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CHIDZIVA ESTATE (PRIVATE) LIMITED  </w:t>
      </w:r>
    </w:p>
    <w:p w14:paraId="4ABF142D"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versus    </w:t>
      </w:r>
    </w:p>
    <w:p w14:paraId="1F75DD63"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CLIFFORD SAIMON CHIDZIVA </w:t>
      </w:r>
    </w:p>
    <w:p w14:paraId="07BAED0B"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29247CD0"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EVELYN CHIDZIVA </w:t>
      </w:r>
    </w:p>
    <w:p w14:paraId="77D50BC7"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and </w:t>
      </w:r>
    </w:p>
    <w:p w14:paraId="4331D7CA"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MUNESHKUMAR BABUBHAI NAROTAM</w:t>
      </w:r>
    </w:p>
    <w:p w14:paraId="6A303C05"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his capacity as the Executor of Estate Late Melchior Gore Chidziva) </w:t>
      </w:r>
    </w:p>
    <w:p w14:paraId="577B6B46"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34CF4601" w14:textId="77777777" w:rsidR="00123866" w:rsidRDefault="00F041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REGISTRAR OF DEEDS </w:t>
      </w:r>
    </w:p>
    <w:p w14:paraId="13D4F718" w14:textId="5BBAF8CE" w:rsidR="00123866" w:rsidRDefault="00F04102">
      <w:pPr>
        <w:rPr>
          <w:rFonts w:ascii="Times New Roman" w:hAnsi="Times New Roman" w:cs="Times New Roman"/>
          <w:sz w:val="24"/>
          <w:szCs w:val="24"/>
        </w:rPr>
      </w:pPr>
      <w:r>
        <w:rPr>
          <w:rFonts w:ascii="Times New Roman" w:hAnsi="Times New Roman" w:cs="Times New Roman"/>
          <w:sz w:val="24"/>
          <w:szCs w:val="24"/>
        </w:rPr>
        <w:t xml:space="preserve">  </w:t>
      </w:r>
    </w:p>
    <w:p w14:paraId="6C17FD87" w14:textId="77777777" w:rsidR="00123866" w:rsidRDefault="00F04102">
      <w:pPr>
        <w:spacing w:after="0"/>
        <w:rPr>
          <w:rFonts w:ascii="Times New Roman" w:hAnsi="Times New Roman" w:cs="Times New Roman"/>
          <w:sz w:val="24"/>
          <w:szCs w:val="24"/>
        </w:rPr>
      </w:pPr>
      <w:r>
        <w:rPr>
          <w:rFonts w:ascii="Times New Roman" w:hAnsi="Times New Roman" w:cs="Times New Roman"/>
          <w:sz w:val="24"/>
          <w:szCs w:val="24"/>
        </w:rPr>
        <w:t>HIGH COURT OF ZIMBABWE</w:t>
      </w:r>
    </w:p>
    <w:p w14:paraId="6F660B84" w14:textId="77777777" w:rsidR="00123866" w:rsidRPr="002A6B44" w:rsidRDefault="00F04102">
      <w:pPr>
        <w:spacing w:after="0"/>
        <w:rPr>
          <w:rFonts w:ascii="Times New Roman" w:hAnsi="Times New Roman" w:cs="Times New Roman"/>
          <w:b/>
          <w:bCs/>
          <w:sz w:val="24"/>
          <w:szCs w:val="24"/>
        </w:rPr>
      </w:pPr>
      <w:r w:rsidRPr="002A6B44">
        <w:rPr>
          <w:rFonts w:ascii="Times New Roman" w:hAnsi="Times New Roman" w:cs="Times New Roman"/>
          <w:b/>
          <w:bCs/>
          <w:sz w:val="24"/>
          <w:szCs w:val="24"/>
        </w:rPr>
        <w:t>MUSITHU J</w:t>
      </w:r>
    </w:p>
    <w:p w14:paraId="38D4C150" w14:textId="5B01EA1B" w:rsidR="00123866" w:rsidRDefault="00F04102">
      <w:pPr>
        <w:spacing w:after="0"/>
        <w:rPr>
          <w:rFonts w:ascii="Times New Roman" w:hAnsi="Times New Roman" w:cs="Times New Roman"/>
          <w:sz w:val="24"/>
          <w:szCs w:val="24"/>
        </w:rPr>
      </w:pPr>
      <w:r>
        <w:rPr>
          <w:rFonts w:ascii="Times New Roman" w:hAnsi="Times New Roman" w:cs="Times New Roman"/>
          <w:sz w:val="24"/>
          <w:szCs w:val="24"/>
        </w:rPr>
        <w:t>HARARE: 17 &amp; 24 March 2025 &amp;</w:t>
      </w:r>
      <w:r w:rsidR="00901F98">
        <w:rPr>
          <w:rFonts w:ascii="Times New Roman" w:hAnsi="Times New Roman" w:cs="Times New Roman"/>
          <w:sz w:val="24"/>
          <w:szCs w:val="24"/>
        </w:rPr>
        <w:t xml:space="preserve">19 </w:t>
      </w:r>
      <w:r>
        <w:rPr>
          <w:rFonts w:ascii="Times New Roman" w:hAnsi="Times New Roman" w:cs="Times New Roman"/>
          <w:sz w:val="24"/>
          <w:szCs w:val="24"/>
        </w:rPr>
        <w:t>May 2025</w:t>
      </w:r>
    </w:p>
    <w:p w14:paraId="51540FAE" w14:textId="106535B1" w:rsidR="00123866" w:rsidRDefault="00F04102" w:rsidP="002A6B44">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6F8E9DE8" w14:textId="77777777" w:rsidR="002A6B44" w:rsidRDefault="002A6B44" w:rsidP="002A6B44">
      <w:pPr>
        <w:spacing w:after="0"/>
        <w:rPr>
          <w:rFonts w:ascii="Times New Roman" w:hAnsi="Times New Roman" w:cs="Times New Roman"/>
          <w:sz w:val="24"/>
          <w:szCs w:val="24"/>
        </w:rPr>
      </w:pPr>
    </w:p>
    <w:p w14:paraId="5976AFC6" w14:textId="167F5F47" w:rsidR="00123866" w:rsidRDefault="00F04102" w:rsidP="002A6B44">
      <w:pPr>
        <w:rPr>
          <w:rFonts w:ascii="Times New Roman" w:hAnsi="Times New Roman" w:cs="Times New Roman"/>
          <w:b/>
          <w:sz w:val="24"/>
          <w:szCs w:val="24"/>
        </w:rPr>
      </w:pPr>
      <w:r>
        <w:rPr>
          <w:rFonts w:ascii="Times New Roman" w:hAnsi="Times New Roman" w:cs="Times New Roman"/>
          <w:b/>
          <w:sz w:val="24"/>
          <w:szCs w:val="24"/>
        </w:rPr>
        <w:t xml:space="preserve">Opposed Application-Rescission of default judgment     </w:t>
      </w:r>
    </w:p>
    <w:p w14:paraId="01E1C9BA" w14:textId="77777777" w:rsidR="002A6B44" w:rsidRPr="002A6B44" w:rsidRDefault="002A6B44" w:rsidP="002A6B44">
      <w:pPr>
        <w:rPr>
          <w:rFonts w:ascii="Times New Roman" w:hAnsi="Times New Roman" w:cs="Times New Roman"/>
          <w:b/>
          <w:sz w:val="24"/>
          <w:szCs w:val="24"/>
        </w:rPr>
      </w:pPr>
    </w:p>
    <w:p w14:paraId="394229B4" w14:textId="7AE430C5" w:rsidR="00123866" w:rsidRDefault="002A6B44" w:rsidP="002A6B44">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M </w:t>
      </w:r>
      <w:r w:rsidR="00F04102">
        <w:rPr>
          <w:rFonts w:ascii="Times New Roman" w:hAnsi="Times New Roman" w:cs="Times New Roman"/>
          <w:i/>
          <w:sz w:val="24"/>
          <w:szCs w:val="24"/>
        </w:rPr>
        <w:t xml:space="preserve">B Mudhau, </w:t>
      </w:r>
      <w:r w:rsidR="00F04102">
        <w:rPr>
          <w:rFonts w:ascii="Times New Roman" w:hAnsi="Times New Roman" w:cs="Times New Roman"/>
          <w:sz w:val="24"/>
          <w:szCs w:val="24"/>
        </w:rPr>
        <w:t>for the applicant</w:t>
      </w:r>
    </w:p>
    <w:p w14:paraId="3A46B203" w14:textId="54A7EDCA" w:rsidR="00123866" w:rsidRDefault="002A6B44" w:rsidP="002A6B44">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M </w:t>
      </w:r>
      <w:r w:rsidR="00F04102">
        <w:rPr>
          <w:rFonts w:ascii="Times New Roman" w:hAnsi="Times New Roman" w:cs="Times New Roman"/>
          <w:i/>
          <w:iCs/>
          <w:sz w:val="24"/>
          <w:szCs w:val="24"/>
        </w:rPr>
        <w:t>Chiramba</w:t>
      </w:r>
      <w:r w:rsidR="00F04102">
        <w:rPr>
          <w:rFonts w:ascii="Times New Roman" w:hAnsi="Times New Roman" w:cs="Times New Roman"/>
          <w:sz w:val="24"/>
          <w:szCs w:val="24"/>
        </w:rPr>
        <w:t>, for the 1</w:t>
      </w:r>
      <w:r w:rsidR="00F04102">
        <w:rPr>
          <w:rFonts w:ascii="Times New Roman" w:hAnsi="Times New Roman" w:cs="Times New Roman"/>
          <w:sz w:val="24"/>
          <w:szCs w:val="24"/>
          <w:vertAlign w:val="superscript"/>
        </w:rPr>
        <w:t>st</w:t>
      </w:r>
      <w:r w:rsidR="00F04102">
        <w:rPr>
          <w:rFonts w:ascii="Times New Roman" w:hAnsi="Times New Roman" w:cs="Times New Roman"/>
          <w:sz w:val="24"/>
          <w:szCs w:val="24"/>
        </w:rPr>
        <w:t xml:space="preserve"> respondent </w:t>
      </w:r>
    </w:p>
    <w:p w14:paraId="4527EBD7" w14:textId="27A417EE" w:rsidR="00123866" w:rsidRDefault="00F04102" w:rsidP="0085758E">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P Mavhura with V Muza, </w:t>
      </w:r>
      <w:r>
        <w:rPr>
          <w:rFonts w:ascii="Times New Roman" w:hAnsi="Times New Roman" w:cs="Times New Roman"/>
          <w:sz w:val="24"/>
          <w:szCs w:val="24"/>
        </w:rPr>
        <w:t>for 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t>
      </w:r>
    </w:p>
    <w:p w14:paraId="278F6D46" w14:textId="5D36C692" w:rsidR="00123866" w:rsidRDefault="00F04102" w:rsidP="0085758E">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K Mangwiro, </w:t>
      </w:r>
      <w:r>
        <w:rPr>
          <w:rFonts w:ascii="Times New Roman" w:hAnsi="Times New Roman" w:cs="Times New Roman"/>
          <w:sz w:val="24"/>
          <w:szCs w:val="24"/>
        </w:rPr>
        <w:t>for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w:t>
      </w:r>
    </w:p>
    <w:p w14:paraId="445FEBEC" w14:textId="77777777" w:rsidR="00123866" w:rsidRDefault="00F04102" w:rsidP="0085758E">
      <w:pPr>
        <w:spacing w:line="240" w:lineRule="auto"/>
        <w:rPr>
          <w:rFonts w:ascii="Times New Roman" w:hAnsi="Times New Roman" w:cs="Times New Roman"/>
          <w:i/>
          <w:iCs/>
          <w:sz w:val="24"/>
          <w:szCs w:val="24"/>
        </w:rPr>
      </w:pPr>
      <w:r>
        <w:rPr>
          <w:rFonts w:ascii="Times New Roman" w:hAnsi="Times New Roman" w:cs="Times New Roman"/>
          <w:i/>
          <w:iCs/>
          <w:sz w:val="24"/>
          <w:szCs w:val="24"/>
        </w:rPr>
        <w:t xml:space="preserve"> </w:t>
      </w:r>
    </w:p>
    <w:p w14:paraId="2EEAA03E" w14:textId="05FD9783"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337F52">
        <w:rPr>
          <w:rFonts w:ascii="Times New Roman" w:hAnsi="Times New Roman" w:cs="Times New Roman"/>
          <w:b/>
          <w:sz w:val="24"/>
          <w:szCs w:val="24"/>
        </w:rPr>
        <w:t>MUSITHU J:</w:t>
      </w:r>
      <w:r>
        <w:rPr>
          <w:rFonts w:ascii="Times New Roman" w:hAnsi="Times New Roman" w:cs="Times New Roman"/>
          <w:b/>
          <w:sz w:val="24"/>
          <w:szCs w:val="24"/>
        </w:rPr>
        <w:t xml:space="preserve"> </w:t>
      </w:r>
      <w:r>
        <w:rPr>
          <w:rFonts w:ascii="Times New Roman" w:hAnsi="Times New Roman" w:cs="Times New Roman"/>
          <w:bCs/>
          <w:sz w:val="24"/>
          <w:szCs w:val="24"/>
        </w:rPr>
        <w:t>This is an application for the rescission of a</w:t>
      </w:r>
      <w:r w:rsidR="00381BCA">
        <w:rPr>
          <w:rFonts w:ascii="Times New Roman" w:hAnsi="Times New Roman" w:cs="Times New Roman"/>
          <w:bCs/>
          <w:sz w:val="24"/>
          <w:szCs w:val="24"/>
        </w:rPr>
        <w:t xml:space="preserve">n order of this court granted in default </w:t>
      </w:r>
      <w:r>
        <w:rPr>
          <w:rFonts w:ascii="Times New Roman" w:hAnsi="Times New Roman" w:cs="Times New Roman"/>
          <w:bCs/>
          <w:sz w:val="24"/>
          <w:szCs w:val="24"/>
        </w:rPr>
        <w:t>in favour of the first respondent against the applicant and the rest of the respondents on 1 March 2023</w:t>
      </w:r>
      <w:r w:rsidR="00CA3728">
        <w:rPr>
          <w:rFonts w:ascii="Times New Roman" w:hAnsi="Times New Roman" w:cs="Times New Roman"/>
          <w:bCs/>
          <w:sz w:val="24"/>
          <w:szCs w:val="24"/>
        </w:rPr>
        <w:t xml:space="preserve"> </w:t>
      </w:r>
      <w:r>
        <w:rPr>
          <w:rFonts w:ascii="Times New Roman" w:hAnsi="Times New Roman" w:cs="Times New Roman"/>
          <w:bCs/>
          <w:sz w:val="24"/>
          <w:szCs w:val="24"/>
        </w:rPr>
        <w:t xml:space="preserve">in HCH 7962/22. The </w:t>
      </w:r>
      <w:r w:rsidR="00CA3728">
        <w:rPr>
          <w:rFonts w:ascii="Times New Roman" w:hAnsi="Times New Roman" w:cs="Times New Roman"/>
          <w:bCs/>
          <w:sz w:val="24"/>
          <w:szCs w:val="24"/>
        </w:rPr>
        <w:t xml:space="preserve">order had the effect of placing </w:t>
      </w:r>
      <w:r>
        <w:rPr>
          <w:rFonts w:ascii="Times New Roman" w:hAnsi="Times New Roman" w:cs="Times New Roman"/>
          <w:bCs/>
          <w:sz w:val="24"/>
          <w:szCs w:val="24"/>
        </w:rPr>
        <w:t xml:space="preserve">a caveat on </w:t>
      </w:r>
      <w:r w:rsidR="00CA3728">
        <w:rPr>
          <w:rFonts w:ascii="Times New Roman" w:hAnsi="Times New Roman" w:cs="Times New Roman"/>
          <w:bCs/>
          <w:sz w:val="24"/>
          <w:szCs w:val="24"/>
        </w:rPr>
        <w:t xml:space="preserve">a </w:t>
      </w:r>
      <w:r>
        <w:rPr>
          <w:rFonts w:ascii="Times New Roman" w:hAnsi="Times New Roman" w:cs="Times New Roman"/>
          <w:bCs/>
          <w:sz w:val="24"/>
          <w:szCs w:val="24"/>
        </w:rPr>
        <w:t xml:space="preserve">property known as a certain 2841,0704 hectares of land called Ellerton Estate situate in the District of Salisbury (the property). The fourth respondent was ordered to register a caveat on the property within 48 hours of receipt of the </w:t>
      </w:r>
      <w:r w:rsidR="00337F52">
        <w:rPr>
          <w:rFonts w:ascii="Times New Roman" w:hAnsi="Times New Roman" w:cs="Times New Roman"/>
          <w:bCs/>
          <w:sz w:val="24"/>
          <w:szCs w:val="24"/>
        </w:rPr>
        <w:t>o</w:t>
      </w:r>
      <w:r>
        <w:rPr>
          <w:rFonts w:ascii="Times New Roman" w:hAnsi="Times New Roman" w:cs="Times New Roman"/>
          <w:bCs/>
          <w:sz w:val="24"/>
          <w:szCs w:val="24"/>
        </w:rPr>
        <w:t xml:space="preserve">rder. The applicant’s founding affidavit was deposed to by one Norlex Nobody Chabata, in his capacity as a director of the applicant. </w:t>
      </w:r>
    </w:p>
    <w:p w14:paraId="7A122663" w14:textId="77777777" w:rsidR="00123866" w:rsidRDefault="00F04102">
      <w:pPr>
        <w:spacing w:line="276" w:lineRule="auto"/>
        <w:jc w:val="both"/>
        <w:rPr>
          <w:rFonts w:ascii="Times New Roman" w:hAnsi="Times New Roman" w:cs="Times New Roman"/>
          <w:b/>
          <w:sz w:val="24"/>
          <w:szCs w:val="24"/>
        </w:rPr>
      </w:pPr>
      <w:r>
        <w:rPr>
          <w:rFonts w:ascii="Times New Roman" w:hAnsi="Times New Roman" w:cs="Times New Roman"/>
          <w:b/>
          <w:sz w:val="24"/>
          <w:szCs w:val="24"/>
        </w:rPr>
        <w:t>Background to the Applicant’s Case</w:t>
      </w:r>
    </w:p>
    <w:p w14:paraId="2557A930" w14:textId="77777777" w:rsidR="00123866" w:rsidRDefault="00F04102" w:rsidP="00CA37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CA3728">
        <w:rPr>
          <w:rFonts w:ascii="Times New Roman" w:hAnsi="Times New Roman" w:cs="Times New Roman"/>
          <w:bCs/>
          <w:sz w:val="24"/>
          <w:szCs w:val="24"/>
        </w:rPr>
        <w:t xml:space="preserve">deponent claimed that the </w:t>
      </w:r>
      <w:r>
        <w:rPr>
          <w:rFonts w:ascii="Times New Roman" w:hAnsi="Times New Roman" w:cs="Times New Roman"/>
          <w:bCs/>
          <w:sz w:val="24"/>
          <w:szCs w:val="24"/>
        </w:rPr>
        <w:t xml:space="preserve">applicant </w:t>
      </w:r>
      <w:r w:rsidR="00CA3728">
        <w:rPr>
          <w:rFonts w:ascii="Times New Roman" w:hAnsi="Times New Roman" w:cs="Times New Roman"/>
          <w:bCs/>
          <w:sz w:val="24"/>
          <w:szCs w:val="24"/>
        </w:rPr>
        <w:t xml:space="preserve">was </w:t>
      </w:r>
      <w:r>
        <w:rPr>
          <w:rFonts w:ascii="Times New Roman" w:hAnsi="Times New Roman" w:cs="Times New Roman"/>
          <w:bCs/>
          <w:sz w:val="24"/>
          <w:szCs w:val="24"/>
        </w:rPr>
        <w:t xml:space="preserve">not aware of the proceedings in HCH 7962/22, which yielded the default </w:t>
      </w:r>
      <w:r w:rsidR="00CA3728">
        <w:rPr>
          <w:rFonts w:ascii="Times New Roman" w:hAnsi="Times New Roman" w:cs="Times New Roman"/>
          <w:bCs/>
          <w:sz w:val="24"/>
          <w:szCs w:val="24"/>
        </w:rPr>
        <w:t>order</w:t>
      </w:r>
      <w:r>
        <w:rPr>
          <w:rFonts w:ascii="Times New Roman" w:hAnsi="Times New Roman" w:cs="Times New Roman"/>
          <w:bCs/>
          <w:sz w:val="24"/>
          <w:szCs w:val="24"/>
        </w:rPr>
        <w:t xml:space="preserve">. The </w:t>
      </w:r>
      <w:r w:rsidR="00CA3728">
        <w:rPr>
          <w:rFonts w:ascii="Times New Roman" w:hAnsi="Times New Roman" w:cs="Times New Roman"/>
          <w:bCs/>
          <w:sz w:val="24"/>
          <w:szCs w:val="24"/>
        </w:rPr>
        <w:t xml:space="preserve">deponent further claimed that the </w:t>
      </w:r>
      <w:r>
        <w:rPr>
          <w:rFonts w:ascii="Times New Roman" w:hAnsi="Times New Roman" w:cs="Times New Roman"/>
          <w:bCs/>
          <w:sz w:val="24"/>
          <w:szCs w:val="24"/>
        </w:rPr>
        <w:t xml:space="preserve">applicant only became aware of the </w:t>
      </w:r>
      <w:r w:rsidR="00CA3728">
        <w:rPr>
          <w:rFonts w:ascii="Times New Roman" w:hAnsi="Times New Roman" w:cs="Times New Roman"/>
          <w:bCs/>
          <w:sz w:val="24"/>
          <w:szCs w:val="24"/>
        </w:rPr>
        <w:t xml:space="preserve">order </w:t>
      </w:r>
      <w:r>
        <w:rPr>
          <w:rFonts w:ascii="Times New Roman" w:hAnsi="Times New Roman" w:cs="Times New Roman"/>
          <w:bCs/>
          <w:sz w:val="24"/>
          <w:szCs w:val="24"/>
        </w:rPr>
        <w:t xml:space="preserve">on </w:t>
      </w:r>
      <w:r w:rsidRPr="00FA2921">
        <w:rPr>
          <w:rFonts w:ascii="Times New Roman" w:hAnsi="Times New Roman" w:cs="Times New Roman"/>
          <w:color w:val="000000" w:themeColor="text1"/>
          <w:sz w:val="24"/>
          <w:szCs w:val="24"/>
        </w:rPr>
        <w:t>19 September 2024</w:t>
      </w:r>
      <w:r w:rsidRPr="00FA2921">
        <w:rPr>
          <w:rFonts w:ascii="Times New Roman" w:hAnsi="Times New Roman" w:cs="Times New Roman"/>
          <w:bCs/>
          <w:color w:val="000000" w:themeColor="text1"/>
          <w:sz w:val="24"/>
          <w:szCs w:val="24"/>
        </w:rPr>
        <w:t xml:space="preserve"> </w:t>
      </w:r>
      <w:r w:rsidRPr="00FA2921">
        <w:rPr>
          <w:rFonts w:ascii="Times New Roman" w:hAnsi="Times New Roman" w:cs="Times New Roman"/>
          <w:bCs/>
          <w:sz w:val="24"/>
          <w:szCs w:val="24"/>
        </w:rPr>
        <w:t>w</w:t>
      </w:r>
      <w:r>
        <w:rPr>
          <w:rFonts w:ascii="Times New Roman" w:hAnsi="Times New Roman" w:cs="Times New Roman"/>
          <w:bCs/>
          <w:sz w:val="24"/>
          <w:szCs w:val="24"/>
        </w:rPr>
        <w:t xml:space="preserve">hen </w:t>
      </w:r>
      <w:r w:rsidR="00CA3728">
        <w:rPr>
          <w:rFonts w:ascii="Times New Roman" w:hAnsi="Times New Roman" w:cs="Times New Roman"/>
          <w:bCs/>
          <w:sz w:val="24"/>
          <w:szCs w:val="24"/>
        </w:rPr>
        <w:t xml:space="preserve">he </w:t>
      </w:r>
      <w:r>
        <w:rPr>
          <w:rFonts w:ascii="Times New Roman" w:hAnsi="Times New Roman" w:cs="Times New Roman"/>
          <w:bCs/>
          <w:sz w:val="24"/>
          <w:szCs w:val="24"/>
        </w:rPr>
        <w:t xml:space="preserve">made an enquiry on the status of the </w:t>
      </w:r>
      <w:r w:rsidR="00CA3728">
        <w:rPr>
          <w:rFonts w:ascii="Times New Roman" w:hAnsi="Times New Roman" w:cs="Times New Roman"/>
          <w:bCs/>
          <w:sz w:val="24"/>
          <w:szCs w:val="24"/>
        </w:rPr>
        <w:t xml:space="preserve">applicant’s </w:t>
      </w:r>
      <w:r>
        <w:rPr>
          <w:rFonts w:ascii="Times New Roman" w:hAnsi="Times New Roman" w:cs="Times New Roman"/>
          <w:bCs/>
          <w:sz w:val="24"/>
          <w:szCs w:val="24"/>
        </w:rPr>
        <w:t>property. The applicant was advised of the existence of the caveat by the fourth respondent.</w:t>
      </w:r>
    </w:p>
    <w:p w14:paraId="2F026EC8" w14:textId="77777777" w:rsidR="00123866" w:rsidRDefault="00F04102" w:rsidP="00CA3728">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The court application in HCH 7962/22 was served at 49 Bubye Way, Old Marimba Park, in Harare. The </w:t>
      </w:r>
      <w:r w:rsidR="00CA3728">
        <w:rPr>
          <w:rFonts w:ascii="Times New Roman" w:hAnsi="Times New Roman" w:cs="Times New Roman"/>
          <w:bCs/>
          <w:sz w:val="24"/>
          <w:szCs w:val="24"/>
        </w:rPr>
        <w:t xml:space="preserve">deponent averred that the </w:t>
      </w:r>
      <w:r>
        <w:rPr>
          <w:rFonts w:ascii="Times New Roman" w:hAnsi="Times New Roman" w:cs="Times New Roman"/>
          <w:bCs/>
          <w:sz w:val="24"/>
          <w:szCs w:val="24"/>
        </w:rPr>
        <w:t>applicant ha</w:t>
      </w:r>
      <w:r w:rsidR="00CA3728">
        <w:rPr>
          <w:rFonts w:ascii="Times New Roman" w:hAnsi="Times New Roman" w:cs="Times New Roman"/>
          <w:bCs/>
          <w:sz w:val="24"/>
          <w:szCs w:val="24"/>
        </w:rPr>
        <w:t>d</w:t>
      </w:r>
      <w:r>
        <w:rPr>
          <w:rFonts w:ascii="Times New Roman" w:hAnsi="Times New Roman" w:cs="Times New Roman"/>
          <w:bCs/>
          <w:sz w:val="24"/>
          <w:szCs w:val="24"/>
        </w:rPr>
        <w:t xml:space="preserve"> never conducted any business from this particular address. </w:t>
      </w:r>
      <w:r w:rsidR="00CA3728">
        <w:rPr>
          <w:rFonts w:ascii="Times New Roman" w:hAnsi="Times New Roman" w:cs="Times New Roman"/>
          <w:bCs/>
          <w:sz w:val="24"/>
          <w:szCs w:val="24"/>
        </w:rPr>
        <w:t xml:space="preserve">He further </w:t>
      </w:r>
      <w:r>
        <w:rPr>
          <w:rFonts w:ascii="Times New Roman" w:hAnsi="Times New Roman" w:cs="Times New Roman"/>
          <w:bCs/>
          <w:sz w:val="24"/>
          <w:szCs w:val="24"/>
        </w:rPr>
        <w:t>claimed that whoever received the application at this particular address did not transmit it to the applicant. The applicant</w:t>
      </w:r>
      <w:r w:rsidR="00CA3728">
        <w:rPr>
          <w:rFonts w:ascii="Times New Roman" w:hAnsi="Times New Roman" w:cs="Times New Roman"/>
          <w:bCs/>
          <w:sz w:val="24"/>
          <w:szCs w:val="24"/>
        </w:rPr>
        <w:t xml:space="preserve">’s </w:t>
      </w:r>
      <w:r>
        <w:rPr>
          <w:rFonts w:ascii="Times New Roman" w:hAnsi="Times New Roman" w:cs="Times New Roman"/>
          <w:bCs/>
          <w:sz w:val="24"/>
          <w:szCs w:val="24"/>
        </w:rPr>
        <w:t xml:space="preserve">physical address was Ellerton Farm, Harare. </w:t>
      </w:r>
    </w:p>
    <w:p w14:paraId="0B60A80E" w14:textId="77777777" w:rsidR="00123866"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F117EC">
        <w:rPr>
          <w:rFonts w:ascii="Times New Roman" w:hAnsi="Times New Roman" w:cs="Times New Roman"/>
          <w:bCs/>
          <w:sz w:val="24"/>
          <w:szCs w:val="24"/>
        </w:rPr>
        <w:t xml:space="preserve">deponent averred that the </w:t>
      </w:r>
      <w:r>
        <w:rPr>
          <w:rFonts w:ascii="Times New Roman" w:hAnsi="Times New Roman" w:cs="Times New Roman"/>
          <w:bCs/>
          <w:sz w:val="24"/>
          <w:szCs w:val="24"/>
        </w:rPr>
        <w:t>applicant had good prospects of success in the main matter.</w:t>
      </w:r>
      <w:r w:rsidR="00F117EC">
        <w:rPr>
          <w:rFonts w:ascii="Times New Roman" w:hAnsi="Times New Roman" w:cs="Times New Roman"/>
          <w:bCs/>
          <w:sz w:val="24"/>
          <w:szCs w:val="24"/>
        </w:rPr>
        <w:t xml:space="preserve"> The applicant </w:t>
      </w:r>
      <w:r>
        <w:rPr>
          <w:rFonts w:ascii="Times New Roman" w:hAnsi="Times New Roman" w:cs="Times New Roman"/>
          <w:bCs/>
          <w:sz w:val="24"/>
          <w:szCs w:val="24"/>
        </w:rPr>
        <w:t xml:space="preserve">owned the immovable property in respect of which the caveat </w:t>
      </w:r>
      <w:r w:rsidR="00F117EC">
        <w:rPr>
          <w:rFonts w:ascii="Times New Roman" w:hAnsi="Times New Roman" w:cs="Times New Roman"/>
          <w:bCs/>
          <w:sz w:val="24"/>
          <w:szCs w:val="24"/>
        </w:rPr>
        <w:t xml:space="preserve">had been </w:t>
      </w:r>
      <w:r>
        <w:rPr>
          <w:rFonts w:ascii="Times New Roman" w:hAnsi="Times New Roman" w:cs="Times New Roman"/>
          <w:bCs/>
          <w:sz w:val="24"/>
          <w:szCs w:val="24"/>
        </w:rPr>
        <w:t xml:space="preserve">registered at the instance of the first respondent. The first respondent had no ownership rights in the property. Although the first respondent was a beneficiary in the third respondent’s estate, that did not clothe him with </w:t>
      </w:r>
      <w:r>
        <w:rPr>
          <w:rFonts w:ascii="Times New Roman" w:hAnsi="Times New Roman" w:cs="Times New Roman"/>
          <w:bCs/>
          <w:i/>
          <w:iCs/>
          <w:sz w:val="24"/>
          <w:szCs w:val="24"/>
        </w:rPr>
        <w:t>locus standi</w:t>
      </w:r>
      <w:r>
        <w:rPr>
          <w:rFonts w:ascii="Times New Roman" w:hAnsi="Times New Roman" w:cs="Times New Roman"/>
          <w:bCs/>
          <w:sz w:val="24"/>
          <w:szCs w:val="24"/>
        </w:rPr>
        <w:t xml:space="preserve"> to institute proceedings for </w:t>
      </w:r>
      <w:r w:rsidR="00F117EC">
        <w:rPr>
          <w:rFonts w:ascii="Times New Roman" w:hAnsi="Times New Roman" w:cs="Times New Roman"/>
          <w:bCs/>
          <w:sz w:val="24"/>
          <w:szCs w:val="24"/>
        </w:rPr>
        <w:t xml:space="preserve">placing </w:t>
      </w:r>
      <w:r>
        <w:rPr>
          <w:rFonts w:ascii="Times New Roman" w:hAnsi="Times New Roman" w:cs="Times New Roman"/>
          <w:bCs/>
          <w:sz w:val="24"/>
          <w:szCs w:val="24"/>
        </w:rPr>
        <w:t xml:space="preserve">the caveat on an asset of the applicant.  </w:t>
      </w:r>
    </w:p>
    <w:p w14:paraId="161BD9CF" w14:textId="77777777" w:rsidR="00123866" w:rsidRDefault="00F117EC">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deponent further claimed that </w:t>
      </w:r>
      <w:r w:rsidR="00F04102">
        <w:rPr>
          <w:rFonts w:ascii="Times New Roman" w:hAnsi="Times New Roman" w:cs="Times New Roman"/>
          <w:bCs/>
          <w:sz w:val="24"/>
          <w:szCs w:val="24"/>
        </w:rPr>
        <w:t xml:space="preserve">the first respondent failed to appreciate the distinction between the applicant, the first and the third respondent. The applicant was a separate legal </w:t>
      </w:r>
      <w:r w:rsidR="00F04102">
        <w:rPr>
          <w:rFonts w:ascii="Times New Roman" w:hAnsi="Times New Roman" w:cs="Times New Roman"/>
          <w:bCs/>
          <w:i/>
          <w:iCs/>
          <w:sz w:val="24"/>
          <w:szCs w:val="24"/>
        </w:rPr>
        <w:t>persona</w:t>
      </w:r>
      <w:r w:rsidR="00F04102">
        <w:rPr>
          <w:rFonts w:ascii="Times New Roman" w:hAnsi="Times New Roman" w:cs="Times New Roman"/>
          <w:bCs/>
          <w:sz w:val="24"/>
          <w:szCs w:val="24"/>
        </w:rPr>
        <w:t xml:space="preserve"> with its own directors and shareholders. At the time the main application was launched, the third respondent was not yet deceased. He was critically ill. He was a director of the applicant alongside other directors. </w:t>
      </w:r>
    </w:p>
    <w:p w14:paraId="457FA0EE" w14:textId="77777777" w:rsidR="00123866" w:rsidRDefault="00F117EC" w:rsidP="006F1711">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was also contended that the </w:t>
      </w:r>
      <w:r w:rsidR="00F04102">
        <w:rPr>
          <w:rFonts w:ascii="Times New Roman" w:hAnsi="Times New Roman" w:cs="Times New Roman"/>
          <w:bCs/>
          <w:sz w:val="24"/>
          <w:szCs w:val="24"/>
        </w:rPr>
        <w:t>applicant intended to deal with its assets as it saw fit. The caveat placed on the property hindered the applicant from enjoying its real rights</w:t>
      </w:r>
      <w:r>
        <w:rPr>
          <w:rFonts w:ascii="Times New Roman" w:hAnsi="Times New Roman" w:cs="Times New Roman"/>
          <w:bCs/>
          <w:sz w:val="24"/>
          <w:szCs w:val="24"/>
        </w:rPr>
        <w:t xml:space="preserve"> in the property</w:t>
      </w:r>
      <w:r w:rsidR="00F04102">
        <w:rPr>
          <w:rFonts w:ascii="Times New Roman" w:hAnsi="Times New Roman" w:cs="Times New Roman"/>
          <w:bCs/>
          <w:sz w:val="24"/>
          <w:szCs w:val="24"/>
        </w:rPr>
        <w:t xml:space="preserve">. The applicant should therefore be accorded the opportunity to defend the proceedings in HCH 7962/22. </w:t>
      </w:r>
    </w:p>
    <w:p w14:paraId="4C4DB648" w14:textId="77777777" w:rsidR="00123866" w:rsidRDefault="00F0410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First Respondent’s Case </w:t>
      </w:r>
    </w:p>
    <w:p w14:paraId="5C56D09B" w14:textId="77777777" w:rsidR="00123866" w:rsidRDefault="00F117EC">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first respondent claimed that </w:t>
      </w:r>
      <w:r w:rsidR="00F04102">
        <w:rPr>
          <w:rFonts w:ascii="Times New Roman" w:hAnsi="Times New Roman" w:cs="Times New Roman"/>
          <w:bCs/>
          <w:sz w:val="24"/>
          <w:szCs w:val="24"/>
        </w:rPr>
        <w:t xml:space="preserve">when the order was granted on 1 March 2023, the directors of the </w:t>
      </w:r>
      <w:r>
        <w:rPr>
          <w:rFonts w:ascii="Times New Roman" w:hAnsi="Times New Roman" w:cs="Times New Roman"/>
          <w:bCs/>
          <w:sz w:val="24"/>
          <w:szCs w:val="24"/>
        </w:rPr>
        <w:t xml:space="preserve">applicant </w:t>
      </w:r>
      <w:r w:rsidR="00F04102">
        <w:rPr>
          <w:rFonts w:ascii="Times New Roman" w:hAnsi="Times New Roman" w:cs="Times New Roman"/>
          <w:bCs/>
          <w:sz w:val="24"/>
          <w:szCs w:val="24"/>
        </w:rPr>
        <w:t xml:space="preserve">were the deceased and the second respondent. The second respondent was aware of the order and that the caveat had been placed on the property. </w:t>
      </w:r>
      <w:r>
        <w:rPr>
          <w:rFonts w:ascii="Times New Roman" w:hAnsi="Times New Roman" w:cs="Times New Roman"/>
          <w:bCs/>
          <w:sz w:val="24"/>
          <w:szCs w:val="24"/>
        </w:rPr>
        <w:t xml:space="preserve">He averred that </w:t>
      </w:r>
      <w:r w:rsidR="00F04102">
        <w:rPr>
          <w:rFonts w:ascii="Times New Roman" w:hAnsi="Times New Roman" w:cs="Times New Roman"/>
          <w:bCs/>
          <w:sz w:val="24"/>
          <w:szCs w:val="24"/>
        </w:rPr>
        <w:t xml:space="preserve">the issue of the deponent’s knowledge of the court order was not material. The directors were very </w:t>
      </w:r>
      <w:r>
        <w:rPr>
          <w:rFonts w:ascii="Times New Roman" w:hAnsi="Times New Roman" w:cs="Times New Roman"/>
          <w:bCs/>
          <w:sz w:val="24"/>
          <w:szCs w:val="24"/>
        </w:rPr>
        <w:t xml:space="preserve">much </w:t>
      </w:r>
      <w:r w:rsidR="00F04102">
        <w:rPr>
          <w:rFonts w:ascii="Times New Roman" w:hAnsi="Times New Roman" w:cs="Times New Roman"/>
          <w:bCs/>
          <w:sz w:val="24"/>
          <w:szCs w:val="24"/>
        </w:rPr>
        <w:t xml:space="preserve">aware of the caveat and the intention </w:t>
      </w:r>
      <w:r>
        <w:rPr>
          <w:rFonts w:ascii="Times New Roman" w:hAnsi="Times New Roman" w:cs="Times New Roman"/>
          <w:bCs/>
          <w:sz w:val="24"/>
          <w:szCs w:val="24"/>
        </w:rPr>
        <w:t>behind its placement</w:t>
      </w:r>
      <w:r w:rsidR="00F04102">
        <w:rPr>
          <w:rFonts w:ascii="Times New Roman" w:hAnsi="Times New Roman" w:cs="Times New Roman"/>
          <w:bCs/>
          <w:sz w:val="24"/>
          <w:szCs w:val="24"/>
        </w:rPr>
        <w:t xml:space="preserve">. The applicant was therefore aware of the default judgment. </w:t>
      </w:r>
    </w:p>
    <w:p w14:paraId="098DAC18" w14:textId="77777777" w:rsidR="00C22044"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Further, according to the first respondent, the deponent to the applicant’s founding affidavit was only made director by appointment on </w:t>
      </w:r>
      <w:r w:rsidRPr="002A6B44">
        <w:rPr>
          <w:rFonts w:ascii="Times New Roman" w:hAnsi="Times New Roman" w:cs="Times New Roman"/>
          <w:bCs/>
          <w:sz w:val="24"/>
          <w:szCs w:val="24"/>
        </w:rPr>
        <w:t>24 August 2024</w:t>
      </w:r>
      <w:r w:rsidR="00C22044">
        <w:rPr>
          <w:rFonts w:ascii="Times New Roman" w:hAnsi="Times New Roman" w:cs="Times New Roman"/>
          <w:bCs/>
          <w:sz w:val="24"/>
          <w:szCs w:val="24"/>
        </w:rPr>
        <w:t xml:space="preserve">. He claimed to have become </w:t>
      </w:r>
      <w:r>
        <w:rPr>
          <w:rFonts w:ascii="Times New Roman" w:hAnsi="Times New Roman" w:cs="Times New Roman"/>
          <w:bCs/>
          <w:sz w:val="24"/>
          <w:szCs w:val="24"/>
        </w:rPr>
        <w:t xml:space="preserve">aware of the </w:t>
      </w:r>
      <w:r w:rsidR="00C22044">
        <w:rPr>
          <w:rFonts w:ascii="Times New Roman" w:hAnsi="Times New Roman" w:cs="Times New Roman"/>
          <w:bCs/>
          <w:sz w:val="24"/>
          <w:szCs w:val="24"/>
        </w:rPr>
        <w:t xml:space="preserve">order </w:t>
      </w:r>
      <w:r>
        <w:rPr>
          <w:rFonts w:ascii="Times New Roman" w:hAnsi="Times New Roman" w:cs="Times New Roman"/>
          <w:bCs/>
          <w:sz w:val="24"/>
          <w:szCs w:val="24"/>
        </w:rPr>
        <w:t>on 19 September 2024. He was ignorant of the fact that the directors who were in office before his appointment were aware of the order and did not act on</w:t>
      </w:r>
      <w:r w:rsidR="00C22044">
        <w:rPr>
          <w:rFonts w:ascii="Times New Roman" w:hAnsi="Times New Roman" w:cs="Times New Roman"/>
          <w:bCs/>
          <w:sz w:val="24"/>
          <w:szCs w:val="24"/>
        </w:rPr>
        <w:t xml:space="preserve"> having </w:t>
      </w:r>
      <w:r w:rsidR="00C22044">
        <w:rPr>
          <w:rFonts w:ascii="Times New Roman" w:hAnsi="Times New Roman" w:cs="Times New Roman"/>
          <w:bCs/>
          <w:sz w:val="24"/>
          <w:szCs w:val="24"/>
        </w:rPr>
        <w:lastRenderedPageBreak/>
        <w:t>the caveat lifted.</w:t>
      </w:r>
      <w:r>
        <w:rPr>
          <w:rFonts w:ascii="Times New Roman" w:hAnsi="Times New Roman" w:cs="Times New Roman"/>
          <w:bCs/>
          <w:sz w:val="24"/>
          <w:szCs w:val="24"/>
        </w:rPr>
        <w:t xml:space="preserve"> </w:t>
      </w:r>
      <w:r w:rsidRPr="002A6B44">
        <w:rPr>
          <w:rFonts w:ascii="Times New Roman" w:hAnsi="Times New Roman" w:cs="Times New Roman"/>
          <w:bCs/>
          <w:color w:val="000000" w:themeColor="text1"/>
          <w:sz w:val="24"/>
          <w:szCs w:val="24"/>
        </w:rPr>
        <w:t xml:space="preserve">Whatever decisions were made by the directors then were binding on all the directors, old and new. </w:t>
      </w:r>
      <w:r>
        <w:rPr>
          <w:rFonts w:ascii="Times New Roman" w:hAnsi="Times New Roman" w:cs="Times New Roman"/>
          <w:bCs/>
          <w:sz w:val="24"/>
          <w:szCs w:val="24"/>
        </w:rPr>
        <w:t xml:space="preserve">The order could not be rescinded for such flimsy and unfounded reasons. </w:t>
      </w:r>
    </w:p>
    <w:p w14:paraId="1B0FC9C5" w14:textId="5510E151" w:rsidR="00123866"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first respondent averred that there were factions </w:t>
      </w:r>
      <w:r w:rsidR="00C22044">
        <w:rPr>
          <w:rFonts w:ascii="Times New Roman" w:hAnsi="Times New Roman" w:cs="Times New Roman"/>
          <w:bCs/>
          <w:sz w:val="24"/>
          <w:szCs w:val="24"/>
        </w:rPr>
        <w:t xml:space="preserve">within the deceased’s </w:t>
      </w:r>
      <w:r>
        <w:rPr>
          <w:rFonts w:ascii="Times New Roman" w:hAnsi="Times New Roman" w:cs="Times New Roman"/>
          <w:bCs/>
          <w:sz w:val="24"/>
          <w:szCs w:val="24"/>
        </w:rPr>
        <w:t xml:space="preserve">family due to fights over estate assets. The first respondent himself claimed to have been dragged before the criminal courts by the second respondent on allegations of fraud, which turned out to be unfounded. They had been family fights, but the family members were in agreement on the importance of </w:t>
      </w:r>
      <w:r w:rsidR="00FA2921">
        <w:rPr>
          <w:rFonts w:ascii="Times New Roman" w:hAnsi="Times New Roman" w:cs="Times New Roman"/>
          <w:bCs/>
          <w:sz w:val="24"/>
          <w:szCs w:val="24"/>
        </w:rPr>
        <w:t xml:space="preserve">keeping </w:t>
      </w:r>
      <w:r>
        <w:rPr>
          <w:rFonts w:ascii="Times New Roman" w:hAnsi="Times New Roman" w:cs="Times New Roman"/>
          <w:bCs/>
          <w:sz w:val="24"/>
          <w:szCs w:val="24"/>
        </w:rPr>
        <w:t>the caveat on the property as it safeguarded the assets of the estate. The first respondent insisted that he had the right to make th</w:t>
      </w:r>
      <w:r w:rsidR="00C22044">
        <w:rPr>
          <w:rFonts w:ascii="Times New Roman" w:hAnsi="Times New Roman" w:cs="Times New Roman"/>
          <w:bCs/>
          <w:sz w:val="24"/>
          <w:szCs w:val="24"/>
        </w:rPr>
        <w:t>e</w:t>
      </w:r>
      <w:r>
        <w:rPr>
          <w:rFonts w:ascii="Times New Roman" w:hAnsi="Times New Roman" w:cs="Times New Roman"/>
          <w:bCs/>
          <w:sz w:val="24"/>
          <w:szCs w:val="24"/>
        </w:rPr>
        <w:t xml:space="preserve"> application </w:t>
      </w:r>
      <w:r w:rsidR="00C22044">
        <w:rPr>
          <w:rFonts w:ascii="Times New Roman" w:hAnsi="Times New Roman" w:cs="Times New Roman"/>
          <w:bCs/>
          <w:sz w:val="24"/>
          <w:szCs w:val="24"/>
        </w:rPr>
        <w:t xml:space="preserve">for the caveat, </w:t>
      </w:r>
      <w:r>
        <w:rPr>
          <w:rFonts w:ascii="Times New Roman" w:hAnsi="Times New Roman" w:cs="Times New Roman"/>
          <w:bCs/>
          <w:sz w:val="24"/>
          <w:szCs w:val="24"/>
        </w:rPr>
        <w:t xml:space="preserve">and the court granted the relief sought as it was uncontested. He claimed to have the requisite </w:t>
      </w:r>
      <w:r w:rsidRPr="00C22044">
        <w:rPr>
          <w:rFonts w:ascii="Times New Roman" w:hAnsi="Times New Roman" w:cs="Times New Roman"/>
          <w:bCs/>
          <w:i/>
          <w:iCs/>
          <w:sz w:val="24"/>
          <w:szCs w:val="24"/>
        </w:rPr>
        <w:t>locus stand</w:t>
      </w:r>
      <w:r w:rsidR="00C22044" w:rsidRPr="00C22044">
        <w:rPr>
          <w:rFonts w:ascii="Times New Roman" w:hAnsi="Times New Roman" w:cs="Times New Roman"/>
          <w:bCs/>
          <w:i/>
          <w:iCs/>
          <w:sz w:val="24"/>
          <w:szCs w:val="24"/>
        </w:rPr>
        <w:t>i</w:t>
      </w:r>
      <w:r>
        <w:rPr>
          <w:rFonts w:ascii="Times New Roman" w:hAnsi="Times New Roman" w:cs="Times New Roman"/>
          <w:bCs/>
          <w:sz w:val="24"/>
          <w:szCs w:val="24"/>
        </w:rPr>
        <w:t xml:space="preserve">, because the other director who happened to be his father, was old frail and vulnerable and hence the need to have the caveat in place to protect the deceased’s interests and legacy. </w:t>
      </w:r>
    </w:p>
    <w:p w14:paraId="47BC551F" w14:textId="77777777" w:rsidR="00123866"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first respondent claimed that there were new directors who were fraudulently appointed, and these were the ones who were seeking to uplift the caveat after they had failed to dispose of the applicant’s land due to the caveat. The deponent was not given any right to act in the capacity in which he purported to act. </w:t>
      </w:r>
    </w:p>
    <w:p w14:paraId="1F1A55D7" w14:textId="77777777" w:rsidR="00123866"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court was urged to dismiss the application with costs on the punitive scale for want of merit. The application had also been filed more than a year after the granting of the order and no condonation had been sought before the court. </w:t>
      </w:r>
    </w:p>
    <w:p w14:paraId="505BC8D6" w14:textId="77777777" w:rsidR="00123866" w:rsidRDefault="00F0410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Second Respondent’s Case </w:t>
      </w:r>
    </w:p>
    <w:p w14:paraId="6C348844"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second respondent averred that the board resolution tendered </w:t>
      </w:r>
      <w:r w:rsidR="00C22044">
        <w:rPr>
          <w:rFonts w:ascii="Times New Roman" w:hAnsi="Times New Roman" w:cs="Times New Roman"/>
          <w:bCs/>
          <w:sz w:val="24"/>
          <w:szCs w:val="24"/>
        </w:rPr>
        <w:t xml:space="preserve">by the deponent to the applicant’s founding affidavit </w:t>
      </w:r>
      <w:r>
        <w:rPr>
          <w:rFonts w:ascii="Times New Roman" w:hAnsi="Times New Roman" w:cs="Times New Roman"/>
          <w:bCs/>
          <w:sz w:val="24"/>
          <w:szCs w:val="24"/>
        </w:rPr>
        <w:t xml:space="preserve">was fraudulent and a legal nullity. </w:t>
      </w:r>
      <w:bookmarkStart w:id="1" w:name="_Hlk198376177"/>
      <w:r w:rsidRPr="002A6B44">
        <w:rPr>
          <w:rFonts w:ascii="Times New Roman" w:hAnsi="Times New Roman" w:cs="Times New Roman"/>
          <w:bCs/>
          <w:color w:val="000000" w:themeColor="text1"/>
          <w:sz w:val="24"/>
          <w:szCs w:val="24"/>
        </w:rPr>
        <w:t xml:space="preserve">The deponent was challenged to furnish proof of the notice of the board meeting dated 19 September 2024, as well as </w:t>
      </w:r>
      <w:r w:rsidR="00C22044" w:rsidRPr="002A6B44">
        <w:rPr>
          <w:rFonts w:ascii="Times New Roman" w:hAnsi="Times New Roman" w:cs="Times New Roman"/>
          <w:bCs/>
          <w:color w:val="000000" w:themeColor="text1"/>
          <w:sz w:val="24"/>
          <w:szCs w:val="24"/>
        </w:rPr>
        <w:t xml:space="preserve">the </w:t>
      </w:r>
      <w:r w:rsidRPr="002A6B44">
        <w:rPr>
          <w:rFonts w:ascii="Times New Roman" w:hAnsi="Times New Roman" w:cs="Times New Roman"/>
          <w:bCs/>
          <w:color w:val="000000" w:themeColor="text1"/>
          <w:sz w:val="24"/>
          <w:szCs w:val="24"/>
        </w:rPr>
        <w:t xml:space="preserve">minutes of the said meeting that purportedly gave the deponent the authority to act </w:t>
      </w:r>
      <w:r w:rsidRPr="002A6B44">
        <w:rPr>
          <w:rFonts w:ascii="Times New Roman" w:hAnsi="Times New Roman" w:cs="Times New Roman"/>
          <w:bCs/>
          <w:sz w:val="24"/>
          <w:szCs w:val="24"/>
        </w:rPr>
        <w:t>on behalf of the applicant</w:t>
      </w:r>
      <w:r w:rsidRPr="002A6B44">
        <w:rPr>
          <w:rFonts w:ascii="Times New Roman" w:hAnsi="Times New Roman" w:cs="Times New Roman"/>
          <w:bCs/>
          <w:color w:val="EE0000"/>
          <w:sz w:val="24"/>
          <w:szCs w:val="24"/>
        </w:rPr>
        <w:t>.</w:t>
      </w:r>
      <w:r w:rsidRPr="00235567">
        <w:rPr>
          <w:rFonts w:ascii="Times New Roman" w:hAnsi="Times New Roman" w:cs="Times New Roman"/>
          <w:bCs/>
          <w:color w:val="EE0000"/>
          <w:sz w:val="24"/>
          <w:szCs w:val="24"/>
        </w:rPr>
        <w:t xml:space="preserve"> </w:t>
      </w:r>
      <w:r>
        <w:rPr>
          <w:rFonts w:ascii="Times New Roman" w:hAnsi="Times New Roman" w:cs="Times New Roman"/>
          <w:bCs/>
          <w:sz w:val="24"/>
          <w:szCs w:val="24"/>
        </w:rPr>
        <w:t xml:space="preserve">The second respondent averred that the deponent to the applicant’s affidavit had no authority to represent the applicant and that the purported resolution was a nullity. The second respondent also averred that she was unaware of Farai Chinoda who signed the resolution as a director. </w:t>
      </w:r>
      <w:r w:rsidRPr="002A6B44">
        <w:rPr>
          <w:rFonts w:ascii="Times New Roman" w:hAnsi="Times New Roman" w:cs="Times New Roman"/>
          <w:bCs/>
          <w:color w:val="000000" w:themeColor="text1"/>
          <w:sz w:val="24"/>
          <w:szCs w:val="24"/>
        </w:rPr>
        <w:t xml:space="preserve">The deponent was challenged to furnish proof of Farai Chinoda’s appointment as a director in a lawfully constituted meeting of the applicant. </w:t>
      </w:r>
      <w:r>
        <w:rPr>
          <w:rFonts w:ascii="Times New Roman" w:hAnsi="Times New Roman" w:cs="Times New Roman"/>
          <w:bCs/>
          <w:sz w:val="24"/>
          <w:szCs w:val="24"/>
        </w:rPr>
        <w:t xml:space="preserve">The resolution was dismissed as a bogus document issued by bogus directors. </w:t>
      </w:r>
    </w:p>
    <w:bookmarkEnd w:id="1"/>
    <w:p w14:paraId="365C8054"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It was also averred that the application was not properly before the court since no condonation had been sought to file the application some thirty days after the order was granted. The court was urged to dismiss the application with costs on the punitive scale. </w:t>
      </w:r>
    </w:p>
    <w:p w14:paraId="15B3F873"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It was also averred that Messrs Chikono and Gumiro who were acting for the applicant were seriously conflicted. This was because they had also acted for the second respondent in a matter related to the issues placed before the court and against the same parties. The legal practitioners were holding privileged information that they acquired from the second respondent as a director of the applicant and they could not be seen suing their former client.  It was a serious violation of legal ethics and minimum standards of professional discipline for the law firm to act in that manner. The court was urged to grant an order barring the law firm from acting on behalf of the applicant. </w:t>
      </w:r>
    </w:p>
    <w:p w14:paraId="344F16C4"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second respondent averred that the application was a total abuse of court process. The order placing the caveat was correctly granted in order to protect the applicant’s asset from dissipation by some of the deceased’s children who included the first respondent. The first respondent was alleged to have forged the CR 14 for Chidziva Investments (Pvt) Ltd and caused a huge piece of land in Helensvale, Harare, to be subdivided resulting in serious financial prejudice to the company. The first respondent allegedly disposed of the subdivided stands and converted the proceeds of sale to his own use.  It was therefore in the applicant’s interests that the caveat remained until all the beneficiaries under the </w:t>
      </w:r>
      <w:r w:rsidRPr="002A6B44">
        <w:rPr>
          <w:rFonts w:ascii="Times New Roman" w:hAnsi="Times New Roman" w:cs="Times New Roman"/>
          <w:bCs/>
          <w:color w:val="000000" w:themeColor="text1"/>
          <w:sz w:val="24"/>
          <w:szCs w:val="24"/>
        </w:rPr>
        <w:t xml:space="preserve">M.G. Chidziva Trust </w:t>
      </w:r>
      <w:r>
        <w:rPr>
          <w:rFonts w:ascii="Times New Roman" w:hAnsi="Times New Roman" w:cs="Times New Roman"/>
          <w:bCs/>
          <w:sz w:val="24"/>
          <w:szCs w:val="24"/>
        </w:rPr>
        <w:t xml:space="preserve">stopped fighting and were united in promoting the interests of the Trust and all the companies in which the Trust had an interest. </w:t>
      </w:r>
    </w:p>
    <w:p w14:paraId="59291F83"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second respondent claimed that the rescission of the judgment was being sought by the Trustee of the M.G. Chidziva Family Trust who was using the deponent to fight their own wars. They planned to subdivide the applicant’s farm without a resolution of shareholders and directors and were seeking the removal of a caveat in order to clear the way for the illegal subdivision in which they had a personal interest and had nothing to do with the interests of the applicant. </w:t>
      </w:r>
    </w:p>
    <w:p w14:paraId="19AADB47"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second respondent also averred that as a director of the applicant, she became aware of the default order around March 2023, after the first respondent brought it to her attention. She did not take action as </w:t>
      </w:r>
      <w:r w:rsidR="00C22044">
        <w:rPr>
          <w:rFonts w:ascii="Times New Roman" w:hAnsi="Times New Roman" w:cs="Times New Roman"/>
          <w:bCs/>
          <w:sz w:val="24"/>
          <w:szCs w:val="24"/>
        </w:rPr>
        <w:t xml:space="preserve">a </w:t>
      </w:r>
      <w:r>
        <w:rPr>
          <w:rFonts w:ascii="Times New Roman" w:hAnsi="Times New Roman" w:cs="Times New Roman"/>
          <w:bCs/>
          <w:sz w:val="24"/>
          <w:szCs w:val="24"/>
        </w:rPr>
        <w:t xml:space="preserve">director because she found the caveat convenient and in the interests of the applicant. The allegation that the applicant was unaware of the order was therefore false. </w:t>
      </w:r>
    </w:p>
    <w:p w14:paraId="4AAB01D8"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first respondent dismissed as bogus, the </w:t>
      </w:r>
      <w:bookmarkStart w:id="2" w:name="_Hlk197781257"/>
      <w:r w:rsidRPr="002A6B44">
        <w:rPr>
          <w:rFonts w:ascii="Times New Roman" w:hAnsi="Times New Roman" w:cs="Times New Roman"/>
          <w:bCs/>
          <w:color w:val="000000" w:themeColor="text1"/>
          <w:sz w:val="24"/>
          <w:szCs w:val="24"/>
        </w:rPr>
        <w:t>Form No. C.R.6 (Particulars of Directors and Secretaries), attached to the applicant’s founding affidavit</w:t>
      </w:r>
      <w:bookmarkEnd w:id="2"/>
      <w:r w:rsidRPr="002A6B44">
        <w:rPr>
          <w:rFonts w:ascii="Times New Roman" w:hAnsi="Times New Roman" w:cs="Times New Roman"/>
          <w:bCs/>
          <w:color w:val="000000" w:themeColor="text1"/>
          <w:sz w:val="24"/>
          <w:szCs w:val="24"/>
        </w:rPr>
        <w:t xml:space="preserve">. She claimed that the document </w:t>
      </w:r>
      <w:r>
        <w:rPr>
          <w:rFonts w:ascii="Times New Roman" w:hAnsi="Times New Roman" w:cs="Times New Roman"/>
          <w:bCs/>
          <w:sz w:val="24"/>
          <w:szCs w:val="24"/>
        </w:rPr>
        <w:t xml:space="preserve">was filed fraudulently without her knowledge, nor the knowledge of the legitimate directors of the applicant. She further claimed that she was taking all the necessary steps to have the </w:t>
      </w:r>
      <w:r>
        <w:rPr>
          <w:rFonts w:ascii="Times New Roman" w:hAnsi="Times New Roman" w:cs="Times New Roman"/>
          <w:bCs/>
          <w:sz w:val="24"/>
          <w:szCs w:val="24"/>
        </w:rPr>
        <w:lastRenderedPageBreak/>
        <w:t>document se</w:t>
      </w:r>
      <w:r w:rsidR="00235567">
        <w:rPr>
          <w:rFonts w:ascii="Times New Roman" w:hAnsi="Times New Roman" w:cs="Times New Roman"/>
          <w:bCs/>
          <w:sz w:val="24"/>
          <w:szCs w:val="24"/>
        </w:rPr>
        <w:t>t</w:t>
      </w:r>
      <w:r>
        <w:rPr>
          <w:rFonts w:ascii="Times New Roman" w:hAnsi="Times New Roman" w:cs="Times New Roman"/>
          <w:bCs/>
          <w:sz w:val="24"/>
          <w:szCs w:val="24"/>
        </w:rPr>
        <w:t xml:space="preserve"> aside. She also averred that the document was bogus because from around May 2024, all new company documents filings were being issued online, and were coming out in digital versions. </w:t>
      </w:r>
    </w:p>
    <w:p w14:paraId="1D728726" w14:textId="77777777" w:rsidR="00123866" w:rsidRDefault="00F0410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Third Respondent’s Case</w:t>
      </w:r>
    </w:p>
    <w:p w14:paraId="4DB781D0"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third respondent deposed to his opposing affidavit in his capacity as the Executor to the estate of the deceased. The opposing affidavit raised a preliminary point challenging the authority of the deponent to the applicant’s founding affidavit. The third respondent averred that the appointment of the deponent as a director of the applicant was procedurally irregular and invalid. The process leading to his appointment did not comply with the procedure stipulated in the </w:t>
      </w:r>
      <w:r w:rsidRPr="002A6B44">
        <w:rPr>
          <w:rFonts w:ascii="Times New Roman" w:hAnsi="Times New Roman" w:cs="Times New Roman"/>
          <w:bCs/>
          <w:color w:val="000000" w:themeColor="text1"/>
          <w:sz w:val="24"/>
          <w:szCs w:val="24"/>
        </w:rPr>
        <w:t xml:space="preserve">applicant’s articles of association or the applicable corporate governance laws. The third respondent claimed that clauses 67 and 75 were not complied with as the </w:t>
      </w:r>
      <w:r>
        <w:rPr>
          <w:rFonts w:ascii="Times New Roman" w:hAnsi="Times New Roman" w:cs="Times New Roman"/>
          <w:bCs/>
          <w:sz w:val="24"/>
          <w:szCs w:val="24"/>
        </w:rPr>
        <w:t xml:space="preserve">second respondent and the deceased were the only directors of the applicant at the time of the deceased’s death. </w:t>
      </w:r>
    </w:p>
    <w:p w14:paraId="13FBED92"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irregularities regarding the appointment of the deponent to the applicant’s founding affidavit were highlighted as follows:</w:t>
      </w:r>
    </w:p>
    <w:p w14:paraId="42D5A7D2" w14:textId="77777777" w:rsidR="00123866" w:rsidRDefault="00F04102">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No proper notice for the resolution to appoint the deponent as director was given to all shareholders as required by law. No meeting was ever called for the purposes of appointing the new director.</w:t>
      </w:r>
    </w:p>
    <w:p w14:paraId="1993FC75" w14:textId="77777777" w:rsidR="00123866" w:rsidRDefault="00F04102">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There was no valid quorum present at the meeting during which the deponent’s appointment was purportedly made.</w:t>
      </w:r>
    </w:p>
    <w:p w14:paraId="5D48CDD3" w14:textId="77777777" w:rsidR="00123866" w:rsidRDefault="00F04102">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 necessary filings with the Companies and Intellectual Property office (CIPO) were not completed, or if they were, they were done after the event, and without proper authority.</w:t>
      </w:r>
    </w:p>
    <w:p w14:paraId="4D0CEFC4" w14:textId="77777777" w:rsidR="00123866" w:rsidRDefault="00F04102">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No annual general meeting nor any meeting was actually called for. If one was indeed called for, then the deponent to the applicant’s founding affidavit was challenged to produce proof of same. </w:t>
      </w:r>
    </w:p>
    <w:p w14:paraId="0457236C" w14:textId="77777777" w:rsidR="00123866"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the absence of the requisite proof, it was averred that the deponent lacked authority to represent the applicant. The application had to be dismissed with costs on the legal practitioner and client scale for want of authorisation. </w:t>
      </w:r>
    </w:p>
    <w:p w14:paraId="1DF6AB52" w14:textId="77777777" w:rsidR="00123866" w:rsidRDefault="00F0410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Concerning the merits of the application, it was averred that the applicant was aware of the court order, as the second respondent and the deceased, the two sole directors of the applicant were made aware by the third respondent. Upon discussion, it was established that </w:t>
      </w:r>
      <w:r>
        <w:rPr>
          <w:rFonts w:ascii="Times New Roman" w:hAnsi="Times New Roman" w:cs="Times New Roman"/>
          <w:bCs/>
          <w:sz w:val="24"/>
          <w:szCs w:val="24"/>
        </w:rPr>
        <w:lastRenderedPageBreak/>
        <w:t xml:space="preserve">keeping the caveat in place was in the interests of the applicant, even though the first respondent had acted </w:t>
      </w:r>
      <w:r w:rsidR="00491E01">
        <w:rPr>
          <w:rFonts w:ascii="Times New Roman" w:hAnsi="Times New Roman" w:cs="Times New Roman"/>
          <w:bCs/>
          <w:sz w:val="24"/>
          <w:szCs w:val="24"/>
        </w:rPr>
        <w:t xml:space="preserve">out of </w:t>
      </w:r>
      <w:r>
        <w:rPr>
          <w:rFonts w:ascii="Times New Roman" w:hAnsi="Times New Roman" w:cs="Times New Roman"/>
          <w:bCs/>
          <w:sz w:val="24"/>
          <w:szCs w:val="24"/>
        </w:rPr>
        <w:t xml:space="preserve">his own interests.  </w:t>
      </w:r>
    </w:p>
    <w:p w14:paraId="1B172E66" w14:textId="77777777" w:rsidR="00123866" w:rsidRDefault="00F0410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Answering Affidavit </w:t>
      </w:r>
    </w:p>
    <w:p w14:paraId="635BCF14"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In his response to the first respondent’s opposing affidavit, the deponent to the applicant’s founding affidavit insisted that the applicant was not aware of the court application and the subsequent court order. The court application was served at the wrong address, which was not the applicant’s </w:t>
      </w:r>
      <w:r>
        <w:rPr>
          <w:rFonts w:ascii="Times New Roman" w:hAnsi="Times New Roman" w:cs="Times New Roman"/>
          <w:bCs/>
          <w:i/>
          <w:iCs/>
          <w:sz w:val="24"/>
          <w:szCs w:val="24"/>
        </w:rPr>
        <w:t>domicilium</w:t>
      </w:r>
      <w:r>
        <w:rPr>
          <w:rFonts w:ascii="Times New Roman" w:hAnsi="Times New Roman" w:cs="Times New Roman"/>
          <w:bCs/>
          <w:sz w:val="24"/>
          <w:szCs w:val="24"/>
        </w:rPr>
        <w:t>. For that reason, the purported service was invalid.  The applicant was therefore denied its right to oppose the matter. The matter was erroneously set down by the first respondent in the applicant’s absence.</w:t>
      </w:r>
    </w:p>
    <w:p w14:paraId="54240BCE"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deponent also denied that the applicant’s directorship was not properly constituted. The other director had passed on and only one director remained. The sole director who remained did not draw the attention of the applicant to the existence of the default judgment. The first respondent was not a director or shareholder of the applicant, and neither did he have a say in the operations of the applicant. The applicant’s property did not form part of the deceased estate. </w:t>
      </w:r>
    </w:p>
    <w:p w14:paraId="05E5BA00" w14:textId="77777777" w:rsidR="00123866" w:rsidRPr="002A6B44" w:rsidRDefault="00F04102">
      <w:pPr>
        <w:spacing w:after="0" w:line="360" w:lineRule="auto"/>
        <w:jc w:val="both"/>
        <w:rPr>
          <w:rFonts w:ascii="Times New Roman" w:hAnsi="Times New Roman" w:cs="Times New Roman"/>
          <w:bCs/>
          <w:color w:val="000000" w:themeColor="text1"/>
          <w:sz w:val="24"/>
          <w:szCs w:val="24"/>
        </w:rPr>
      </w:pPr>
      <w:r>
        <w:rPr>
          <w:rFonts w:ascii="Times New Roman" w:hAnsi="Times New Roman" w:cs="Times New Roman"/>
          <w:bCs/>
          <w:sz w:val="24"/>
          <w:szCs w:val="24"/>
        </w:rPr>
        <w:tab/>
        <w:t xml:space="preserve">As regards the </w:t>
      </w:r>
      <w:r w:rsidRPr="002A6B44">
        <w:rPr>
          <w:rFonts w:ascii="Times New Roman" w:hAnsi="Times New Roman" w:cs="Times New Roman"/>
          <w:bCs/>
          <w:color w:val="000000" w:themeColor="text1"/>
          <w:sz w:val="24"/>
          <w:szCs w:val="24"/>
        </w:rPr>
        <w:t xml:space="preserve">second respondent’s opposing affidavit, the deponent insisted that the resolution attached to the founding affidavit was proper. The directors of the applicant were as they appeared in the Form No. C.R.6 (Particulars of Directors and Secretaries), attached to the applicant’s founding affidavit as Annexure C. The second respondent was accused of not attending the directors meeting, but there was a quorum for the meeting which proceeded to conduct the business of the meeting. The deponent also insisted that he was a director of the applicant and was authorised to represent it by virtue of the resolution attached to his affidavit. </w:t>
      </w:r>
    </w:p>
    <w:p w14:paraId="591D5582" w14:textId="77777777" w:rsidR="00123866" w:rsidRDefault="00F04102">
      <w:pPr>
        <w:spacing w:after="0" w:line="360" w:lineRule="auto"/>
        <w:jc w:val="both"/>
        <w:rPr>
          <w:rFonts w:ascii="Times New Roman" w:hAnsi="Times New Roman" w:cs="Times New Roman"/>
          <w:bCs/>
          <w:sz w:val="24"/>
          <w:szCs w:val="24"/>
        </w:rPr>
      </w:pPr>
      <w:r w:rsidRPr="002A6B44">
        <w:rPr>
          <w:rFonts w:ascii="Times New Roman" w:hAnsi="Times New Roman" w:cs="Times New Roman"/>
          <w:bCs/>
          <w:color w:val="000000" w:themeColor="text1"/>
          <w:sz w:val="24"/>
          <w:szCs w:val="24"/>
        </w:rPr>
        <w:tab/>
        <w:t xml:space="preserve">Concerning the third respondent’s opposing affidavit, the deponent denied that </w:t>
      </w:r>
      <w:r>
        <w:rPr>
          <w:rFonts w:ascii="Times New Roman" w:hAnsi="Times New Roman" w:cs="Times New Roman"/>
          <w:bCs/>
          <w:sz w:val="24"/>
          <w:szCs w:val="24"/>
        </w:rPr>
        <w:t xml:space="preserve">he was not authorised to litigate on behalf of the applicant. He averred that all that was required was for the court to satisfy itself that enough evidence was placed before it to show that it was indeed the applicant which was litigating and not some unauthorised person. In the present matter, it was the applicant with vested real rights and interests over the immovable property. The deponent was authorised by other directors to act on behalf of the applicant as a fellow director. </w:t>
      </w:r>
    </w:p>
    <w:p w14:paraId="55664F51" w14:textId="77777777" w:rsidR="00071C41"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deponent also averred that the appointment and assumption of office as director by Mr F. Chinoda was above board in line with the provisions of the law and clauses 29, 54, 55, 57, 70, 74 and 78 of the Memorandum and Articles of Association of the applicant. </w:t>
      </w:r>
    </w:p>
    <w:p w14:paraId="50FDB044" w14:textId="77777777" w:rsidR="00123866" w:rsidRDefault="00F0410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The Submissions</w:t>
      </w:r>
    </w:p>
    <w:p w14:paraId="2F5FF260" w14:textId="77777777" w:rsidR="00071C41"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parties first appeared before the court on 17 March 2025. The first respondent was barred for not filing heads of argument timeously. Mr </w:t>
      </w:r>
      <w:r>
        <w:rPr>
          <w:rFonts w:ascii="Times New Roman" w:hAnsi="Times New Roman" w:cs="Times New Roman"/>
          <w:bCs/>
          <w:i/>
          <w:iCs/>
          <w:sz w:val="24"/>
          <w:szCs w:val="24"/>
        </w:rPr>
        <w:t>Chiramba</w:t>
      </w:r>
      <w:r>
        <w:rPr>
          <w:rFonts w:ascii="Times New Roman" w:hAnsi="Times New Roman" w:cs="Times New Roman"/>
          <w:bCs/>
          <w:sz w:val="24"/>
          <w:szCs w:val="24"/>
        </w:rPr>
        <w:t xml:space="preserve"> for the first respondent made an oral application for the removal of the bar, accepting the blame for not having filed the heads of argument timeously. He further requested a postponement of the matter to enable him to file the said heads which he submitted had been prepared and ready for filing. The application was opposed by Mr </w:t>
      </w:r>
      <w:r>
        <w:rPr>
          <w:rFonts w:ascii="Times New Roman" w:hAnsi="Times New Roman" w:cs="Times New Roman"/>
          <w:bCs/>
          <w:i/>
          <w:iCs/>
          <w:sz w:val="24"/>
          <w:szCs w:val="24"/>
        </w:rPr>
        <w:t>Mudhau</w:t>
      </w:r>
      <w:r>
        <w:rPr>
          <w:rFonts w:ascii="Times New Roman" w:hAnsi="Times New Roman" w:cs="Times New Roman"/>
          <w:bCs/>
          <w:sz w:val="24"/>
          <w:szCs w:val="24"/>
        </w:rPr>
        <w:t xml:space="preserve"> for the applicant who submitted that no reasonable explanation had been given for the non-filing of the heads of argument. </w:t>
      </w:r>
    </w:p>
    <w:p w14:paraId="0EE22645" w14:textId="77777777" w:rsidR="00123866" w:rsidRDefault="00F04102" w:rsidP="00071C41">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granted the application for the removal of the bar after Mr </w:t>
      </w:r>
      <w:r>
        <w:rPr>
          <w:rFonts w:ascii="Times New Roman" w:hAnsi="Times New Roman" w:cs="Times New Roman"/>
          <w:bCs/>
          <w:i/>
          <w:iCs/>
          <w:sz w:val="24"/>
          <w:szCs w:val="24"/>
        </w:rPr>
        <w:t xml:space="preserve">Mudhau </w:t>
      </w:r>
      <w:r>
        <w:rPr>
          <w:rFonts w:ascii="Times New Roman" w:hAnsi="Times New Roman" w:cs="Times New Roman"/>
          <w:bCs/>
          <w:sz w:val="24"/>
          <w:szCs w:val="24"/>
        </w:rPr>
        <w:t xml:space="preserve">conceded that any prejudice occasioned by the postponement of the matter could be cured by an order of costs </w:t>
      </w:r>
      <w:r w:rsidR="00071C41">
        <w:rPr>
          <w:rFonts w:ascii="Times New Roman" w:hAnsi="Times New Roman" w:cs="Times New Roman"/>
          <w:bCs/>
          <w:sz w:val="24"/>
          <w:szCs w:val="24"/>
        </w:rPr>
        <w:t xml:space="preserve">which were to be borne </w:t>
      </w:r>
      <w:r>
        <w:rPr>
          <w:rFonts w:ascii="Times New Roman" w:hAnsi="Times New Roman" w:cs="Times New Roman"/>
          <w:bCs/>
          <w:sz w:val="24"/>
          <w:szCs w:val="24"/>
        </w:rPr>
        <w:t>by the first respondent. The matter was postponed to 24 March 2025 to allow for the filing of the first respondent’s heads of argument</w:t>
      </w:r>
      <w:r w:rsidR="00071C41">
        <w:rPr>
          <w:rFonts w:ascii="Times New Roman" w:hAnsi="Times New Roman" w:cs="Times New Roman"/>
          <w:bCs/>
          <w:sz w:val="24"/>
          <w:szCs w:val="24"/>
        </w:rPr>
        <w:t xml:space="preserve">. The court also ordered the first respondent to pay the applicant’s wasted costs for the day </w:t>
      </w:r>
      <w:r>
        <w:rPr>
          <w:rFonts w:ascii="Times New Roman" w:hAnsi="Times New Roman" w:cs="Times New Roman"/>
          <w:bCs/>
          <w:sz w:val="24"/>
          <w:szCs w:val="24"/>
        </w:rPr>
        <w:t xml:space="preserve">on the legal practitioner and client scale. </w:t>
      </w:r>
      <w:r w:rsidR="00071C41">
        <w:rPr>
          <w:rFonts w:ascii="Times New Roman" w:hAnsi="Times New Roman" w:cs="Times New Roman"/>
          <w:bCs/>
          <w:sz w:val="24"/>
          <w:szCs w:val="24"/>
        </w:rPr>
        <w:t xml:space="preserve">The second and third respondents did not claim any costs arising from the postponement of the matter. </w:t>
      </w:r>
    </w:p>
    <w:p w14:paraId="14E2CCEE"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On the resumption of the hearing on 24 March 2024, counsel for the first respondent appeared in court late, well after Mr </w:t>
      </w:r>
      <w:r>
        <w:rPr>
          <w:rFonts w:ascii="Times New Roman" w:hAnsi="Times New Roman" w:cs="Times New Roman"/>
          <w:bCs/>
          <w:i/>
          <w:iCs/>
          <w:sz w:val="24"/>
          <w:szCs w:val="24"/>
        </w:rPr>
        <w:t>Mudhau</w:t>
      </w:r>
      <w:r>
        <w:rPr>
          <w:rFonts w:ascii="Times New Roman" w:hAnsi="Times New Roman" w:cs="Times New Roman"/>
          <w:bCs/>
          <w:sz w:val="24"/>
          <w:szCs w:val="24"/>
        </w:rPr>
        <w:t xml:space="preserve"> had proposed that the court </w:t>
      </w:r>
      <w:r w:rsidR="00450B1A">
        <w:rPr>
          <w:rFonts w:ascii="Times New Roman" w:hAnsi="Times New Roman" w:cs="Times New Roman"/>
          <w:bCs/>
          <w:sz w:val="24"/>
          <w:szCs w:val="24"/>
        </w:rPr>
        <w:t>could consider t</w:t>
      </w:r>
      <w:r>
        <w:rPr>
          <w:rFonts w:ascii="Times New Roman" w:hAnsi="Times New Roman" w:cs="Times New Roman"/>
          <w:bCs/>
          <w:sz w:val="24"/>
          <w:szCs w:val="24"/>
        </w:rPr>
        <w:t xml:space="preserve">he first respondent’s opposition in determining the matter on the merits. I </w:t>
      </w:r>
      <w:r w:rsidR="00450B1A">
        <w:rPr>
          <w:rFonts w:ascii="Times New Roman" w:hAnsi="Times New Roman" w:cs="Times New Roman"/>
          <w:bCs/>
          <w:sz w:val="24"/>
          <w:szCs w:val="24"/>
        </w:rPr>
        <w:t xml:space="preserve">will first determine </w:t>
      </w:r>
      <w:r>
        <w:rPr>
          <w:rFonts w:ascii="Times New Roman" w:hAnsi="Times New Roman" w:cs="Times New Roman"/>
          <w:bCs/>
          <w:sz w:val="24"/>
          <w:szCs w:val="24"/>
        </w:rPr>
        <w:t xml:space="preserve">the preliminary issues raised by the respondents. </w:t>
      </w:r>
    </w:p>
    <w:p w14:paraId="5BDC9236" w14:textId="77777777" w:rsidR="00123866" w:rsidRDefault="00F04102">
      <w:pPr>
        <w:spacing w:after="0" w:line="360" w:lineRule="auto"/>
        <w:jc w:val="both"/>
        <w:rPr>
          <w:rFonts w:ascii="Times New Roman" w:hAnsi="Times New Roman" w:cs="Times New Roman"/>
          <w:b/>
          <w:i/>
          <w:iCs/>
          <w:sz w:val="24"/>
          <w:szCs w:val="24"/>
        </w:rPr>
      </w:pPr>
      <w:r>
        <w:rPr>
          <w:rFonts w:ascii="Times New Roman" w:hAnsi="Times New Roman" w:cs="Times New Roman"/>
          <w:b/>
          <w:i/>
          <w:iCs/>
          <w:sz w:val="24"/>
          <w:szCs w:val="24"/>
        </w:rPr>
        <w:t>Whether the application was properly before the court</w:t>
      </w:r>
    </w:p>
    <w:p w14:paraId="37E213F5" w14:textId="77777777" w:rsidR="00450B1A" w:rsidRDefault="00F04102">
      <w:pPr>
        <w:spacing w:after="0" w:line="360" w:lineRule="auto"/>
        <w:jc w:val="both"/>
        <w:rPr>
          <w:rFonts w:ascii="Times New Roman" w:hAnsi="Times New Roman" w:cs="Times New Roman"/>
          <w:bCs/>
          <w:sz w:val="24"/>
          <w:szCs w:val="24"/>
        </w:rPr>
      </w:pPr>
      <w:r>
        <w:rPr>
          <w:rFonts w:ascii="Times New Roman" w:hAnsi="Times New Roman" w:cs="Times New Roman"/>
          <w:b/>
          <w:i/>
          <w:iCs/>
          <w:sz w:val="24"/>
          <w:szCs w:val="24"/>
        </w:rPr>
        <w:tab/>
      </w:r>
      <w:r>
        <w:rPr>
          <w:rFonts w:ascii="Times New Roman" w:hAnsi="Times New Roman" w:cs="Times New Roman"/>
          <w:bCs/>
          <w:sz w:val="24"/>
          <w:szCs w:val="24"/>
        </w:rPr>
        <w:t xml:space="preserve">Ms </w:t>
      </w:r>
      <w:r>
        <w:rPr>
          <w:rFonts w:ascii="Times New Roman" w:hAnsi="Times New Roman" w:cs="Times New Roman"/>
          <w:bCs/>
          <w:i/>
          <w:iCs/>
          <w:sz w:val="24"/>
          <w:szCs w:val="24"/>
        </w:rPr>
        <w:t>Mavhura</w:t>
      </w:r>
      <w:r>
        <w:rPr>
          <w:rFonts w:ascii="Times New Roman" w:hAnsi="Times New Roman" w:cs="Times New Roman"/>
          <w:bCs/>
          <w:sz w:val="24"/>
          <w:szCs w:val="24"/>
        </w:rPr>
        <w:t xml:space="preserve"> for the second respondent submitted that the application was improperly before the court as it was filed </w:t>
      </w:r>
      <w:r w:rsidR="00450B1A">
        <w:rPr>
          <w:rFonts w:ascii="Times New Roman" w:hAnsi="Times New Roman" w:cs="Times New Roman"/>
          <w:bCs/>
          <w:sz w:val="24"/>
          <w:szCs w:val="24"/>
        </w:rPr>
        <w:t xml:space="preserve">after </w:t>
      </w:r>
      <w:r>
        <w:rPr>
          <w:rFonts w:ascii="Times New Roman" w:hAnsi="Times New Roman" w:cs="Times New Roman"/>
          <w:bCs/>
          <w:sz w:val="24"/>
          <w:szCs w:val="24"/>
        </w:rPr>
        <w:t xml:space="preserve">30 days in breach of r 27(1), of the High Court rules, 2021. The applicant </w:t>
      </w:r>
      <w:r w:rsidR="00450B1A">
        <w:rPr>
          <w:rFonts w:ascii="Times New Roman" w:hAnsi="Times New Roman" w:cs="Times New Roman"/>
          <w:bCs/>
          <w:sz w:val="24"/>
          <w:szCs w:val="24"/>
        </w:rPr>
        <w:t xml:space="preserve">had </w:t>
      </w:r>
      <w:r>
        <w:rPr>
          <w:rFonts w:ascii="Times New Roman" w:hAnsi="Times New Roman" w:cs="Times New Roman"/>
          <w:bCs/>
          <w:sz w:val="24"/>
          <w:szCs w:val="24"/>
        </w:rPr>
        <w:t xml:space="preserve">approached the court almost a year after the order was granted. The order was granted on </w:t>
      </w:r>
      <w:r w:rsidRPr="00F225DB">
        <w:rPr>
          <w:rFonts w:ascii="Times New Roman" w:hAnsi="Times New Roman" w:cs="Times New Roman"/>
          <w:bCs/>
          <w:color w:val="000000" w:themeColor="text1"/>
          <w:sz w:val="24"/>
          <w:szCs w:val="24"/>
        </w:rPr>
        <w:t>1 March 202</w:t>
      </w:r>
      <w:r w:rsidR="00235567" w:rsidRPr="00F225DB">
        <w:rPr>
          <w:rFonts w:ascii="Times New Roman" w:hAnsi="Times New Roman" w:cs="Times New Roman"/>
          <w:bCs/>
          <w:color w:val="000000" w:themeColor="text1"/>
          <w:sz w:val="24"/>
          <w:szCs w:val="24"/>
        </w:rPr>
        <w:t>3</w:t>
      </w:r>
      <w:r w:rsidRPr="00F225DB">
        <w:rPr>
          <w:rFonts w:ascii="Times New Roman" w:hAnsi="Times New Roman" w:cs="Times New Roman"/>
          <w:bCs/>
          <w:color w:val="000000" w:themeColor="text1"/>
          <w:sz w:val="24"/>
          <w:szCs w:val="24"/>
        </w:rPr>
        <w:t>, and</w:t>
      </w:r>
      <w:r w:rsidR="00450B1A" w:rsidRPr="00F225DB">
        <w:rPr>
          <w:rFonts w:ascii="Times New Roman" w:hAnsi="Times New Roman" w:cs="Times New Roman"/>
          <w:bCs/>
          <w:color w:val="000000" w:themeColor="text1"/>
          <w:sz w:val="24"/>
          <w:szCs w:val="24"/>
        </w:rPr>
        <w:t xml:space="preserve"> the deponent </w:t>
      </w:r>
      <w:r w:rsidRPr="00F225DB">
        <w:rPr>
          <w:rFonts w:ascii="Times New Roman" w:hAnsi="Times New Roman" w:cs="Times New Roman"/>
          <w:bCs/>
          <w:color w:val="000000" w:themeColor="text1"/>
          <w:sz w:val="24"/>
          <w:szCs w:val="24"/>
        </w:rPr>
        <w:t xml:space="preserve">averred that the applicant only </w:t>
      </w:r>
      <w:r w:rsidR="00450B1A" w:rsidRPr="00F225DB">
        <w:rPr>
          <w:rFonts w:ascii="Times New Roman" w:hAnsi="Times New Roman" w:cs="Times New Roman"/>
          <w:bCs/>
          <w:color w:val="000000" w:themeColor="text1"/>
          <w:sz w:val="24"/>
          <w:szCs w:val="24"/>
        </w:rPr>
        <w:t xml:space="preserve">became aware </w:t>
      </w:r>
      <w:r w:rsidRPr="00F225DB">
        <w:rPr>
          <w:rFonts w:ascii="Times New Roman" w:hAnsi="Times New Roman" w:cs="Times New Roman"/>
          <w:bCs/>
          <w:color w:val="000000" w:themeColor="text1"/>
          <w:sz w:val="24"/>
          <w:szCs w:val="24"/>
        </w:rPr>
        <w:t xml:space="preserve">of the order on 19 September 2024. Yet the second respondent who happened to be a director of the company since its inception, claimed that the applicant </w:t>
      </w:r>
      <w:r w:rsidR="00450B1A" w:rsidRPr="00F225DB">
        <w:rPr>
          <w:rFonts w:ascii="Times New Roman" w:hAnsi="Times New Roman" w:cs="Times New Roman"/>
          <w:bCs/>
          <w:color w:val="000000" w:themeColor="text1"/>
          <w:sz w:val="24"/>
          <w:szCs w:val="24"/>
        </w:rPr>
        <w:t>had been aware of the order from the time that it was granted.</w:t>
      </w:r>
      <w:r w:rsidRPr="00F225DB">
        <w:rPr>
          <w:rFonts w:ascii="Times New Roman" w:hAnsi="Times New Roman" w:cs="Times New Roman"/>
          <w:bCs/>
          <w:color w:val="000000" w:themeColor="text1"/>
          <w:sz w:val="24"/>
          <w:szCs w:val="24"/>
        </w:rPr>
        <w:t xml:space="preserve"> She deliberately chose not to oppose the application or </w:t>
      </w:r>
      <w:r w:rsidR="00450B1A" w:rsidRPr="00F225DB">
        <w:rPr>
          <w:rFonts w:ascii="Times New Roman" w:hAnsi="Times New Roman" w:cs="Times New Roman"/>
          <w:bCs/>
          <w:color w:val="000000" w:themeColor="text1"/>
          <w:sz w:val="24"/>
          <w:szCs w:val="24"/>
        </w:rPr>
        <w:t>seek the rescission of the o</w:t>
      </w:r>
      <w:r w:rsidRPr="00F225DB">
        <w:rPr>
          <w:rFonts w:ascii="Times New Roman" w:hAnsi="Times New Roman" w:cs="Times New Roman"/>
          <w:bCs/>
          <w:color w:val="000000" w:themeColor="text1"/>
          <w:sz w:val="24"/>
          <w:szCs w:val="24"/>
        </w:rPr>
        <w:t xml:space="preserve">rder. The deponent to the applicant’s founding affidavit was only appointed director of the applicant on </w:t>
      </w:r>
      <w:r w:rsidR="00141390" w:rsidRPr="00F225DB">
        <w:rPr>
          <w:rFonts w:ascii="Times New Roman" w:hAnsi="Times New Roman" w:cs="Times New Roman"/>
          <w:bCs/>
          <w:color w:val="000000" w:themeColor="text1"/>
          <w:sz w:val="24"/>
          <w:szCs w:val="24"/>
        </w:rPr>
        <w:t>24</w:t>
      </w:r>
      <w:r w:rsidRPr="00F225DB">
        <w:rPr>
          <w:rFonts w:ascii="Times New Roman" w:hAnsi="Times New Roman" w:cs="Times New Roman"/>
          <w:bCs/>
          <w:color w:val="000000" w:themeColor="text1"/>
          <w:sz w:val="24"/>
          <w:szCs w:val="24"/>
        </w:rPr>
        <w:t xml:space="preserve"> August 2024, </w:t>
      </w:r>
      <w:r w:rsidR="00450B1A" w:rsidRPr="00F225DB">
        <w:rPr>
          <w:rFonts w:ascii="Times New Roman" w:hAnsi="Times New Roman" w:cs="Times New Roman"/>
          <w:bCs/>
          <w:color w:val="000000" w:themeColor="text1"/>
          <w:sz w:val="24"/>
          <w:szCs w:val="24"/>
        </w:rPr>
        <w:t>a</w:t>
      </w:r>
      <w:r w:rsidRPr="00F225DB">
        <w:rPr>
          <w:rFonts w:ascii="Times New Roman" w:hAnsi="Times New Roman" w:cs="Times New Roman"/>
          <w:bCs/>
          <w:color w:val="000000" w:themeColor="text1"/>
          <w:sz w:val="24"/>
          <w:szCs w:val="24"/>
        </w:rPr>
        <w:t xml:space="preserve"> year after </w:t>
      </w:r>
      <w:r>
        <w:rPr>
          <w:rFonts w:ascii="Times New Roman" w:hAnsi="Times New Roman" w:cs="Times New Roman"/>
          <w:bCs/>
          <w:sz w:val="24"/>
          <w:szCs w:val="24"/>
        </w:rPr>
        <w:t>the default order was granted.</w:t>
      </w:r>
    </w:p>
    <w:p w14:paraId="77247EE2"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For the third respondent, Mr </w:t>
      </w:r>
      <w:r>
        <w:rPr>
          <w:rFonts w:ascii="Times New Roman" w:hAnsi="Times New Roman" w:cs="Times New Roman"/>
          <w:bCs/>
          <w:i/>
          <w:iCs/>
          <w:sz w:val="24"/>
          <w:szCs w:val="24"/>
        </w:rPr>
        <w:t>Mangwiro</w:t>
      </w:r>
      <w:r>
        <w:rPr>
          <w:rFonts w:ascii="Times New Roman" w:hAnsi="Times New Roman" w:cs="Times New Roman"/>
          <w:bCs/>
          <w:sz w:val="24"/>
          <w:szCs w:val="24"/>
        </w:rPr>
        <w:t xml:space="preserve"> associated himself with the submissions made on behalf of the second respondent on this point. He further submitted that the third respondent had made the directors aware of the court order</w:t>
      </w:r>
      <w:r w:rsidR="00450B1A">
        <w:rPr>
          <w:rFonts w:ascii="Times New Roman" w:hAnsi="Times New Roman" w:cs="Times New Roman"/>
          <w:bCs/>
          <w:sz w:val="24"/>
          <w:szCs w:val="24"/>
        </w:rPr>
        <w:t xml:space="preserve">, but they decided not to </w:t>
      </w:r>
      <w:r>
        <w:rPr>
          <w:rFonts w:ascii="Times New Roman" w:hAnsi="Times New Roman" w:cs="Times New Roman"/>
          <w:bCs/>
          <w:sz w:val="24"/>
          <w:szCs w:val="24"/>
        </w:rPr>
        <w:t xml:space="preserve">challenge it. </w:t>
      </w:r>
      <w:r>
        <w:rPr>
          <w:rFonts w:ascii="Times New Roman" w:hAnsi="Times New Roman" w:cs="Times New Roman"/>
          <w:bCs/>
          <w:sz w:val="24"/>
          <w:szCs w:val="24"/>
        </w:rPr>
        <w:lastRenderedPageBreak/>
        <w:t xml:space="preserve">Condonation was therefore required before the applicant </w:t>
      </w:r>
      <w:r w:rsidR="00450B1A">
        <w:rPr>
          <w:rFonts w:ascii="Times New Roman" w:hAnsi="Times New Roman" w:cs="Times New Roman"/>
          <w:bCs/>
          <w:sz w:val="24"/>
          <w:szCs w:val="24"/>
        </w:rPr>
        <w:t xml:space="preserve">could </w:t>
      </w:r>
      <w:r>
        <w:rPr>
          <w:rFonts w:ascii="Times New Roman" w:hAnsi="Times New Roman" w:cs="Times New Roman"/>
          <w:bCs/>
          <w:sz w:val="24"/>
          <w:szCs w:val="24"/>
        </w:rPr>
        <w:t xml:space="preserve">approach the court </w:t>
      </w:r>
      <w:r w:rsidR="00450B1A">
        <w:rPr>
          <w:rFonts w:ascii="Times New Roman" w:hAnsi="Times New Roman" w:cs="Times New Roman"/>
          <w:bCs/>
          <w:sz w:val="24"/>
          <w:szCs w:val="24"/>
        </w:rPr>
        <w:t>for the setting aside of the order.</w:t>
      </w:r>
      <w:r>
        <w:rPr>
          <w:rFonts w:ascii="Times New Roman" w:hAnsi="Times New Roman" w:cs="Times New Roman"/>
          <w:bCs/>
          <w:sz w:val="24"/>
          <w:szCs w:val="24"/>
        </w:rPr>
        <w:t xml:space="preserve"> </w:t>
      </w:r>
    </w:p>
    <w:p w14:paraId="4E249EFC" w14:textId="77777777" w:rsidR="00123866" w:rsidRDefault="00F041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In his response, Mr </w:t>
      </w:r>
      <w:r>
        <w:rPr>
          <w:rFonts w:ascii="Times New Roman" w:hAnsi="Times New Roman" w:cs="Times New Roman"/>
          <w:bCs/>
          <w:i/>
          <w:iCs/>
          <w:sz w:val="24"/>
          <w:szCs w:val="24"/>
        </w:rPr>
        <w:t>Mudhau</w:t>
      </w:r>
      <w:r>
        <w:rPr>
          <w:rFonts w:ascii="Times New Roman" w:hAnsi="Times New Roman" w:cs="Times New Roman"/>
          <w:bCs/>
          <w:sz w:val="24"/>
          <w:szCs w:val="24"/>
        </w:rPr>
        <w:t xml:space="preserve"> submitted that the applicant became aware of the court order on </w:t>
      </w:r>
      <w:r w:rsidRPr="00F225DB">
        <w:rPr>
          <w:rFonts w:ascii="Times New Roman" w:hAnsi="Times New Roman" w:cs="Times New Roman"/>
          <w:bCs/>
          <w:color w:val="000000" w:themeColor="text1"/>
          <w:sz w:val="24"/>
          <w:szCs w:val="24"/>
        </w:rPr>
        <w:t xml:space="preserve">19 September 2024, </w:t>
      </w:r>
      <w:r>
        <w:rPr>
          <w:rFonts w:ascii="Times New Roman" w:hAnsi="Times New Roman" w:cs="Times New Roman"/>
          <w:bCs/>
          <w:sz w:val="24"/>
          <w:szCs w:val="24"/>
        </w:rPr>
        <w:t xml:space="preserve">and the present application was filed a month thereafter. </w:t>
      </w:r>
      <w:r w:rsidR="00450B1A">
        <w:rPr>
          <w:rFonts w:ascii="Times New Roman" w:hAnsi="Times New Roman" w:cs="Times New Roman"/>
          <w:bCs/>
          <w:sz w:val="24"/>
          <w:szCs w:val="24"/>
        </w:rPr>
        <w:t xml:space="preserve">He </w:t>
      </w:r>
      <w:r>
        <w:rPr>
          <w:rFonts w:ascii="Times New Roman" w:hAnsi="Times New Roman" w:cs="Times New Roman"/>
          <w:bCs/>
          <w:sz w:val="24"/>
          <w:szCs w:val="24"/>
        </w:rPr>
        <w:t>argued that it was not clear how the second and third respondents became aware of the order in the absence of a proof of service confirming service of the order on them. The mere fact that the second and third respondent</w:t>
      </w:r>
      <w:r w:rsidR="00450B1A">
        <w:rPr>
          <w:rFonts w:ascii="Times New Roman" w:hAnsi="Times New Roman" w:cs="Times New Roman"/>
          <w:bCs/>
          <w:sz w:val="24"/>
          <w:szCs w:val="24"/>
        </w:rPr>
        <w:t xml:space="preserve">s </w:t>
      </w:r>
      <w:r>
        <w:rPr>
          <w:rFonts w:ascii="Times New Roman" w:hAnsi="Times New Roman" w:cs="Times New Roman"/>
          <w:bCs/>
          <w:sz w:val="24"/>
          <w:szCs w:val="24"/>
        </w:rPr>
        <w:t xml:space="preserve">were aware of the order did not necessarily mean that they had brought it to the attention of the applicant. </w:t>
      </w:r>
    </w:p>
    <w:p w14:paraId="6DF3FF30" w14:textId="77777777" w:rsidR="00141390" w:rsidRPr="00450B1A" w:rsidRDefault="00141390">
      <w:pPr>
        <w:spacing w:after="0" w:line="360" w:lineRule="auto"/>
        <w:jc w:val="both"/>
        <w:rPr>
          <w:rFonts w:ascii="Times New Roman" w:hAnsi="Times New Roman" w:cs="Times New Roman"/>
          <w:b/>
          <w:sz w:val="24"/>
          <w:szCs w:val="24"/>
        </w:rPr>
      </w:pPr>
      <w:r w:rsidRPr="00450B1A">
        <w:rPr>
          <w:rFonts w:ascii="Times New Roman" w:hAnsi="Times New Roman" w:cs="Times New Roman"/>
          <w:b/>
          <w:sz w:val="24"/>
          <w:szCs w:val="24"/>
        </w:rPr>
        <w:t xml:space="preserve">Analysis </w:t>
      </w:r>
    </w:p>
    <w:p w14:paraId="4491C5E1" w14:textId="77777777" w:rsidR="00E62FE0" w:rsidRDefault="00E62FE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Rule 27(1) and (2) in terms of which the present application was filed provides in part as follows:</w:t>
      </w:r>
    </w:p>
    <w:p w14:paraId="276122E1" w14:textId="77777777" w:rsidR="00E62FE0" w:rsidRPr="00E62FE0" w:rsidRDefault="00E62FE0" w:rsidP="00E62FE0">
      <w:pPr>
        <w:pStyle w:val="Default"/>
        <w:jc w:val="both"/>
        <w:rPr>
          <w:color w:val="221F1F"/>
          <w:sz w:val="22"/>
          <w:szCs w:val="22"/>
        </w:rPr>
      </w:pPr>
      <w:r>
        <w:rPr>
          <w:bCs/>
        </w:rPr>
        <w:tab/>
      </w:r>
      <w:bookmarkStart w:id="3" w:name="_Hlk198382520"/>
      <w:r w:rsidRPr="00E62FE0">
        <w:rPr>
          <w:bCs/>
          <w:sz w:val="22"/>
          <w:szCs w:val="22"/>
        </w:rPr>
        <w:t>“</w:t>
      </w:r>
      <w:r w:rsidRPr="00E62FE0">
        <w:rPr>
          <w:b/>
          <w:bCs/>
          <w:i/>
          <w:iCs/>
          <w:color w:val="221F1F"/>
          <w:sz w:val="22"/>
          <w:szCs w:val="22"/>
        </w:rPr>
        <w:t xml:space="preserve">27. Court may set aside judgment given in default </w:t>
      </w:r>
    </w:p>
    <w:p w14:paraId="5483D8EB" w14:textId="77777777" w:rsidR="00E62FE0" w:rsidRPr="00E62FE0" w:rsidRDefault="00E62FE0" w:rsidP="00E62FE0">
      <w:pPr>
        <w:pStyle w:val="Default"/>
        <w:ind w:left="720"/>
        <w:jc w:val="both"/>
        <w:rPr>
          <w:sz w:val="22"/>
          <w:szCs w:val="22"/>
        </w:rPr>
      </w:pPr>
      <w:r w:rsidRPr="00E62FE0">
        <w:rPr>
          <w:color w:val="221F1F"/>
          <w:sz w:val="22"/>
          <w:szCs w:val="22"/>
        </w:rPr>
        <w:t xml:space="preserve">(1) A party against whom judgment has been given in default, whether under these rules or under any other law, may make a court application, not later than one month after he has had knowledge of the judgment for the judgment to be set aside, </w:t>
      </w:r>
      <w:r>
        <w:rPr>
          <w:color w:val="221F1F"/>
          <w:sz w:val="22"/>
          <w:szCs w:val="22"/>
        </w:rPr>
        <w:t>……..</w:t>
      </w:r>
      <w:r w:rsidRPr="00E62FE0">
        <w:rPr>
          <w:sz w:val="22"/>
          <w:szCs w:val="22"/>
        </w:rPr>
        <w:t xml:space="preserve"> </w:t>
      </w:r>
    </w:p>
    <w:bookmarkEnd w:id="3"/>
    <w:p w14:paraId="61259EA3" w14:textId="77777777" w:rsidR="00E62FE0" w:rsidRDefault="00E62FE0" w:rsidP="00E62FE0">
      <w:pPr>
        <w:spacing w:after="0" w:line="240" w:lineRule="auto"/>
        <w:ind w:left="720"/>
        <w:jc w:val="both"/>
        <w:rPr>
          <w:rFonts w:ascii="Times New Roman" w:hAnsi="Times New Roman" w:cs="Times New Roman"/>
          <w:color w:val="221F1F"/>
        </w:rPr>
      </w:pPr>
      <w:r w:rsidRPr="00E62FE0">
        <w:rPr>
          <w:rFonts w:ascii="Times New Roman" w:hAnsi="Times New Roman" w:cs="Times New Roman"/>
          <w:color w:val="221F1F"/>
        </w:rPr>
        <w:t xml:space="preserve">(2) If the court is satisfied on an application </w:t>
      </w:r>
      <w:r>
        <w:rPr>
          <w:rFonts w:ascii="Times New Roman" w:hAnsi="Times New Roman" w:cs="Times New Roman"/>
          <w:color w:val="221F1F"/>
        </w:rPr>
        <w:t>……</w:t>
      </w:r>
      <w:r w:rsidRPr="00E62FE0">
        <w:rPr>
          <w:rFonts w:ascii="Times New Roman" w:hAnsi="Times New Roman" w:cs="Times New Roman"/>
          <w:color w:val="221F1F"/>
        </w:rPr>
        <w:t>that there is good and sufficient cause to do so, the court may set aside the judgment concerned and give leave to the defendant to defend or to the plaintiff to prosecute the action, on such terms as to costs and otherwise as the court considers just.</w:t>
      </w:r>
      <w:r>
        <w:rPr>
          <w:rFonts w:ascii="Times New Roman" w:hAnsi="Times New Roman" w:cs="Times New Roman"/>
          <w:color w:val="221F1F"/>
        </w:rPr>
        <w:t>”</w:t>
      </w:r>
    </w:p>
    <w:p w14:paraId="7B43C94C" w14:textId="77777777" w:rsidR="006F1711" w:rsidRDefault="006F1711" w:rsidP="00E62FE0">
      <w:pPr>
        <w:spacing w:after="0" w:line="240" w:lineRule="auto"/>
        <w:ind w:left="720"/>
        <w:jc w:val="both"/>
        <w:rPr>
          <w:rFonts w:ascii="Times New Roman" w:hAnsi="Times New Roman" w:cs="Times New Roman"/>
          <w:color w:val="221F1F"/>
        </w:rPr>
      </w:pPr>
    </w:p>
    <w:p w14:paraId="728E7300" w14:textId="77777777" w:rsidR="00341266" w:rsidRDefault="006F1711" w:rsidP="006F1711">
      <w:pPr>
        <w:spacing w:after="0" w:line="360" w:lineRule="auto"/>
        <w:jc w:val="both"/>
        <w:rPr>
          <w:rFonts w:ascii="Times New Roman" w:hAnsi="Times New Roman" w:cs="Times New Roman"/>
          <w:bCs/>
          <w:sz w:val="24"/>
          <w:szCs w:val="24"/>
        </w:rPr>
      </w:pPr>
      <w:r w:rsidRPr="006F1711">
        <w:rPr>
          <w:rFonts w:ascii="Times New Roman" w:hAnsi="Times New Roman" w:cs="Times New Roman"/>
          <w:bCs/>
          <w:sz w:val="24"/>
          <w:szCs w:val="24"/>
        </w:rPr>
        <w:tab/>
        <w:t xml:space="preserve">It </w:t>
      </w:r>
      <w:r>
        <w:rPr>
          <w:rFonts w:ascii="Times New Roman" w:hAnsi="Times New Roman" w:cs="Times New Roman"/>
          <w:bCs/>
          <w:sz w:val="24"/>
          <w:szCs w:val="24"/>
        </w:rPr>
        <w:t xml:space="preserve">is common cause that the order that the applicant </w:t>
      </w:r>
      <w:r w:rsidR="00450B1A">
        <w:rPr>
          <w:rFonts w:ascii="Times New Roman" w:hAnsi="Times New Roman" w:cs="Times New Roman"/>
          <w:bCs/>
          <w:sz w:val="24"/>
          <w:szCs w:val="24"/>
        </w:rPr>
        <w:t xml:space="preserve">sought </w:t>
      </w:r>
      <w:r>
        <w:rPr>
          <w:rFonts w:ascii="Times New Roman" w:hAnsi="Times New Roman" w:cs="Times New Roman"/>
          <w:bCs/>
          <w:sz w:val="24"/>
          <w:szCs w:val="24"/>
        </w:rPr>
        <w:t xml:space="preserve">to have rescinded was granted by this court on 1 March 2023 in </w:t>
      </w:r>
      <w:r w:rsidRPr="00F225DB">
        <w:rPr>
          <w:rFonts w:ascii="Times New Roman" w:hAnsi="Times New Roman" w:cs="Times New Roman"/>
          <w:bCs/>
          <w:color w:val="000000" w:themeColor="text1"/>
          <w:sz w:val="24"/>
          <w:szCs w:val="24"/>
        </w:rPr>
        <w:t xml:space="preserve">HC 7962/22. </w:t>
      </w:r>
      <w:r>
        <w:rPr>
          <w:rFonts w:ascii="Times New Roman" w:hAnsi="Times New Roman" w:cs="Times New Roman"/>
          <w:bCs/>
          <w:sz w:val="24"/>
          <w:szCs w:val="24"/>
        </w:rPr>
        <w:t xml:space="preserve">In that matter, the first respondent herein was the applicant, while the present applicant herein was cited as the third respondent. </w:t>
      </w:r>
      <w:r w:rsidR="00C1364D">
        <w:rPr>
          <w:rFonts w:ascii="Times New Roman" w:hAnsi="Times New Roman" w:cs="Times New Roman"/>
          <w:bCs/>
          <w:sz w:val="24"/>
          <w:szCs w:val="24"/>
        </w:rPr>
        <w:t xml:space="preserve">The second respondent herein was the second respondent in that matter. The deceased, who is now represented by the third respondent herein was the first respondent. It is also common </w:t>
      </w:r>
      <w:r w:rsidR="007E35E8">
        <w:rPr>
          <w:rFonts w:ascii="Times New Roman" w:hAnsi="Times New Roman" w:cs="Times New Roman"/>
          <w:bCs/>
          <w:sz w:val="24"/>
          <w:szCs w:val="24"/>
        </w:rPr>
        <w:t>cause that</w:t>
      </w:r>
      <w:r w:rsidR="00C1364D">
        <w:rPr>
          <w:rFonts w:ascii="Times New Roman" w:hAnsi="Times New Roman" w:cs="Times New Roman"/>
          <w:bCs/>
          <w:sz w:val="24"/>
          <w:szCs w:val="24"/>
        </w:rPr>
        <w:t xml:space="preserve"> at the time that the said order was granted, the deponent to the applicant’s founding affidavit was not yet a director of the applicant as he was only appointed on</w:t>
      </w:r>
      <w:r w:rsidR="00FD2549">
        <w:rPr>
          <w:rFonts w:ascii="Times New Roman" w:hAnsi="Times New Roman" w:cs="Times New Roman"/>
          <w:bCs/>
          <w:sz w:val="24"/>
          <w:szCs w:val="24"/>
        </w:rPr>
        <w:t xml:space="preserve"> </w:t>
      </w:r>
      <w:r w:rsidR="00450B1A">
        <w:rPr>
          <w:rFonts w:ascii="Times New Roman" w:hAnsi="Times New Roman" w:cs="Times New Roman"/>
          <w:bCs/>
          <w:sz w:val="24"/>
          <w:szCs w:val="24"/>
        </w:rPr>
        <w:t>24</w:t>
      </w:r>
      <w:r w:rsidR="00FD2549" w:rsidRPr="00450B1A">
        <w:rPr>
          <w:rFonts w:ascii="Times New Roman" w:hAnsi="Times New Roman" w:cs="Times New Roman"/>
          <w:bCs/>
          <w:color w:val="EE0000"/>
          <w:sz w:val="24"/>
          <w:szCs w:val="24"/>
        </w:rPr>
        <w:t xml:space="preserve"> </w:t>
      </w:r>
      <w:r w:rsidR="00FD2549" w:rsidRPr="00F225DB">
        <w:rPr>
          <w:rFonts w:ascii="Times New Roman" w:hAnsi="Times New Roman" w:cs="Times New Roman"/>
          <w:bCs/>
          <w:sz w:val="24"/>
          <w:szCs w:val="24"/>
        </w:rPr>
        <w:t xml:space="preserve">August 2024. </w:t>
      </w:r>
      <w:r w:rsidR="00FB1502">
        <w:rPr>
          <w:rFonts w:ascii="Times New Roman" w:hAnsi="Times New Roman" w:cs="Times New Roman"/>
          <w:bCs/>
          <w:sz w:val="24"/>
          <w:szCs w:val="24"/>
        </w:rPr>
        <w:t xml:space="preserve">The directors of the applicant were the deceased and the second respondent herein. </w:t>
      </w:r>
    </w:p>
    <w:p w14:paraId="5DDEB3B8" w14:textId="4929C7E6" w:rsidR="00235567" w:rsidRDefault="00FB1502" w:rsidP="006F17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705582">
        <w:rPr>
          <w:rFonts w:ascii="Times New Roman" w:hAnsi="Times New Roman" w:cs="Times New Roman"/>
          <w:bCs/>
          <w:sz w:val="24"/>
          <w:szCs w:val="24"/>
        </w:rPr>
        <w:t xml:space="preserve">The court’s view is that </w:t>
      </w:r>
      <w:r>
        <w:rPr>
          <w:rFonts w:ascii="Times New Roman" w:hAnsi="Times New Roman" w:cs="Times New Roman"/>
          <w:bCs/>
          <w:sz w:val="24"/>
          <w:szCs w:val="24"/>
        </w:rPr>
        <w:t xml:space="preserve">at the time that the default order was granted, the people who could speak authoritatively on behalf of the applicant were its directors then. Those are the people who represented </w:t>
      </w:r>
      <w:r w:rsidR="00705582">
        <w:rPr>
          <w:rFonts w:ascii="Times New Roman" w:hAnsi="Times New Roman" w:cs="Times New Roman"/>
          <w:bCs/>
          <w:sz w:val="24"/>
          <w:szCs w:val="24"/>
        </w:rPr>
        <w:t xml:space="preserve">applicant’s </w:t>
      </w:r>
      <w:r>
        <w:rPr>
          <w:rFonts w:ascii="Times New Roman" w:hAnsi="Times New Roman" w:cs="Times New Roman"/>
          <w:bCs/>
          <w:sz w:val="24"/>
          <w:szCs w:val="24"/>
        </w:rPr>
        <w:t>interest</w:t>
      </w:r>
      <w:r w:rsidR="00705582">
        <w:rPr>
          <w:rFonts w:ascii="Times New Roman" w:hAnsi="Times New Roman" w:cs="Times New Roman"/>
          <w:bCs/>
          <w:sz w:val="24"/>
          <w:szCs w:val="24"/>
        </w:rPr>
        <w:t>s</w:t>
      </w:r>
      <w:r>
        <w:rPr>
          <w:rFonts w:ascii="Times New Roman" w:hAnsi="Times New Roman" w:cs="Times New Roman"/>
          <w:bCs/>
          <w:sz w:val="24"/>
          <w:szCs w:val="24"/>
        </w:rPr>
        <w:t xml:space="preserve">, bearing in mind that the applicant was </w:t>
      </w:r>
      <w:r w:rsidR="0052697D">
        <w:rPr>
          <w:rFonts w:ascii="Times New Roman" w:hAnsi="Times New Roman" w:cs="Times New Roman"/>
          <w:bCs/>
          <w:sz w:val="24"/>
          <w:szCs w:val="24"/>
        </w:rPr>
        <w:t xml:space="preserve">also </w:t>
      </w:r>
      <w:r>
        <w:rPr>
          <w:rFonts w:ascii="Times New Roman" w:hAnsi="Times New Roman" w:cs="Times New Roman"/>
          <w:bCs/>
          <w:sz w:val="24"/>
          <w:szCs w:val="24"/>
        </w:rPr>
        <w:t xml:space="preserve">cited as a </w:t>
      </w:r>
      <w:r w:rsidR="00705582">
        <w:rPr>
          <w:rFonts w:ascii="Times New Roman" w:hAnsi="Times New Roman" w:cs="Times New Roman"/>
          <w:bCs/>
          <w:sz w:val="24"/>
          <w:szCs w:val="24"/>
        </w:rPr>
        <w:t xml:space="preserve">respondent </w:t>
      </w:r>
      <w:r>
        <w:rPr>
          <w:rFonts w:ascii="Times New Roman" w:hAnsi="Times New Roman" w:cs="Times New Roman"/>
          <w:bCs/>
          <w:sz w:val="24"/>
          <w:szCs w:val="24"/>
        </w:rPr>
        <w:t xml:space="preserve">in that matter. The second </w:t>
      </w:r>
      <w:r w:rsidR="005F3B80">
        <w:rPr>
          <w:rFonts w:ascii="Times New Roman" w:hAnsi="Times New Roman" w:cs="Times New Roman"/>
          <w:bCs/>
          <w:sz w:val="24"/>
          <w:szCs w:val="24"/>
        </w:rPr>
        <w:t>and the third respondent</w:t>
      </w:r>
      <w:r w:rsidR="00705582">
        <w:rPr>
          <w:rFonts w:ascii="Times New Roman" w:hAnsi="Times New Roman" w:cs="Times New Roman"/>
          <w:bCs/>
          <w:sz w:val="24"/>
          <w:szCs w:val="24"/>
        </w:rPr>
        <w:t>s</w:t>
      </w:r>
      <w:r w:rsidR="005F3B80">
        <w:rPr>
          <w:rFonts w:ascii="Times New Roman" w:hAnsi="Times New Roman" w:cs="Times New Roman"/>
          <w:bCs/>
          <w:sz w:val="24"/>
          <w:szCs w:val="24"/>
        </w:rPr>
        <w:t xml:space="preserve"> intimated that they were aware of the order and they chose not to contest it because as the directors of the applicant, they considered it to be in the best interests of the applicant to have the caveat in place. </w:t>
      </w:r>
    </w:p>
    <w:p w14:paraId="43A18943" w14:textId="77777777" w:rsidR="005F3B80" w:rsidRDefault="005F3B80" w:rsidP="006F17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deponent to the applicant’s founding affidavit finds himself in a very precarious position. This is because once the people who were the custodians of the applicant’s affairs </w:t>
      </w:r>
      <w:r w:rsidR="00705582">
        <w:rPr>
          <w:rFonts w:ascii="Times New Roman" w:hAnsi="Times New Roman" w:cs="Times New Roman"/>
          <w:bCs/>
          <w:sz w:val="24"/>
          <w:szCs w:val="24"/>
        </w:rPr>
        <w:t xml:space="preserve">at </w:t>
      </w:r>
      <w:r w:rsidR="00705582">
        <w:rPr>
          <w:rFonts w:ascii="Times New Roman" w:hAnsi="Times New Roman" w:cs="Times New Roman"/>
          <w:bCs/>
          <w:sz w:val="24"/>
          <w:szCs w:val="24"/>
        </w:rPr>
        <w:lastRenderedPageBreak/>
        <w:t xml:space="preserve">the material time </w:t>
      </w:r>
      <w:r>
        <w:rPr>
          <w:rFonts w:ascii="Times New Roman" w:hAnsi="Times New Roman" w:cs="Times New Roman"/>
          <w:bCs/>
          <w:sz w:val="24"/>
          <w:szCs w:val="24"/>
        </w:rPr>
        <w:t xml:space="preserve">claimed to have been aware of the court order at the time that it was granted, then his argument that the application was not properly served on the applicant, and that there was no proof of service of the court order on the second and third respondents becomes unsustainable. The deponent only became a director of the applicant a year after the order was granted. </w:t>
      </w:r>
      <w:r w:rsidR="00705582">
        <w:rPr>
          <w:rFonts w:ascii="Times New Roman" w:hAnsi="Times New Roman" w:cs="Times New Roman"/>
          <w:bCs/>
          <w:sz w:val="24"/>
          <w:szCs w:val="24"/>
        </w:rPr>
        <w:t xml:space="preserve">He is therefore bound by the decisions that were made by the directors who represented the applicant before his appointment. </w:t>
      </w:r>
      <w:r>
        <w:rPr>
          <w:rFonts w:ascii="Times New Roman" w:hAnsi="Times New Roman" w:cs="Times New Roman"/>
          <w:bCs/>
          <w:sz w:val="24"/>
          <w:szCs w:val="24"/>
        </w:rPr>
        <w:t xml:space="preserve">He cannot authoritatively speak on behalf of the applicant and its directors </w:t>
      </w:r>
      <w:r w:rsidR="00705582">
        <w:rPr>
          <w:rFonts w:ascii="Times New Roman" w:hAnsi="Times New Roman" w:cs="Times New Roman"/>
          <w:bCs/>
          <w:sz w:val="24"/>
          <w:szCs w:val="24"/>
        </w:rPr>
        <w:t xml:space="preserve">then, </w:t>
      </w:r>
      <w:r>
        <w:rPr>
          <w:rFonts w:ascii="Times New Roman" w:hAnsi="Times New Roman" w:cs="Times New Roman"/>
          <w:bCs/>
          <w:sz w:val="24"/>
          <w:szCs w:val="24"/>
        </w:rPr>
        <w:t xml:space="preserve">on issues that occurred before he assumed the position of a director. </w:t>
      </w:r>
    </w:p>
    <w:p w14:paraId="271BAD01" w14:textId="77777777" w:rsidR="005F3B80" w:rsidRDefault="005F3B80" w:rsidP="005F3B80">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What further </w:t>
      </w:r>
      <w:r w:rsidR="00272E6B">
        <w:rPr>
          <w:rFonts w:ascii="Times New Roman" w:hAnsi="Times New Roman" w:cs="Times New Roman"/>
          <w:bCs/>
          <w:sz w:val="24"/>
          <w:szCs w:val="24"/>
        </w:rPr>
        <w:t xml:space="preserve">complicates the deponent’s own cause </w:t>
      </w:r>
      <w:r w:rsidR="00A926E0">
        <w:rPr>
          <w:rFonts w:ascii="Times New Roman" w:hAnsi="Times New Roman" w:cs="Times New Roman"/>
          <w:bCs/>
          <w:sz w:val="24"/>
          <w:szCs w:val="24"/>
        </w:rPr>
        <w:t>is that his ascension to the position of director in the applicant is contested</w:t>
      </w:r>
      <w:r w:rsidR="00705582">
        <w:rPr>
          <w:rFonts w:ascii="Times New Roman" w:hAnsi="Times New Roman" w:cs="Times New Roman"/>
          <w:bCs/>
          <w:sz w:val="24"/>
          <w:szCs w:val="24"/>
        </w:rPr>
        <w:t xml:space="preserve"> by his fellow directors. </w:t>
      </w:r>
      <w:r w:rsidR="00A926E0">
        <w:rPr>
          <w:rFonts w:ascii="Times New Roman" w:hAnsi="Times New Roman" w:cs="Times New Roman"/>
          <w:bCs/>
          <w:sz w:val="24"/>
          <w:szCs w:val="24"/>
        </w:rPr>
        <w:t xml:space="preserve">Also contested is the resolution which purportedly authorised him to institute these proceedings on behalf of the applicant. That resolution was signed by the </w:t>
      </w:r>
      <w:r w:rsidR="00761D26">
        <w:rPr>
          <w:rFonts w:ascii="Times New Roman" w:hAnsi="Times New Roman" w:cs="Times New Roman"/>
          <w:bCs/>
          <w:sz w:val="24"/>
          <w:szCs w:val="24"/>
        </w:rPr>
        <w:t xml:space="preserve">Farai Chinoda whose position as director is also contested by the </w:t>
      </w:r>
      <w:r w:rsidR="00705582">
        <w:rPr>
          <w:rFonts w:ascii="Times New Roman" w:hAnsi="Times New Roman" w:cs="Times New Roman"/>
          <w:bCs/>
          <w:sz w:val="24"/>
          <w:szCs w:val="24"/>
        </w:rPr>
        <w:t xml:space="preserve">second and third </w:t>
      </w:r>
      <w:r w:rsidR="00761D26">
        <w:rPr>
          <w:rFonts w:ascii="Times New Roman" w:hAnsi="Times New Roman" w:cs="Times New Roman"/>
          <w:bCs/>
          <w:sz w:val="24"/>
          <w:szCs w:val="24"/>
        </w:rPr>
        <w:t xml:space="preserve">respondents. The deponent was challenged to furnish proof of the notice of the board meeting of 19 September 2024 and the minutes of the same meeting that yielded the maligned resolution. </w:t>
      </w:r>
      <w:r w:rsidR="00705582">
        <w:rPr>
          <w:rFonts w:ascii="Times New Roman" w:hAnsi="Times New Roman" w:cs="Times New Roman"/>
          <w:bCs/>
          <w:sz w:val="24"/>
          <w:szCs w:val="24"/>
        </w:rPr>
        <w:t xml:space="preserve">He </w:t>
      </w:r>
      <w:r w:rsidR="00761D26">
        <w:rPr>
          <w:rFonts w:ascii="Times New Roman" w:hAnsi="Times New Roman" w:cs="Times New Roman"/>
          <w:bCs/>
          <w:sz w:val="24"/>
          <w:szCs w:val="24"/>
        </w:rPr>
        <w:t xml:space="preserve">did not furnish the requested information in his answering affidavit. </w:t>
      </w:r>
    </w:p>
    <w:p w14:paraId="6BC8B4C9" w14:textId="14A7F38B" w:rsidR="006113D7" w:rsidRDefault="00141390" w:rsidP="006F171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113D7">
        <w:rPr>
          <w:rFonts w:ascii="Times New Roman" w:hAnsi="Times New Roman" w:cs="Times New Roman"/>
          <w:bCs/>
          <w:sz w:val="24"/>
          <w:szCs w:val="24"/>
        </w:rPr>
        <w:t>It is from th</w:t>
      </w:r>
      <w:r w:rsidR="00705582">
        <w:rPr>
          <w:rFonts w:ascii="Times New Roman" w:hAnsi="Times New Roman" w:cs="Times New Roman"/>
          <w:bCs/>
          <w:sz w:val="24"/>
          <w:szCs w:val="24"/>
        </w:rPr>
        <w:t xml:space="preserve">is </w:t>
      </w:r>
      <w:r w:rsidR="006113D7">
        <w:rPr>
          <w:rFonts w:ascii="Times New Roman" w:hAnsi="Times New Roman" w:cs="Times New Roman"/>
          <w:bCs/>
          <w:sz w:val="24"/>
          <w:szCs w:val="24"/>
        </w:rPr>
        <w:t xml:space="preserve">maze of confusion that the deponent’s claim that the applicant became aware of the </w:t>
      </w:r>
      <w:r w:rsidR="00705582">
        <w:rPr>
          <w:rFonts w:ascii="Times New Roman" w:hAnsi="Times New Roman" w:cs="Times New Roman"/>
          <w:bCs/>
          <w:sz w:val="24"/>
          <w:szCs w:val="24"/>
        </w:rPr>
        <w:t xml:space="preserve">order </w:t>
      </w:r>
      <w:r w:rsidR="006113D7">
        <w:rPr>
          <w:rFonts w:ascii="Times New Roman" w:hAnsi="Times New Roman" w:cs="Times New Roman"/>
          <w:bCs/>
          <w:sz w:val="24"/>
          <w:szCs w:val="24"/>
        </w:rPr>
        <w:t xml:space="preserve">on 19 September 2024 must be considered. In light of the second and third respondents avowed position of not only disputing the deponent’s directorship, but the resolution which </w:t>
      </w:r>
      <w:r w:rsidR="00705582">
        <w:rPr>
          <w:rFonts w:ascii="Times New Roman" w:hAnsi="Times New Roman" w:cs="Times New Roman"/>
          <w:bCs/>
          <w:sz w:val="24"/>
          <w:szCs w:val="24"/>
        </w:rPr>
        <w:t>led to the institution of these proceedings</w:t>
      </w:r>
      <w:r w:rsidR="006113D7">
        <w:rPr>
          <w:rFonts w:ascii="Times New Roman" w:hAnsi="Times New Roman" w:cs="Times New Roman"/>
          <w:bCs/>
          <w:sz w:val="24"/>
          <w:szCs w:val="24"/>
        </w:rPr>
        <w:t xml:space="preserve">, it must have occurred to the applicant that his </w:t>
      </w:r>
      <w:r w:rsidR="007E5C65">
        <w:rPr>
          <w:rFonts w:ascii="Times New Roman" w:hAnsi="Times New Roman" w:cs="Times New Roman"/>
          <w:bCs/>
          <w:sz w:val="24"/>
          <w:szCs w:val="24"/>
        </w:rPr>
        <w:t xml:space="preserve">assertion </w:t>
      </w:r>
      <w:r w:rsidR="00705582">
        <w:rPr>
          <w:rFonts w:ascii="Times New Roman" w:hAnsi="Times New Roman" w:cs="Times New Roman"/>
          <w:bCs/>
          <w:sz w:val="24"/>
          <w:szCs w:val="24"/>
        </w:rPr>
        <w:t xml:space="preserve">of </w:t>
      </w:r>
      <w:r w:rsidR="006113D7">
        <w:rPr>
          <w:rFonts w:ascii="Times New Roman" w:hAnsi="Times New Roman" w:cs="Times New Roman"/>
          <w:bCs/>
          <w:sz w:val="24"/>
          <w:szCs w:val="24"/>
        </w:rPr>
        <w:t xml:space="preserve">when the applicant became aware of the judgment was untenable. </w:t>
      </w:r>
    </w:p>
    <w:p w14:paraId="0DCC706B" w14:textId="1AB8FACD" w:rsidR="000F1099" w:rsidRDefault="006113D7" w:rsidP="006113D7">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This court is least satisfied that the applicant only became aware of the court order on 19 September 2024. The court is satisfied with the second and third respondents’ </w:t>
      </w:r>
      <w:r w:rsidR="00705582">
        <w:rPr>
          <w:rFonts w:ascii="Times New Roman" w:hAnsi="Times New Roman" w:cs="Times New Roman"/>
          <w:bCs/>
          <w:sz w:val="24"/>
          <w:szCs w:val="24"/>
        </w:rPr>
        <w:t xml:space="preserve">submission </w:t>
      </w:r>
      <w:r>
        <w:rPr>
          <w:rFonts w:ascii="Times New Roman" w:hAnsi="Times New Roman" w:cs="Times New Roman"/>
          <w:bCs/>
          <w:sz w:val="24"/>
          <w:szCs w:val="24"/>
        </w:rPr>
        <w:t xml:space="preserve">that as </w:t>
      </w:r>
      <w:r w:rsidR="00705582">
        <w:rPr>
          <w:rFonts w:ascii="Times New Roman" w:hAnsi="Times New Roman" w:cs="Times New Roman"/>
          <w:bCs/>
          <w:sz w:val="24"/>
          <w:szCs w:val="24"/>
        </w:rPr>
        <w:t xml:space="preserve">the </w:t>
      </w:r>
      <w:r>
        <w:rPr>
          <w:rFonts w:ascii="Times New Roman" w:hAnsi="Times New Roman" w:cs="Times New Roman"/>
          <w:bCs/>
          <w:sz w:val="24"/>
          <w:szCs w:val="24"/>
        </w:rPr>
        <w:t xml:space="preserve">directors of the applicant, they were aware of the court order as far back as March 2023, being the </w:t>
      </w:r>
      <w:r w:rsidR="00705582">
        <w:rPr>
          <w:rFonts w:ascii="Times New Roman" w:hAnsi="Times New Roman" w:cs="Times New Roman"/>
          <w:bCs/>
          <w:sz w:val="24"/>
          <w:szCs w:val="24"/>
        </w:rPr>
        <w:t xml:space="preserve">time </w:t>
      </w:r>
      <w:r>
        <w:rPr>
          <w:rFonts w:ascii="Times New Roman" w:hAnsi="Times New Roman" w:cs="Times New Roman"/>
          <w:bCs/>
          <w:sz w:val="24"/>
          <w:szCs w:val="24"/>
        </w:rPr>
        <w:t xml:space="preserve">that it was granted. </w:t>
      </w:r>
      <w:r w:rsidR="00726871">
        <w:rPr>
          <w:rFonts w:ascii="Times New Roman" w:hAnsi="Times New Roman" w:cs="Times New Roman"/>
          <w:bCs/>
          <w:sz w:val="24"/>
          <w:szCs w:val="24"/>
        </w:rPr>
        <w:t xml:space="preserve">The applicant ought to have made the application for rescission of the order within </w:t>
      </w:r>
      <w:r w:rsidR="00143AAF">
        <w:rPr>
          <w:rFonts w:ascii="Times New Roman" w:hAnsi="Times New Roman" w:cs="Times New Roman"/>
          <w:bCs/>
          <w:sz w:val="24"/>
          <w:szCs w:val="24"/>
        </w:rPr>
        <w:t>one</w:t>
      </w:r>
      <w:r w:rsidR="00726871">
        <w:rPr>
          <w:rFonts w:ascii="Times New Roman" w:hAnsi="Times New Roman" w:cs="Times New Roman"/>
          <w:bCs/>
          <w:sz w:val="24"/>
          <w:szCs w:val="24"/>
        </w:rPr>
        <w:t xml:space="preserve"> month of becoming aware of its existence. The </w:t>
      </w:r>
      <w:r w:rsidR="000F1099">
        <w:rPr>
          <w:rFonts w:ascii="Times New Roman" w:hAnsi="Times New Roman" w:cs="Times New Roman"/>
          <w:bCs/>
          <w:sz w:val="24"/>
          <w:szCs w:val="24"/>
        </w:rPr>
        <w:t xml:space="preserve">deponent cannot conveniently seek to attribute the </w:t>
      </w:r>
      <w:r w:rsidR="00726871">
        <w:rPr>
          <w:rFonts w:ascii="Times New Roman" w:hAnsi="Times New Roman" w:cs="Times New Roman"/>
          <w:bCs/>
          <w:sz w:val="24"/>
          <w:szCs w:val="24"/>
        </w:rPr>
        <w:t xml:space="preserve">applicant’s knowledge of the default </w:t>
      </w:r>
      <w:r w:rsidR="000F1099">
        <w:rPr>
          <w:rFonts w:ascii="Times New Roman" w:hAnsi="Times New Roman" w:cs="Times New Roman"/>
          <w:bCs/>
          <w:sz w:val="24"/>
          <w:szCs w:val="24"/>
        </w:rPr>
        <w:t xml:space="preserve">order to the time of his appointment as its director, </w:t>
      </w:r>
      <w:r w:rsidR="00705582">
        <w:rPr>
          <w:rFonts w:ascii="Times New Roman" w:hAnsi="Times New Roman" w:cs="Times New Roman"/>
          <w:bCs/>
          <w:sz w:val="24"/>
          <w:szCs w:val="24"/>
        </w:rPr>
        <w:t xml:space="preserve">when </w:t>
      </w:r>
      <w:r w:rsidR="000F1099">
        <w:rPr>
          <w:rFonts w:ascii="Times New Roman" w:hAnsi="Times New Roman" w:cs="Times New Roman"/>
          <w:bCs/>
          <w:sz w:val="24"/>
          <w:szCs w:val="24"/>
        </w:rPr>
        <w:t xml:space="preserve">there were other directors who were </w:t>
      </w:r>
      <w:r w:rsidR="00AB7D31">
        <w:rPr>
          <w:rFonts w:ascii="Times New Roman" w:hAnsi="Times New Roman" w:cs="Times New Roman"/>
          <w:bCs/>
          <w:sz w:val="24"/>
          <w:szCs w:val="24"/>
        </w:rPr>
        <w:t xml:space="preserve">already </w:t>
      </w:r>
      <w:r w:rsidR="000F1099">
        <w:rPr>
          <w:rFonts w:ascii="Times New Roman" w:hAnsi="Times New Roman" w:cs="Times New Roman"/>
          <w:bCs/>
          <w:sz w:val="24"/>
          <w:szCs w:val="24"/>
        </w:rPr>
        <w:t xml:space="preserve">aware of the existence of that same order long before his appointment. In </w:t>
      </w:r>
      <w:r w:rsidR="000F1099" w:rsidRPr="000F1099">
        <w:rPr>
          <w:rFonts w:ascii="Times New Roman" w:hAnsi="Times New Roman" w:cs="Times New Roman"/>
          <w:bCs/>
          <w:i/>
          <w:iCs/>
          <w:sz w:val="24"/>
          <w:szCs w:val="24"/>
        </w:rPr>
        <w:t xml:space="preserve">Cape Valley Properties (Private) Limited &amp; 2 Ors </w:t>
      </w:r>
      <w:r w:rsidR="000F1099" w:rsidRPr="00F225DB">
        <w:rPr>
          <w:rFonts w:ascii="Times New Roman" w:hAnsi="Times New Roman" w:cs="Times New Roman"/>
          <w:bCs/>
          <w:sz w:val="24"/>
          <w:szCs w:val="24"/>
        </w:rPr>
        <w:t xml:space="preserve">v </w:t>
      </w:r>
      <w:r w:rsidR="000F1099" w:rsidRPr="000F1099">
        <w:rPr>
          <w:rFonts w:ascii="Times New Roman" w:hAnsi="Times New Roman" w:cs="Times New Roman"/>
          <w:bCs/>
          <w:i/>
          <w:iCs/>
          <w:sz w:val="24"/>
          <w:szCs w:val="24"/>
        </w:rPr>
        <w:t>Chiduku &amp; Ors</w:t>
      </w:r>
      <w:r w:rsidR="000F1099">
        <w:rPr>
          <w:rStyle w:val="FootnoteReference"/>
          <w:rFonts w:ascii="Times New Roman" w:hAnsi="Times New Roman" w:cs="Times New Roman"/>
          <w:bCs/>
          <w:sz w:val="24"/>
          <w:szCs w:val="24"/>
        </w:rPr>
        <w:t xml:space="preserve">  </w:t>
      </w:r>
      <w:r w:rsidR="000F1099">
        <w:rPr>
          <w:rFonts w:ascii="Times New Roman" w:hAnsi="Times New Roman" w:cs="Times New Roman"/>
          <w:bCs/>
          <w:sz w:val="24"/>
          <w:szCs w:val="24"/>
        </w:rPr>
        <w:t>SC 113/23</w:t>
      </w:r>
      <w:r w:rsidR="00AB7D31">
        <w:rPr>
          <w:rFonts w:ascii="Times New Roman" w:hAnsi="Times New Roman" w:cs="Times New Roman"/>
          <w:bCs/>
          <w:sz w:val="24"/>
          <w:szCs w:val="24"/>
        </w:rPr>
        <w:t>,</w:t>
      </w:r>
      <w:r w:rsidR="000F1099">
        <w:rPr>
          <w:rFonts w:ascii="Times New Roman" w:hAnsi="Times New Roman" w:cs="Times New Roman"/>
          <w:bCs/>
          <w:sz w:val="24"/>
          <w:szCs w:val="24"/>
        </w:rPr>
        <w:t xml:space="preserve"> at pages 3-4 of the judgment, the </w:t>
      </w:r>
      <w:r w:rsidR="00AB7D31">
        <w:rPr>
          <w:rFonts w:ascii="Times New Roman" w:hAnsi="Times New Roman" w:cs="Times New Roman"/>
          <w:bCs/>
          <w:sz w:val="24"/>
          <w:szCs w:val="24"/>
        </w:rPr>
        <w:t xml:space="preserve">court </w:t>
      </w:r>
      <w:r w:rsidR="000F1099">
        <w:rPr>
          <w:rFonts w:ascii="Times New Roman" w:hAnsi="Times New Roman" w:cs="Times New Roman"/>
          <w:bCs/>
          <w:sz w:val="24"/>
          <w:szCs w:val="24"/>
        </w:rPr>
        <w:t>reiterated the need to comply with the rules of court when it said:</w:t>
      </w:r>
    </w:p>
    <w:p w14:paraId="770173D6" w14:textId="77777777" w:rsidR="005F3B80" w:rsidRDefault="000F1099" w:rsidP="00BD6CC6">
      <w:pPr>
        <w:spacing w:after="0" w:line="240" w:lineRule="auto"/>
        <w:ind w:left="720"/>
        <w:jc w:val="both"/>
        <w:rPr>
          <w:rFonts w:ascii="Times New Roman" w:hAnsi="Times New Roman" w:cs="Times New Roman"/>
          <w:bCs/>
        </w:rPr>
      </w:pPr>
      <w:r w:rsidRPr="00BD6CC6">
        <w:rPr>
          <w:rFonts w:ascii="Times New Roman" w:hAnsi="Times New Roman" w:cs="Times New Roman"/>
          <w:bCs/>
        </w:rPr>
        <w:t xml:space="preserve">“[17] A party who seeks the assistance of the </w:t>
      </w:r>
      <w:r w:rsidR="00BD6CC6" w:rsidRPr="00BD6CC6">
        <w:rPr>
          <w:rFonts w:ascii="Times New Roman" w:hAnsi="Times New Roman" w:cs="Times New Roman"/>
          <w:bCs/>
        </w:rPr>
        <w:t>court must do so in terms of the court’s rules. Disregarding the court’s rules renders the applicant’s application fatally defective and a nullity……</w:t>
      </w:r>
      <w:r w:rsidRPr="00BD6CC6">
        <w:rPr>
          <w:rFonts w:ascii="Times New Roman" w:hAnsi="Times New Roman" w:cs="Times New Roman"/>
          <w:bCs/>
        </w:rPr>
        <w:t xml:space="preserve"> </w:t>
      </w:r>
      <w:r w:rsidR="00BD6CC6">
        <w:rPr>
          <w:rFonts w:ascii="Times New Roman" w:hAnsi="Times New Roman" w:cs="Times New Roman"/>
          <w:bCs/>
        </w:rPr>
        <w:t>“</w:t>
      </w:r>
    </w:p>
    <w:p w14:paraId="0DC5D713" w14:textId="77777777" w:rsidR="00BD6CC6" w:rsidRDefault="00BD6CC6" w:rsidP="00BD6CC6">
      <w:pPr>
        <w:spacing w:after="0" w:line="240" w:lineRule="auto"/>
        <w:jc w:val="both"/>
        <w:rPr>
          <w:rFonts w:ascii="Times New Roman" w:hAnsi="Times New Roman" w:cs="Times New Roman"/>
          <w:bCs/>
        </w:rPr>
      </w:pPr>
    </w:p>
    <w:p w14:paraId="79D8B0F7" w14:textId="77777777" w:rsidR="00BD6CC6" w:rsidRPr="00BD6CC6" w:rsidRDefault="00BD6CC6" w:rsidP="00BD6CC6">
      <w:pPr>
        <w:spacing w:after="0" w:line="360" w:lineRule="auto"/>
        <w:jc w:val="both"/>
        <w:rPr>
          <w:rFonts w:ascii="Times New Roman" w:hAnsi="Times New Roman" w:cs="Times New Roman"/>
          <w:bCs/>
          <w:sz w:val="24"/>
          <w:szCs w:val="24"/>
        </w:rPr>
      </w:pPr>
      <w:r w:rsidRPr="00BD6CC6">
        <w:rPr>
          <w:rFonts w:ascii="Times New Roman" w:hAnsi="Times New Roman" w:cs="Times New Roman"/>
          <w:bCs/>
          <w:sz w:val="24"/>
          <w:szCs w:val="24"/>
        </w:rPr>
        <w:lastRenderedPageBreak/>
        <w:tab/>
        <w:t xml:space="preserve">The </w:t>
      </w:r>
      <w:r>
        <w:rPr>
          <w:rFonts w:ascii="Times New Roman" w:hAnsi="Times New Roman" w:cs="Times New Roman"/>
          <w:bCs/>
          <w:sz w:val="24"/>
          <w:szCs w:val="24"/>
        </w:rPr>
        <w:t xml:space="preserve">above principle is even more apposite in those instances where the rules of court clearly delineate the time frames within which </w:t>
      </w:r>
      <w:r w:rsidR="00AB7D31">
        <w:rPr>
          <w:rFonts w:ascii="Times New Roman" w:hAnsi="Times New Roman" w:cs="Times New Roman"/>
          <w:bCs/>
          <w:sz w:val="24"/>
          <w:szCs w:val="24"/>
        </w:rPr>
        <w:t xml:space="preserve">certain processes </w:t>
      </w:r>
      <w:r w:rsidR="0085758E">
        <w:rPr>
          <w:rFonts w:ascii="Times New Roman" w:hAnsi="Times New Roman" w:cs="Times New Roman"/>
          <w:bCs/>
          <w:sz w:val="24"/>
          <w:szCs w:val="24"/>
        </w:rPr>
        <w:t xml:space="preserve">must be </w:t>
      </w:r>
      <w:r w:rsidR="00AB7D31">
        <w:rPr>
          <w:rFonts w:ascii="Times New Roman" w:hAnsi="Times New Roman" w:cs="Times New Roman"/>
          <w:bCs/>
          <w:sz w:val="24"/>
          <w:szCs w:val="24"/>
        </w:rPr>
        <w:t>under</w:t>
      </w:r>
      <w:r w:rsidR="0085758E">
        <w:rPr>
          <w:rFonts w:ascii="Times New Roman" w:hAnsi="Times New Roman" w:cs="Times New Roman"/>
          <w:bCs/>
          <w:sz w:val="24"/>
          <w:szCs w:val="24"/>
        </w:rPr>
        <w:t>taken. The applicant’s failure to file this application within thirty days of becoming aware of the default order ma</w:t>
      </w:r>
      <w:r w:rsidR="00C22044">
        <w:rPr>
          <w:rFonts w:ascii="Times New Roman" w:hAnsi="Times New Roman" w:cs="Times New Roman"/>
          <w:bCs/>
          <w:sz w:val="24"/>
          <w:szCs w:val="24"/>
        </w:rPr>
        <w:t>de</w:t>
      </w:r>
      <w:r w:rsidR="0085758E">
        <w:rPr>
          <w:rFonts w:ascii="Times New Roman" w:hAnsi="Times New Roman" w:cs="Times New Roman"/>
          <w:bCs/>
          <w:sz w:val="24"/>
          <w:szCs w:val="24"/>
        </w:rPr>
        <w:t xml:space="preserve"> the application defective. </w:t>
      </w:r>
      <w:r w:rsidR="00C22044">
        <w:rPr>
          <w:rFonts w:ascii="Times New Roman" w:hAnsi="Times New Roman" w:cs="Times New Roman"/>
          <w:bCs/>
          <w:sz w:val="24"/>
          <w:szCs w:val="24"/>
        </w:rPr>
        <w:t xml:space="preserve">The applicant ought to have sought condonation before approaching the court with the present application. </w:t>
      </w:r>
      <w:r w:rsidR="0085758E">
        <w:rPr>
          <w:rFonts w:ascii="Times New Roman" w:hAnsi="Times New Roman" w:cs="Times New Roman"/>
          <w:bCs/>
          <w:sz w:val="24"/>
          <w:szCs w:val="24"/>
        </w:rPr>
        <w:t xml:space="preserve">There is merit in the second and third respondents’ preliminary objection that the application is not properly before the court. Having reached that conclusion, it is unnecessary for the court to traverse the merits of the application. </w:t>
      </w:r>
    </w:p>
    <w:p w14:paraId="1213AB4A" w14:textId="179EF281" w:rsidR="00F225DB" w:rsidRDefault="00F04102" w:rsidP="00F225DB">
      <w:pPr>
        <w:rPr>
          <w:rFonts w:ascii="Times New Roman" w:hAnsi="Times New Roman" w:cs="Times New Roman"/>
          <w:b/>
          <w:sz w:val="24"/>
          <w:szCs w:val="24"/>
        </w:rPr>
      </w:pPr>
      <w:r>
        <w:rPr>
          <w:rFonts w:ascii="Times New Roman" w:hAnsi="Times New Roman" w:cs="Times New Roman"/>
          <w:b/>
          <w:sz w:val="24"/>
          <w:szCs w:val="24"/>
        </w:rPr>
        <w:t xml:space="preserve">Costs </w:t>
      </w:r>
    </w:p>
    <w:p w14:paraId="5E168730" w14:textId="6F3652CE" w:rsidR="00123866" w:rsidRPr="00F225DB" w:rsidRDefault="0085758E" w:rsidP="00B70DBB">
      <w:pPr>
        <w:spacing w:line="360" w:lineRule="auto"/>
        <w:ind w:firstLine="720"/>
        <w:rPr>
          <w:rFonts w:ascii="Times New Roman" w:hAnsi="Times New Roman" w:cs="Times New Roman"/>
          <w:b/>
          <w:sz w:val="24"/>
          <w:szCs w:val="24"/>
        </w:rPr>
      </w:pPr>
      <w:r>
        <w:rPr>
          <w:rFonts w:ascii="Times New Roman" w:hAnsi="Times New Roman" w:cs="Times New Roman"/>
          <w:bCs/>
          <w:sz w:val="24"/>
          <w:szCs w:val="24"/>
        </w:rPr>
        <w:t xml:space="preserve">The general rule is that costs follow the case, and I find no reason not to relate to this general principle and award costs to the second and third respondents as the successful parties. </w:t>
      </w:r>
    </w:p>
    <w:p w14:paraId="214D2231" w14:textId="77777777" w:rsidR="00123866" w:rsidRDefault="00F04102" w:rsidP="00BF390A">
      <w:pPr>
        <w:spacing w:line="360" w:lineRule="auto"/>
        <w:rPr>
          <w:rFonts w:ascii="Times New Roman" w:hAnsi="Times New Roman" w:cs="Times New Roman"/>
          <w:b/>
          <w:bCs/>
          <w:sz w:val="24"/>
          <w:szCs w:val="24"/>
        </w:rPr>
      </w:pPr>
      <w:r>
        <w:rPr>
          <w:rFonts w:ascii="Times New Roman" w:hAnsi="Times New Roman" w:cs="Times New Roman"/>
          <w:bCs/>
          <w:sz w:val="24"/>
          <w:szCs w:val="24"/>
        </w:rPr>
        <w:t xml:space="preserve"> </w:t>
      </w:r>
      <w:r>
        <w:rPr>
          <w:rFonts w:ascii="Times New Roman" w:hAnsi="Times New Roman" w:cs="Times New Roman"/>
          <w:b/>
          <w:bCs/>
          <w:sz w:val="24"/>
          <w:szCs w:val="24"/>
        </w:rPr>
        <w:t>Resultantly it is ordered that:</w:t>
      </w:r>
    </w:p>
    <w:p w14:paraId="27257EE7" w14:textId="77777777" w:rsidR="00123866" w:rsidRDefault="00F04102" w:rsidP="0085758E">
      <w:pPr>
        <w:numPr>
          <w:ilvl w:val="0"/>
          <w:numId w:val="3"/>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The application is hereby </w:t>
      </w:r>
      <w:r w:rsidR="0085758E">
        <w:rPr>
          <w:rFonts w:ascii="Times New Roman" w:hAnsi="Times New Roman" w:cs="Times New Roman"/>
          <w:sz w:val="24"/>
          <w:szCs w:val="24"/>
        </w:rPr>
        <w:t xml:space="preserve">struck of the roll for being </w:t>
      </w:r>
      <w:r w:rsidR="00BF390A">
        <w:rPr>
          <w:rFonts w:ascii="Times New Roman" w:hAnsi="Times New Roman" w:cs="Times New Roman"/>
          <w:sz w:val="24"/>
          <w:szCs w:val="24"/>
        </w:rPr>
        <w:t>improperly before the court</w:t>
      </w:r>
      <w:r>
        <w:rPr>
          <w:rFonts w:ascii="Times New Roman" w:hAnsi="Times New Roman" w:cs="Times New Roman"/>
          <w:sz w:val="24"/>
          <w:szCs w:val="24"/>
        </w:rPr>
        <w:t>.</w:t>
      </w:r>
    </w:p>
    <w:p w14:paraId="64823A3C" w14:textId="77777777" w:rsidR="00123866" w:rsidRDefault="00F04102" w:rsidP="0085758E">
      <w:pPr>
        <w:numPr>
          <w:ilvl w:val="0"/>
          <w:numId w:val="3"/>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The applicant shall bear the </w:t>
      </w:r>
      <w:r w:rsidR="0085758E">
        <w:rPr>
          <w:rFonts w:ascii="Times New Roman" w:hAnsi="Times New Roman" w:cs="Times New Roman"/>
          <w:sz w:val="24"/>
          <w:szCs w:val="24"/>
        </w:rPr>
        <w:t xml:space="preserve">second and third </w:t>
      </w:r>
      <w:r>
        <w:rPr>
          <w:rFonts w:ascii="Times New Roman" w:hAnsi="Times New Roman" w:cs="Times New Roman"/>
          <w:sz w:val="24"/>
          <w:szCs w:val="24"/>
        </w:rPr>
        <w:t>respondent</w:t>
      </w:r>
      <w:r w:rsidR="0085758E">
        <w:rPr>
          <w:rFonts w:ascii="Times New Roman" w:hAnsi="Times New Roman" w:cs="Times New Roman"/>
          <w:sz w:val="24"/>
          <w:szCs w:val="24"/>
        </w:rPr>
        <w:t>s</w:t>
      </w:r>
      <w:r>
        <w:rPr>
          <w:rFonts w:ascii="Times New Roman" w:hAnsi="Times New Roman" w:cs="Times New Roman"/>
          <w:sz w:val="24"/>
          <w:szCs w:val="24"/>
        </w:rPr>
        <w:t>’ costs of suit</w:t>
      </w:r>
      <w:r w:rsidR="0085758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300F339" w14:textId="77777777" w:rsidR="00BF390A" w:rsidRDefault="00BF390A" w:rsidP="00BF390A">
      <w:pPr>
        <w:spacing w:after="0" w:line="276" w:lineRule="auto"/>
        <w:ind w:left="720"/>
        <w:rPr>
          <w:rFonts w:ascii="Times New Roman" w:hAnsi="Times New Roman" w:cs="Times New Roman"/>
          <w:sz w:val="24"/>
          <w:szCs w:val="24"/>
        </w:rPr>
      </w:pPr>
    </w:p>
    <w:p w14:paraId="067FD356" w14:textId="77777777" w:rsidR="00BF390A" w:rsidRDefault="00BF390A" w:rsidP="00BF390A">
      <w:pPr>
        <w:spacing w:after="0" w:line="276" w:lineRule="auto"/>
        <w:ind w:left="720"/>
        <w:rPr>
          <w:rFonts w:ascii="Times New Roman" w:hAnsi="Times New Roman" w:cs="Times New Roman"/>
          <w:sz w:val="24"/>
          <w:szCs w:val="24"/>
        </w:rPr>
      </w:pPr>
    </w:p>
    <w:p w14:paraId="7211D7BE" w14:textId="77777777" w:rsidR="00F225DB" w:rsidRDefault="00F225DB" w:rsidP="00BF390A">
      <w:pPr>
        <w:spacing w:after="0" w:line="276" w:lineRule="auto"/>
        <w:ind w:left="720"/>
        <w:rPr>
          <w:rFonts w:ascii="Times New Roman" w:hAnsi="Times New Roman" w:cs="Times New Roman"/>
          <w:sz w:val="24"/>
          <w:szCs w:val="24"/>
        </w:rPr>
      </w:pPr>
    </w:p>
    <w:p w14:paraId="70DB4702" w14:textId="17A1BBD8" w:rsidR="00BF390A" w:rsidRDefault="00F225DB" w:rsidP="00F225DB">
      <w:pPr>
        <w:spacing w:after="0" w:line="276" w:lineRule="auto"/>
        <w:rPr>
          <w:rFonts w:ascii="Times New Roman" w:hAnsi="Times New Roman" w:cs="Times New Roman"/>
          <w:sz w:val="24"/>
          <w:szCs w:val="24"/>
        </w:rPr>
      </w:pPr>
      <w:r w:rsidRPr="00F225DB">
        <w:rPr>
          <w:rFonts w:ascii="Times New Roman" w:hAnsi="Times New Roman" w:cs="Times New Roman"/>
          <w:b/>
          <w:bCs/>
          <w:smallCaps/>
          <w:sz w:val="24"/>
          <w:szCs w:val="24"/>
        </w:rPr>
        <w:t>Musithu J</w:t>
      </w:r>
      <w:r>
        <w:rPr>
          <w:rFonts w:ascii="Times New Roman" w:hAnsi="Times New Roman" w:cs="Times New Roman"/>
          <w:b/>
          <w:bCs/>
          <w:sz w:val="24"/>
          <w:szCs w:val="24"/>
        </w:rPr>
        <w:t>:……………………………………………………………………</w:t>
      </w:r>
    </w:p>
    <w:p w14:paraId="273FFD7B" w14:textId="77777777" w:rsidR="0085758E" w:rsidRDefault="0085758E" w:rsidP="0085758E">
      <w:pPr>
        <w:spacing w:after="0" w:line="276" w:lineRule="auto"/>
        <w:ind w:left="720"/>
        <w:rPr>
          <w:rFonts w:ascii="Times New Roman" w:hAnsi="Times New Roman" w:cs="Times New Roman"/>
          <w:sz w:val="24"/>
          <w:szCs w:val="24"/>
        </w:rPr>
      </w:pPr>
    </w:p>
    <w:p w14:paraId="5CEC24EF" w14:textId="77777777" w:rsidR="00123866" w:rsidRDefault="00F04102" w:rsidP="0085758E">
      <w:pPr>
        <w:spacing w:after="0" w:line="240" w:lineRule="auto"/>
        <w:rPr>
          <w:rFonts w:ascii="Times New Roman" w:hAnsi="Times New Roman" w:cs="Times New Roman"/>
          <w:sz w:val="24"/>
          <w:szCs w:val="24"/>
        </w:rPr>
      </w:pPr>
      <w:r>
        <w:rPr>
          <w:rFonts w:ascii="Times New Roman" w:hAnsi="Times New Roman" w:cs="Times New Roman"/>
          <w:i/>
          <w:iCs/>
          <w:sz w:val="24"/>
          <w:szCs w:val="24"/>
        </w:rPr>
        <w:t>Mbano Gasva &amp; Partners</w:t>
      </w:r>
      <w:r>
        <w:rPr>
          <w:rFonts w:ascii="Times New Roman" w:hAnsi="Times New Roman" w:cs="Times New Roman"/>
          <w:sz w:val="24"/>
          <w:szCs w:val="24"/>
        </w:rPr>
        <w:t>, legal practitioners for the applicant</w:t>
      </w:r>
    </w:p>
    <w:p w14:paraId="6A51C913" w14:textId="77777777" w:rsidR="00123866" w:rsidRDefault="00F04102" w:rsidP="0085758E">
      <w:pPr>
        <w:spacing w:after="0" w:line="240" w:lineRule="auto"/>
        <w:rPr>
          <w:rFonts w:ascii="Times New Roman" w:hAnsi="Times New Roman" w:cs="Times New Roman"/>
          <w:sz w:val="24"/>
          <w:szCs w:val="24"/>
        </w:rPr>
      </w:pPr>
      <w:r>
        <w:rPr>
          <w:rFonts w:ascii="Times New Roman" w:hAnsi="Times New Roman" w:cs="Times New Roman"/>
          <w:i/>
          <w:iCs/>
          <w:sz w:val="24"/>
          <w:szCs w:val="24"/>
        </w:rPr>
        <w:t>Mupindu Legal Practitioners</w:t>
      </w:r>
      <w:r>
        <w:rPr>
          <w:rFonts w:ascii="Times New Roman" w:hAnsi="Times New Roman" w:cs="Times New Roman"/>
          <w:sz w:val="24"/>
          <w:szCs w:val="24"/>
        </w:rPr>
        <w:t xml:space="preserve">, legal practitioners for the first respondent </w:t>
      </w:r>
    </w:p>
    <w:p w14:paraId="5E9BDF74" w14:textId="77777777" w:rsidR="00123866" w:rsidRDefault="00F04102" w:rsidP="0085758E">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Muza &amp; Nyapadi, </w:t>
      </w:r>
      <w:r>
        <w:rPr>
          <w:rFonts w:ascii="Times New Roman" w:hAnsi="Times New Roman" w:cs="Times New Roman"/>
          <w:sz w:val="24"/>
          <w:szCs w:val="24"/>
        </w:rPr>
        <w:t>legal practitioners for the second respondent</w:t>
      </w:r>
    </w:p>
    <w:p w14:paraId="1CD84128" w14:textId="77777777" w:rsidR="00123866" w:rsidRDefault="00F04102" w:rsidP="0085758E">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Muneshkumar Babubhai Narotam, </w:t>
      </w:r>
      <w:r>
        <w:rPr>
          <w:rFonts w:ascii="Times New Roman" w:hAnsi="Times New Roman" w:cs="Times New Roman"/>
          <w:sz w:val="24"/>
          <w:szCs w:val="24"/>
        </w:rPr>
        <w:t xml:space="preserve">legal practitioners for the third respondent </w:t>
      </w:r>
    </w:p>
    <w:p w14:paraId="2F48511B" w14:textId="77777777" w:rsidR="00123866" w:rsidRDefault="00123866">
      <w:pPr>
        <w:rPr>
          <w:rFonts w:ascii="Times New Roman" w:hAnsi="Times New Roman" w:cs="Times New Roman"/>
          <w:sz w:val="24"/>
          <w:szCs w:val="24"/>
        </w:rPr>
      </w:pPr>
    </w:p>
    <w:p w14:paraId="045C4DC8" w14:textId="77777777" w:rsidR="00123866" w:rsidRDefault="00123866">
      <w:pPr>
        <w:rPr>
          <w:sz w:val="24"/>
          <w:szCs w:val="24"/>
        </w:rPr>
      </w:pPr>
    </w:p>
    <w:p w14:paraId="6420A461" w14:textId="77777777" w:rsidR="00123866" w:rsidRDefault="00F04102">
      <w:pPr>
        <w:rPr>
          <w:sz w:val="24"/>
          <w:szCs w:val="24"/>
        </w:rPr>
      </w:pPr>
      <w:r>
        <w:rPr>
          <w:sz w:val="24"/>
          <w:szCs w:val="24"/>
        </w:rPr>
        <w:t xml:space="preserve"> </w:t>
      </w:r>
    </w:p>
    <w:sectPr w:rsidR="0012386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2BE91" w14:textId="77777777" w:rsidR="00B6168B" w:rsidRDefault="00B6168B">
      <w:pPr>
        <w:spacing w:line="240" w:lineRule="auto"/>
      </w:pPr>
      <w:r>
        <w:separator/>
      </w:r>
    </w:p>
  </w:endnote>
  <w:endnote w:type="continuationSeparator" w:id="0">
    <w:p w14:paraId="6BA8ADB5" w14:textId="77777777" w:rsidR="00B6168B" w:rsidRDefault="00B616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D8ACC" w14:textId="77777777" w:rsidR="00B6168B" w:rsidRDefault="00B6168B">
      <w:pPr>
        <w:spacing w:after="0"/>
      </w:pPr>
      <w:r>
        <w:separator/>
      </w:r>
    </w:p>
  </w:footnote>
  <w:footnote w:type="continuationSeparator" w:id="0">
    <w:p w14:paraId="4B7DF03D" w14:textId="77777777" w:rsidR="00B6168B" w:rsidRDefault="00B6168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sdtPr>
    <w:sdtEndPr>
      <w:rPr>
        <w:rFonts w:ascii="Times New Roman" w:hAnsi="Times New Roman" w:cs="Times New Roman"/>
      </w:rPr>
    </w:sdtEndPr>
    <w:sdtContent>
      <w:p w14:paraId="3CF4D1B9" w14:textId="3AE3AEE2" w:rsidR="00123866" w:rsidRDefault="00F04102">
        <w:pPr>
          <w:pStyle w:val="Head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B5FA2">
          <w:rPr>
            <w:rFonts w:ascii="Times New Roman" w:hAnsi="Times New Roman" w:cs="Times New Roman"/>
            <w:noProof/>
          </w:rPr>
          <w:t>1</w:t>
        </w:r>
        <w:r>
          <w:rPr>
            <w:rFonts w:ascii="Times New Roman" w:hAnsi="Times New Roman" w:cs="Times New Roman"/>
          </w:rPr>
          <w:fldChar w:fldCharType="end"/>
        </w:r>
      </w:p>
      <w:p w14:paraId="171E6A18" w14:textId="135B94DC" w:rsidR="00123866" w:rsidRDefault="00F04102">
        <w:pPr>
          <w:pStyle w:val="Header"/>
          <w:jc w:val="right"/>
          <w:rPr>
            <w:rFonts w:ascii="Times New Roman" w:hAnsi="Times New Roman" w:cs="Times New Roman"/>
          </w:rPr>
        </w:pPr>
        <w:r>
          <w:rPr>
            <w:rFonts w:ascii="Times New Roman" w:hAnsi="Times New Roman" w:cs="Times New Roman"/>
          </w:rPr>
          <w:t>HH</w:t>
        </w:r>
        <w:r w:rsidR="00901F98">
          <w:rPr>
            <w:rFonts w:ascii="Times New Roman" w:hAnsi="Times New Roman" w:cs="Times New Roman"/>
          </w:rPr>
          <w:t xml:space="preserve"> 308-25</w:t>
        </w:r>
      </w:p>
      <w:p w14:paraId="04D8E3ED" w14:textId="77777777" w:rsidR="00123866" w:rsidRDefault="00F04102">
        <w:pPr>
          <w:pStyle w:val="Header"/>
          <w:jc w:val="right"/>
          <w:rPr>
            <w:rFonts w:ascii="Times New Roman" w:hAnsi="Times New Roman" w:cs="Times New Roman"/>
          </w:rPr>
        </w:pPr>
        <w:r>
          <w:rPr>
            <w:rFonts w:ascii="Times New Roman" w:hAnsi="Times New Roman" w:cs="Times New Roman"/>
          </w:rPr>
          <w:t>Case No HCH 4389/24</w:t>
        </w:r>
      </w:p>
      <w:p w14:paraId="0FACC056" w14:textId="77777777" w:rsidR="00123866" w:rsidRDefault="00F04102">
        <w:pPr>
          <w:pStyle w:val="Header"/>
          <w:tabs>
            <w:tab w:val="left" w:pos="607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Ref Case HCH 7962/22</w:t>
        </w:r>
      </w:p>
    </w:sdtContent>
  </w:sdt>
  <w:p w14:paraId="715B506C" w14:textId="77777777" w:rsidR="00123866" w:rsidRDefault="0012386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8006AF"/>
    <w:multiLevelType w:val="multilevel"/>
    <w:tmpl w:val="458006AF"/>
    <w:lvl w:ilvl="0">
      <w:start w:val="13"/>
      <w:numFmt w:val="upperLetter"/>
      <w:suff w:val="space"/>
      <w:lvlText w:val="%1."/>
      <w:lvlJc w:val="left"/>
      <w:pPr>
        <w:ind w:left="0" w:firstLine="0"/>
      </w:pPr>
      <w:rPr>
        <w:rFonts w:ascii="Times New Roman" w:hAnsi="Times New Roman" w:cs="Times New Roman" w:hint="default"/>
        <w:i/>
        <w:iCs/>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D7A0401"/>
    <w:multiLevelType w:val="multilevel"/>
    <w:tmpl w:val="7D7A040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7DA61D4E"/>
    <w:multiLevelType w:val="multilevel"/>
    <w:tmpl w:val="7DA61D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6A9"/>
    <w:rsid w:val="00001371"/>
    <w:rsid w:val="00012AA3"/>
    <w:rsid w:val="00025C57"/>
    <w:rsid w:val="000375B1"/>
    <w:rsid w:val="00055FCA"/>
    <w:rsid w:val="00064BB5"/>
    <w:rsid w:val="00071C41"/>
    <w:rsid w:val="0007600F"/>
    <w:rsid w:val="000C67FC"/>
    <w:rsid w:val="000D31FE"/>
    <w:rsid w:val="000F1099"/>
    <w:rsid w:val="001223D7"/>
    <w:rsid w:val="00123866"/>
    <w:rsid w:val="00141390"/>
    <w:rsid w:val="00143AAF"/>
    <w:rsid w:val="00181211"/>
    <w:rsid w:val="00197721"/>
    <w:rsid w:val="001D4FC8"/>
    <w:rsid w:val="001D55AB"/>
    <w:rsid w:val="00200159"/>
    <w:rsid w:val="00235567"/>
    <w:rsid w:val="00265074"/>
    <w:rsid w:val="00272E6B"/>
    <w:rsid w:val="002814C5"/>
    <w:rsid w:val="002A6B44"/>
    <w:rsid w:val="002C09D4"/>
    <w:rsid w:val="002C782B"/>
    <w:rsid w:val="002D0FE8"/>
    <w:rsid w:val="00325FC5"/>
    <w:rsid w:val="00337F52"/>
    <w:rsid w:val="00341266"/>
    <w:rsid w:val="00341E7C"/>
    <w:rsid w:val="00357532"/>
    <w:rsid w:val="00366CEF"/>
    <w:rsid w:val="00381BCA"/>
    <w:rsid w:val="003A3307"/>
    <w:rsid w:val="003A5065"/>
    <w:rsid w:val="003C2149"/>
    <w:rsid w:val="003E3464"/>
    <w:rsid w:val="003E7FC9"/>
    <w:rsid w:val="003F0CE0"/>
    <w:rsid w:val="0041643E"/>
    <w:rsid w:val="0043508D"/>
    <w:rsid w:val="00450B1A"/>
    <w:rsid w:val="00464340"/>
    <w:rsid w:val="00491E01"/>
    <w:rsid w:val="004B6CE2"/>
    <w:rsid w:val="0052697D"/>
    <w:rsid w:val="005863DC"/>
    <w:rsid w:val="0059380B"/>
    <w:rsid w:val="005B01B3"/>
    <w:rsid w:val="005B6971"/>
    <w:rsid w:val="005C7483"/>
    <w:rsid w:val="005F3B80"/>
    <w:rsid w:val="006113D7"/>
    <w:rsid w:val="00664AFC"/>
    <w:rsid w:val="006F1711"/>
    <w:rsid w:val="00705582"/>
    <w:rsid w:val="00715E8C"/>
    <w:rsid w:val="00726871"/>
    <w:rsid w:val="00756256"/>
    <w:rsid w:val="00761D26"/>
    <w:rsid w:val="0079313A"/>
    <w:rsid w:val="007B631F"/>
    <w:rsid w:val="007C14DB"/>
    <w:rsid w:val="007C76AF"/>
    <w:rsid w:val="007D46F6"/>
    <w:rsid w:val="007E1661"/>
    <w:rsid w:val="007E35E8"/>
    <w:rsid w:val="007E5C65"/>
    <w:rsid w:val="007F0A4D"/>
    <w:rsid w:val="007F5B7B"/>
    <w:rsid w:val="00802AAB"/>
    <w:rsid w:val="008462A8"/>
    <w:rsid w:val="008512B4"/>
    <w:rsid w:val="0085758E"/>
    <w:rsid w:val="008662BD"/>
    <w:rsid w:val="00881D32"/>
    <w:rsid w:val="00895F9F"/>
    <w:rsid w:val="008B10EB"/>
    <w:rsid w:val="008B615B"/>
    <w:rsid w:val="00901F98"/>
    <w:rsid w:val="00902F5E"/>
    <w:rsid w:val="00947C8B"/>
    <w:rsid w:val="0097302D"/>
    <w:rsid w:val="009B5FA2"/>
    <w:rsid w:val="009B66A9"/>
    <w:rsid w:val="00A41FAC"/>
    <w:rsid w:val="00A44827"/>
    <w:rsid w:val="00A74B8C"/>
    <w:rsid w:val="00A8134F"/>
    <w:rsid w:val="00A926E0"/>
    <w:rsid w:val="00AB7D31"/>
    <w:rsid w:val="00AC0DEE"/>
    <w:rsid w:val="00AF4B59"/>
    <w:rsid w:val="00B4661C"/>
    <w:rsid w:val="00B510CD"/>
    <w:rsid w:val="00B60794"/>
    <w:rsid w:val="00B6168B"/>
    <w:rsid w:val="00B70DBB"/>
    <w:rsid w:val="00BC1B5E"/>
    <w:rsid w:val="00BC5AAF"/>
    <w:rsid w:val="00BD0685"/>
    <w:rsid w:val="00BD6CC6"/>
    <w:rsid w:val="00BD7362"/>
    <w:rsid w:val="00BF390A"/>
    <w:rsid w:val="00C020C6"/>
    <w:rsid w:val="00C1364D"/>
    <w:rsid w:val="00C22044"/>
    <w:rsid w:val="00C334B7"/>
    <w:rsid w:val="00C5703F"/>
    <w:rsid w:val="00CA3728"/>
    <w:rsid w:val="00CD02FA"/>
    <w:rsid w:val="00CD4498"/>
    <w:rsid w:val="00D110BD"/>
    <w:rsid w:val="00D503DF"/>
    <w:rsid w:val="00D648CD"/>
    <w:rsid w:val="00D90080"/>
    <w:rsid w:val="00D96E4C"/>
    <w:rsid w:val="00E0571D"/>
    <w:rsid w:val="00E07FE9"/>
    <w:rsid w:val="00E31388"/>
    <w:rsid w:val="00E323A7"/>
    <w:rsid w:val="00E4627C"/>
    <w:rsid w:val="00E62FE0"/>
    <w:rsid w:val="00E66802"/>
    <w:rsid w:val="00E66839"/>
    <w:rsid w:val="00E929EF"/>
    <w:rsid w:val="00F04102"/>
    <w:rsid w:val="00F117EC"/>
    <w:rsid w:val="00F225DB"/>
    <w:rsid w:val="00F435DE"/>
    <w:rsid w:val="00F7746A"/>
    <w:rsid w:val="00FA2921"/>
    <w:rsid w:val="00FA7565"/>
    <w:rsid w:val="00FB1502"/>
    <w:rsid w:val="00FB286A"/>
    <w:rsid w:val="00FD2549"/>
    <w:rsid w:val="00FE1898"/>
    <w:rsid w:val="00FF3F66"/>
    <w:rsid w:val="37E975BF"/>
    <w:rsid w:val="3C5D1FEE"/>
    <w:rsid w:val="4F760F6C"/>
    <w:rsid w:val="581F189F"/>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4BB5"/>
  <w15:docId w15:val="{1CC211EE-8F12-4BD4-8C38-365BCFEAE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ZW" w:eastAsia="en-Z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2"/>
      <w:szCs w:val="22"/>
      <w:lang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Default">
    <w:name w:val="Default"/>
    <w:rsid w:val="00E62FE0"/>
    <w:pPr>
      <w:autoSpaceDE w:val="0"/>
      <w:autoSpaceDN w:val="0"/>
      <w:adjustRightInd w:val="0"/>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0F10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1099"/>
    <w:rPr>
      <w:kern w:val="2"/>
      <w:lang w:eastAsia="en-US"/>
      <w14:ligatures w14:val="standardContextual"/>
    </w:rPr>
  </w:style>
  <w:style w:type="character" w:styleId="FootnoteReference">
    <w:name w:val="footnote reference"/>
    <w:basedOn w:val="DefaultParagraphFont"/>
    <w:uiPriority w:val="99"/>
    <w:semiHidden/>
    <w:unhideWhenUsed/>
    <w:rsid w:val="000F10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ED9DD-4E3E-4BA6-8076-CD47A8E00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3620</Words>
  <Characters>20638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dcterms:created xsi:type="dcterms:W3CDTF">2025-06-27T10:35:00Z</dcterms:created>
  <dcterms:modified xsi:type="dcterms:W3CDTF">2025-06-27T10:35:00Z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1033-12.2.0.21172</vt:lpwstr>
  </property>
  <property fmtid="{D5CDD505-2E9C-101B-9397-08002B2CF9AE}" pid="3" name="ICV">
    <vt:lpwstr>BFA88E390B244E3DB350DC52A1A4FC42_12</vt:lpwstr>
  </property>
</Properties>
</file>