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20" w:rsidRPr="00145E32" w:rsidRDefault="002C762A" w:rsidP="002C762A">
      <w:pPr>
        <w:spacing w:after="0" w:line="240" w:lineRule="auto"/>
        <w:jc w:val="both"/>
        <w:rPr>
          <w:rFonts w:ascii="Times New Roman" w:hAnsi="Times New Roman" w:cs="Times New Roman"/>
          <w:sz w:val="24"/>
          <w:szCs w:val="24"/>
        </w:rPr>
      </w:pPr>
      <w:bookmarkStart w:id="0" w:name="_GoBack"/>
      <w:bookmarkEnd w:id="0"/>
      <w:r w:rsidRPr="00145E32">
        <w:rPr>
          <w:rFonts w:ascii="Times New Roman" w:hAnsi="Times New Roman" w:cs="Times New Roman"/>
          <w:sz w:val="24"/>
          <w:szCs w:val="24"/>
        </w:rPr>
        <w:t>OVER AND ABOVE PROFIT ENTERPRISES (PVT) LTD</w:t>
      </w:r>
    </w:p>
    <w:p w:rsidR="002C762A" w:rsidRPr="00145E32" w:rsidRDefault="002C762A" w:rsidP="002C762A">
      <w:pPr>
        <w:spacing w:after="0" w:line="240" w:lineRule="auto"/>
        <w:jc w:val="both"/>
        <w:rPr>
          <w:rFonts w:ascii="Times New Roman" w:hAnsi="Times New Roman" w:cs="Times New Roman"/>
          <w:sz w:val="24"/>
          <w:szCs w:val="24"/>
        </w:rPr>
      </w:pPr>
      <w:proofErr w:type="gramStart"/>
      <w:r w:rsidRPr="00145E32">
        <w:rPr>
          <w:rFonts w:ascii="Times New Roman" w:hAnsi="Times New Roman" w:cs="Times New Roman"/>
          <w:sz w:val="24"/>
          <w:szCs w:val="24"/>
        </w:rPr>
        <w:t>t/</w:t>
      </w:r>
      <w:proofErr w:type="gramEnd"/>
      <w:r w:rsidRPr="00145E32">
        <w:rPr>
          <w:rFonts w:ascii="Times New Roman" w:hAnsi="Times New Roman" w:cs="Times New Roman"/>
          <w:sz w:val="24"/>
          <w:szCs w:val="24"/>
        </w:rPr>
        <w:t>a EVEN MILLING CENTRE</w:t>
      </w:r>
    </w:p>
    <w:p w:rsidR="002C762A" w:rsidRPr="00145E32" w:rsidRDefault="002C762A" w:rsidP="002C762A">
      <w:pPr>
        <w:spacing w:after="0" w:line="240" w:lineRule="auto"/>
        <w:jc w:val="both"/>
        <w:rPr>
          <w:rFonts w:ascii="Times New Roman" w:hAnsi="Times New Roman" w:cs="Times New Roman"/>
          <w:sz w:val="24"/>
          <w:szCs w:val="24"/>
        </w:rPr>
      </w:pPr>
      <w:proofErr w:type="gramStart"/>
      <w:r w:rsidRPr="00145E32">
        <w:rPr>
          <w:rFonts w:ascii="Times New Roman" w:hAnsi="Times New Roman" w:cs="Times New Roman"/>
          <w:sz w:val="24"/>
          <w:szCs w:val="24"/>
        </w:rPr>
        <w:t>versus</w:t>
      </w:r>
      <w:proofErr w:type="gramEnd"/>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ALBERT YOTAMU</w:t>
      </w:r>
    </w:p>
    <w:p w:rsidR="002C762A" w:rsidRPr="00145E32" w:rsidRDefault="002C762A" w:rsidP="002C762A">
      <w:pPr>
        <w:spacing w:after="0" w:line="240" w:lineRule="auto"/>
        <w:jc w:val="both"/>
        <w:rPr>
          <w:rFonts w:ascii="Times New Roman" w:hAnsi="Times New Roman" w:cs="Times New Roman"/>
          <w:sz w:val="24"/>
          <w:szCs w:val="24"/>
        </w:rPr>
      </w:pPr>
      <w:proofErr w:type="gramStart"/>
      <w:r w:rsidRPr="00145E32">
        <w:rPr>
          <w:rFonts w:ascii="Times New Roman" w:hAnsi="Times New Roman" w:cs="Times New Roman"/>
          <w:sz w:val="24"/>
          <w:szCs w:val="24"/>
        </w:rPr>
        <w:t>and</w:t>
      </w:r>
      <w:proofErr w:type="gramEnd"/>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THE CHIEF COM</w:t>
      </w:r>
      <w:r w:rsidR="00F33B9F" w:rsidRPr="00145E32">
        <w:rPr>
          <w:rFonts w:ascii="Times New Roman" w:hAnsi="Times New Roman" w:cs="Times New Roman"/>
          <w:sz w:val="24"/>
          <w:szCs w:val="24"/>
        </w:rPr>
        <w:t>M</w:t>
      </w:r>
      <w:r w:rsidRPr="00145E32">
        <w:rPr>
          <w:rFonts w:ascii="Times New Roman" w:hAnsi="Times New Roman" w:cs="Times New Roman"/>
          <w:sz w:val="24"/>
          <w:szCs w:val="24"/>
        </w:rPr>
        <w:t>ISSIONER-KADOMA (N.O)</w:t>
      </w:r>
    </w:p>
    <w:p w:rsidR="002C762A" w:rsidRPr="00145E32" w:rsidRDefault="002C762A" w:rsidP="002C762A">
      <w:pPr>
        <w:spacing w:after="0" w:line="240" w:lineRule="auto"/>
        <w:jc w:val="both"/>
        <w:rPr>
          <w:rFonts w:ascii="Times New Roman" w:hAnsi="Times New Roman" w:cs="Times New Roman"/>
          <w:sz w:val="24"/>
          <w:szCs w:val="24"/>
        </w:rPr>
      </w:pPr>
      <w:proofErr w:type="gramStart"/>
      <w:r w:rsidRPr="00145E32">
        <w:rPr>
          <w:rFonts w:ascii="Times New Roman" w:hAnsi="Times New Roman" w:cs="Times New Roman"/>
          <w:sz w:val="24"/>
          <w:szCs w:val="24"/>
        </w:rPr>
        <w:t>and</w:t>
      </w:r>
      <w:proofErr w:type="gramEnd"/>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OFFICER IN CHARGE</w:t>
      </w: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ZIMBABWE REPUBLIC POLICE SANYATI (N.O)</w:t>
      </w:r>
    </w:p>
    <w:p w:rsidR="002C762A" w:rsidRPr="00145E32" w:rsidRDefault="002C762A" w:rsidP="002C762A">
      <w:pPr>
        <w:spacing w:after="0" w:line="240" w:lineRule="auto"/>
        <w:jc w:val="both"/>
        <w:rPr>
          <w:rFonts w:ascii="Times New Roman" w:hAnsi="Times New Roman" w:cs="Times New Roman"/>
          <w:sz w:val="24"/>
          <w:szCs w:val="24"/>
        </w:rPr>
      </w:pPr>
    </w:p>
    <w:p w:rsidR="002C762A" w:rsidRPr="00145E32" w:rsidRDefault="002C762A" w:rsidP="002C762A">
      <w:pPr>
        <w:spacing w:after="0" w:line="240" w:lineRule="auto"/>
        <w:jc w:val="both"/>
        <w:rPr>
          <w:rFonts w:ascii="Times New Roman" w:hAnsi="Times New Roman" w:cs="Times New Roman"/>
          <w:sz w:val="24"/>
          <w:szCs w:val="24"/>
        </w:rPr>
      </w:pP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HIGH COURT OF ZIMBABWE</w:t>
      </w: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BERE J</w:t>
      </w: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sz w:val="24"/>
          <w:szCs w:val="24"/>
        </w:rPr>
        <w:t>HARARE, 27 November and 7 December 2012</w:t>
      </w:r>
    </w:p>
    <w:p w:rsidR="002C762A" w:rsidRPr="00145E32" w:rsidRDefault="002C762A" w:rsidP="002C762A">
      <w:pPr>
        <w:spacing w:after="0" w:line="240" w:lineRule="auto"/>
        <w:jc w:val="both"/>
        <w:rPr>
          <w:rFonts w:ascii="Times New Roman" w:hAnsi="Times New Roman" w:cs="Times New Roman"/>
          <w:sz w:val="24"/>
          <w:szCs w:val="24"/>
        </w:rPr>
      </w:pPr>
    </w:p>
    <w:p w:rsidR="002C762A" w:rsidRPr="00145E32" w:rsidRDefault="002C762A" w:rsidP="002C762A">
      <w:pPr>
        <w:spacing w:after="0" w:line="240" w:lineRule="auto"/>
        <w:jc w:val="both"/>
        <w:rPr>
          <w:rFonts w:ascii="Times New Roman" w:hAnsi="Times New Roman" w:cs="Times New Roman"/>
          <w:sz w:val="24"/>
          <w:szCs w:val="24"/>
        </w:rPr>
      </w:pPr>
    </w:p>
    <w:p w:rsidR="002C762A" w:rsidRPr="00145E32" w:rsidRDefault="002C762A" w:rsidP="002C762A">
      <w:pPr>
        <w:spacing w:after="0" w:line="240" w:lineRule="auto"/>
        <w:jc w:val="both"/>
        <w:rPr>
          <w:rFonts w:ascii="Times New Roman" w:hAnsi="Times New Roman" w:cs="Times New Roman"/>
          <w:b/>
          <w:sz w:val="24"/>
          <w:szCs w:val="24"/>
        </w:rPr>
      </w:pPr>
      <w:r w:rsidRPr="00145E32">
        <w:rPr>
          <w:rFonts w:ascii="Times New Roman" w:hAnsi="Times New Roman" w:cs="Times New Roman"/>
          <w:b/>
          <w:sz w:val="24"/>
          <w:szCs w:val="24"/>
        </w:rPr>
        <w:t>Opposed Application</w:t>
      </w:r>
    </w:p>
    <w:p w:rsidR="002C762A" w:rsidRPr="00145E32" w:rsidRDefault="002C762A" w:rsidP="002C762A">
      <w:pPr>
        <w:spacing w:after="0" w:line="240" w:lineRule="auto"/>
        <w:jc w:val="both"/>
        <w:rPr>
          <w:rFonts w:ascii="Times New Roman" w:hAnsi="Times New Roman" w:cs="Times New Roman"/>
          <w:b/>
          <w:sz w:val="24"/>
          <w:szCs w:val="24"/>
        </w:rPr>
      </w:pP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i/>
          <w:sz w:val="24"/>
          <w:szCs w:val="24"/>
        </w:rPr>
        <w:t xml:space="preserve">C. </w:t>
      </w:r>
      <w:proofErr w:type="spellStart"/>
      <w:r w:rsidRPr="00145E32">
        <w:rPr>
          <w:rFonts w:ascii="Times New Roman" w:hAnsi="Times New Roman" w:cs="Times New Roman"/>
          <w:i/>
          <w:sz w:val="24"/>
          <w:szCs w:val="24"/>
        </w:rPr>
        <w:t>Chinyama</w:t>
      </w:r>
      <w:proofErr w:type="spellEnd"/>
      <w:r w:rsidRPr="00145E32">
        <w:rPr>
          <w:rFonts w:ascii="Times New Roman" w:hAnsi="Times New Roman" w:cs="Times New Roman"/>
          <w:sz w:val="24"/>
          <w:szCs w:val="24"/>
        </w:rPr>
        <w:t>, for the applicant</w:t>
      </w: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i/>
          <w:sz w:val="24"/>
          <w:szCs w:val="24"/>
        </w:rPr>
        <w:t xml:space="preserve">I. </w:t>
      </w:r>
      <w:proofErr w:type="spellStart"/>
      <w:r w:rsidRPr="00145E32">
        <w:rPr>
          <w:rFonts w:ascii="Times New Roman" w:hAnsi="Times New Roman" w:cs="Times New Roman"/>
          <w:i/>
          <w:sz w:val="24"/>
          <w:szCs w:val="24"/>
        </w:rPr>
        <w:t>Mugwagwa</w:t>
      </w:r>
      <w:proofErr w:type="spellEnd"/>
      <w:r w:rsidRPr="00145E32">
        <w:rPr>
          <w:rFonts w:ascii="Times New Roman" w:hAnsi="Times New Roman" w:cs="Times New Roman"/>
          <w:sz w:val="24"/>
          <w:szCs w:val="24"/>
        </w:rPr>
        <w:t>, for the 1</w:t>
      </w:r>
      <w:r w:rsidRPr="00145E32">
        <w:rPr>
          <w:rFonts w:ascii="Times New Roman" w:hAnsi="Times New Roman" w:cs="Times New Roman"/>
          <w:sz w:val="24"/>
          <w:szCs w:val="24"/>
          <w:vertAlign w:val="superscript"/>
        </w:rPr>
        <w:t>st</w:t>
      </w:r>
      <w:r w:rsidRPr="00145E32">
        <w:rPr>
          <w:rFonts w:ascii="Times New Roman" w:hAnsi="Times New Roman" w:cs="Times New Roman"/>
          <w:sz w:val="24"/>
          <w:szCs w:val="24"/>
        </w:rPr>
        <w:t xml:space="preserve"> respondent</w:t>
      </w:r>
    </w:p>
    <w:p w:rsidR="002C762A" w:rsidRPr="00145E32" w:rsidRDefault="002C762A" w:rsidP="002C762A">
      <w:pPr>
        <w:spacing w:after="0" w:line="240" w:lineRule="auto"/>
        <w:jc w:val="both"/>
        <w:rPr>
          <w:rFonts w:ascii="Times New Roman" w:hAnsi="Times New Roman" w:cs="Times New Roman"/>
          <w:sz w:val="24"/>
          <w:szCs w:val="24"/>
        </w:rPr>
      </w:pPr>
      <w:r w:rsidRPr="00145E32">
        <w:rPr>
          <w:rFonts w:ascii="Times New Roman" w:hAnsi="Times New Roman" w:cs="Times New Roman"/>
          <w:i/>
          <w:sz w:val="24"/>
          <w:szCs w:val="24"/>
        </w:rPr>
        <w:t xml:space="preserve">R.M. </w:t>
      </w:r>
      <w:proofErr w:type="spellStart"/>
      <w:r w:rsidRPr="00145E32">
        <w:rPr>
          <w:rFonts w:ascii="Times New Roman" w:hAnsi="Times New Roman" w:cs="Times New Roman"/>
          <w:i/>
          <w:sz w:val="24"/>
          <w:szCs w:val="24"/>
        </w:rPr>
        <w:t>Bhasera</w:t>
      </w:r>
      <w:proofErr w:type="spellEnd"/>
      <w:r w:rsidRPr="00145E32">
        <w:rPr>
          <w:rFonts w:ascii="Times New Roman" w:hAnsi="Times New Roman" w:cs="Times New Roman"/>
          <w:sz w:val="24"/>
          <w:szCs w:val="24"/>
        </w:rPr>
        <w:t>, for the 2</w:t>
      </w:r>
      <w:r w:rsidRPr="00145E32">
        <w:rPr>
          <w:rFonts w:ascii="Times New Roman" w:hAnsi="Times New Roman" w:cs="Times New Roman"/>
          <w:sz w:val="24"/>
          <w:szCs w:val="24"/>
          <w:vertAlign w:val="superscript"/>
        </w:rPr>
        <w:t>nd</w:t>
      </w:r>
      <w:r w:rsidRPr="00145E32">
        <w:rPr>
          <w:rFonts w:ascii="Times New Roman" w:hAnsi="Times New Roman" w:cs="Times New Roman"/>
          <w:sz w:val="24"/>
          <w:szCs w:val="24"/>
        </w:rPr>
        <w:t xml:space="preserve"> and 3</w:t>
      </w:r>
      <w:r w:rsidRPr="00145E32">
        <w:rPr>
          <w:rFonts w:ascii="Times New Roman" w:hAnsi="Times New Roman" w:cs="Times New Roman"/>
          <w:sz w:val="24"/>
          <w:szCs w:val="24"/>
          <w:vertAlign w:val="superscript"/>
        </w:rPr>
        <w:t>rd</w:t>
      </w:r>
      <w:r w:rsidRPr="00145E32">
        <w:rPr>
          <w:rFonts w:ascii="Times New Roman" w:hAnsi="Times New Roman" w:cs="Times New Roman"/>
          <w:sz w:val="24"/>
          <w:szCs w:val="24"/>
        </w:rPr>
        <w:t xml:space="preserve"> respondent</w:t>
      </w:r>
      <w:r w:rsidR="00D228C0" w:rsidRPr="00145E32">
        <w:rPr>
          <w:rFonts w:ascii="Times New Roman" w:hAnsi="Times New Roman" w:cs="Times New Roman"/>
          <w:sz w:val="24"/>
          <w:szCs w:val="24"/>
        </w:rPr>
        <w:t>s</w:t>
      </w:r>
    </w:p>
    <w:p w:rsidR="002C762A" w:rsidRPr="00145E32" w:rsidRDefault="002C762A" w:rsidP="002C762A">
      <w:pPr>
        <w:spacing w:after="0" w:line="240" w:lineRule="auto"/>
        <w:jc w:val="both"/>
        <w:rPr>
          <w:rFonts w:ascii="Times New Roman" w:hAnsi="Times New Roman" w:cs="Times New Roman"/>
          <w:sz w:val="24"/>
          <w:szCs w:val="24"/>
        </w:rPr>
      </w:pPr>
    </w:p>
    <w:p w:rsidR="002C762A" w:rsidRPr="00145E32" w:rsidRDefault="002C762A" w:rsidP="002C762A">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BERE J: The applicant sought an order confirming the provisional order which incidentally I granted on an urgent basis on 26 June 2012.</w:t>
      </w:r>
    </w:p>
    <w:p w:rsidR="002C762A" w:rsidRPr="00145E32" w:rsidRDefault="002C762A" w:rsidP="002C762A">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After hearing counsel, on 7 December 2012 I granted the following final</w:t>
      </w:r>
      <w:r w:rsidRPr="00145E32">
        <w:rPr>
          <w:rFonts w:ascii="Times New Roman" w:hAnsi="Times New Roman" w:cs="Times New Roman"/>
          <w:i/>
          <w:sz w:val="24"/>
          <w:szCs w:val="24"/>
        </w:rPr>
        <w:t xml:space="preserve"> </w:t>
      </w:r>
      <w:r w:rsidRPr="00145E32">
        <w:rPr>
          <w:rFonts w:ascii="Times New Roman" w:hAnsi="Times New Roman" w:cs="Times New Roman"/>
          <w:sz w:val="24"/>
          <w:szCs w:val="24"/>
        </w:rPr>
        <w:t>order:</w:t>
      </w:r>
    </w:p>
    <w:p w:rsidR="002C762A" w:rsidRPr="00145E32" w:rsidRDefault="007370BB" w:rsidP="002C762A">
      <w:pPr>
        <w:pStyle w:val="ListParagraph"/>
        <w:numPr>
          <w:ilvl w:val="0"/>
          <w:numId w:val="1"/>
        </w:num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That the applicant be and is hereby declared to be the sole and rightful holder of mining rights over mining blocks known as Essex 8, Essex 27 and Essex 28.</w:t>
      </w:r>
    </w:p>
    <w:p w:rsidR="007370BB" w:rsidRPr="00145E32" w:rsidRDefault="007370BB" w:rsidP="002C762A">
      <w:pPr>
        <w:pStyle w:val="ListParagraph"/>
        <w:numPr>
          <w:ilvl w:val="0"/>
          <w:numId w:val="1"/>
        </w:num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That the first respondent be and is hereby prohibited, stopped and interdicted from carrying and interdicted from carrying out any mining activity at Essex 8, Essex 27 and Esse</w:t>
      </w:r>
      <w:r w:rsidR="00CB4662" w:rsidRPr="00145E32">
        <w:rPr>
          <w:rFonts w:ascii="Times New Roman" w:hAnsi="Times New Roman" w:cs="Times New Roman"/>
          <w:sz w:val="24"/>
          <w:szCs w:val="24"/>
        </w:rPr>
        <w:t>x</w:t>
      </w:r>
      <w:r w:rsidRPr="00145E32">
        <w:rPr>
          <w:rFonts w:ascii="Times New Roman" w:hAnsi="Times New Roman" w:cs="Times New Roman"/>
          <w:sz w:val="24"/>
          <w:szCs w:val="24"/>
        </w:rPr>
        <w:t xml:space="preserve"> 28 and from interfering in any way with the applicant’s mining activities at Essex 8, Essex 27 and Essex 28.  </w:t>
      </w:r>
    </w:p>
    <w:p w:rsidR="00CB4662" w:rsidRPr="00145E32" w:rsidRDefault="00CB4662" w:rsidP="002C762A">
      <w:pPr>
        <w:pStyle w:val="ListParagraph"/>
        <w:numPr>
          <w:ilvl w:val="0"/>
          <w:numId w:val="1"/>
        </w:num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 xml:space="preserve">That the first respondent pays costs of suit on an Attorney-Client Scale. </w:t>
      </w:r>
    </w:p>
    <w:p w:rsidR="000B3D68" w:rsidRPr="00145E32" w:rsidRDefault="000B3D68" w:rsidP="000B3D68">
      <w:pPr>
        <w:spacing w:after="0" w:line="360" w:lineRule="auto"/>
        <w:ind w:left="360"/>
        <w:jc w:val="both"/>
        <w:rPr>
          <w:rFonts w:ascii="Times New Roman" w:hAnsi="Times New Roman" w:cs="Times New Roman"/>
          <w:sz w:val="24"/>
          <w:szCs w:val="24"/>
        </w:rPr>
      </w:pPr>
      <w:r w:rsidRPr="00145E32">
        <w:rPr>
          <w:rFonts w:ascii="Times New Roman" w:hAnsi="Times New Roman" w:cs="Times New Roman"/>
          <w:sz w:val="24"/>
          <w:szCs w:val="24"/>
        </w:rPr>
        <w:t xml:space="preserve">That the applicant is the current holder of valid mineral rights on Essex 8, </w:t>
      </w:r>
    </w:p>
    <w:p w:rsidR="000B3D68" w:rsidRPr="00145E32" w:rsidRDefault="000B3D68"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 xml:space="preserve">Essex 27 and Essex 28 </w:t>
      </w:r>
      <w:proofErr w:type="gramStart"/>
      <w:r w:rsidRPr="00145E32">
        <w:rPr>
          <w:rFonts w:ascii="Times New Roman" w:hAnsi="Times New Roman" w:cs="Times New Roman"/>
          <w:sz w:val="24"/>
          <w:szCs w:val="24"/>
        </w:rPr>
        <w:t>is</w:t>
      </w:r>
      <w:proofErr w:type="gramEnd"/>
      <w:r w:rsidRPr="00145E32">
        <w:rPr>
          <w:rFonts w:ascii="Times New Roman" w:hAnsi="Times New Roman" w:cs="Times New Roman"/>
          <w:sz w:val="24"/>
          <w:szCs w:val="24"/>
        </w:rPr>
        <w:t xml:space="preserve"> borne out by the certificates of registration marked B1-3 attached to the applicant’s founding affidavit on </w:t>
      </w:r>
      <w:proofErr w:type="spellStart"/>
      <w:r w:rsidRPr="00145E32">
        <w:rPr>
          <w:rFonts w:ascii="Times New Roman" w:hAnsi="Times New Roman" w:cs="Times New Roman"/>
          <w:sz w:val="24"/>
          <w:szCs w:val="24"/>
        </w:rPr>
        <w:t>pp</w:t>
      </w:r>
      <w:proofErr w:type="spellEnd"/>
      <w:r w:rsidRPr="00145E32">
        <w:rPr>
          <w:rFonts w:ascii="Times New Roman" w:hAnsi="Times New Roman" w:cs="Times New Roman"/>
          <w:sz w:val="24"/>
          <w:szCs w:val="24"/>
        </w:rPr>
        <w:t xml:space="preserve"> 17-19 of its papers.</w:t>
      </w:r>
    </w:p>
    <w:p w:rsidR="000B3D68" w:rsidRPr="00145E32" w:rsidRDefault="000B3D68"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Annexure F on p 25 of the applicant’s papers further cements the applicant’s unquestionable right to mine in the disputed area.</w:t>
      </w:r>
    </w:p>
    <w:p w:rsidR="008256E3" w:rsidRPr="00145E32" w:rsidRDefault="000B3D68"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 xml:space="preserve">It was quite revealing that during submissions in court despite the first respondent’s notice of opposition and the serious allegations it made against the applicant, the first respondent’s counsel was quick to make a concession to the effect that Essex 8 and Essex 27 </w:t>
      </w:r>
      <w:r w:rsidRPr="00145E32">
        <w:rPr>
          <w:rFonts w:ascii="Times New Roman" w:hAnsi="Times New Roman" w:cs="Times New Roman"/>
          <w:sz w:val="24"/>
          <w:szCs w:val="24"/>
        </w:rPr>
        <w:lastRenderedPageBreak/>
        <w:t xml:space="preserve">had nothing to do with the first respondent as these are located 3 km away from the first respondent’s plot.  </w:t>
      </w:r>
    </w:p>
    <w:p w:rsidR="008256E3" w:rsidRPr="00145E32" w:rsidRDefault="008256E3"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If the first respondent’s position through his counsel is accepted, as it should be, then this leaves only Essex 28 as the area of concern to the first respondent.</w:t>
      </w:r>
    </w:p>
    <w:p w:rsidR="008256E3" w:rsidRPr="00145E32" w:rsidRDefault="008256E3"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The dithering by the first respondent does not portray him in good light in the sense that his claim lacks consistency.</w:t>
      </w:r>
    </w:p>
    <w:p w:rsidR="00DD6853" w:rsidRPr="00145E32" w:rsidRDefault="008256E3"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In comparison, the applicant’s claim to the mining claims is consistent and supported by documentary evidence in the form of copies of licences attached to</w:t>
      </w:r>
      <w:r w:rsidR="00A24DE9" w:rsidRPr="00145E32">
        <w:rPr>
          <w:rFonts w:ascii="Times New Roman" w:hAnsi="Times New Roman" w:cs="Times New Roman"/>
          <w:sz w:val="24"/>
          <w:szCs w:val="24"/>
        </w:rPr>
        <w:t xml:space="preserve"> the</w:t>
      </w:r>
      <w:r w:rsidRPr="00145E32">
        <w:rPr>
          <w:rFonts w:ascii="Times New Roman" w:hAnsi="Times New Roman" w:cs="Times New Roman"/>
          <w:sz w:val="24"/>
          <w:szCs w:val="24"/>
        </w:rPr>
        <w:t xml:space="preserve"> founding papers. Not only is the applicant’s claim consistent, but the second respondent who is the administrative arm and custodian of all mineral licences in the concerned district has confirmed the applicant’s entitlement to all the three mining claims in issue. In doing so the second respondent has </w:t>
      </w:r>
      <w:r w:rsidRPr="00145E32">
        <w:rPr>
          <w:rFonts w:ascii="Times New Roman" w:hAnsi="Times New Roman" w:cs="Times New Roman"/>
          <w:i/>
          <w:sz w:val="24"/>
          <w:szCs w:val="24"/>
        </w:rPr>
        <w:t>inter alia</w:t>
      </w:r>
      <w:r w:rsidRPr="00145E32">
        <w:rPr>
          <w:rFonts w:ascii="Times New Roman" w:hAnsi="Times New Roman" w:cs="Times New Roman"/>
          <w:sz w:val="24"/>
          <w:szCs w:val="24"/>
        </w:rPr>
        <w:t xml:space="preserve"> relied on the investigations carried out by a committee which was put in place pursuant to the allegations raised by the first respondent against the second respondent himself and the applicant. The committee in its report to the Chief Mining Commissioner dated August 13, 2012 concluded its findings as follows:- </w:t>
      </w:r>
    </w:p>
    <w:p w:rsidR="00DD6853" w:rsidRPr="00145E32" w:rsidRDefault="00DD6853" w:rsidP="000B3D68">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w:t>
      </w:r>
      <w:r w:rsidRPr="00145E32">
        <w:rPr>
          <w:rFonts w:ascii="Times New Roman" w:hAnsi="Times New Roman" w:cs="Times New Roman"/>
          <w:sz w:val="24"/>
          <w:szCs w:val="24"/>
          <w:u w:val="single"/>
        </w:rPr>
        <w:t>Conclusion</w:t>
      </w:r>
    </w:p>
    <w:p w:rsidR="000B3D68" w:rsidRPr="00145E32" w:rsidRDefault="00DD6853" w:rsidP="00DD6853">
      <w:pPr>
        <w:spacing w:after="0" w:line="240" w:lineRule="auto"/>
        <w:ind w:left="720"/>
        <w:jc w:val="both"/>
        <w:rPr>
          <w:rFonts w:ascii="Times New Roman" w:hAnsi="Times New Roman" w:cs="Times New Roman"/>
          <w:sz w:val="24"/>
          <w:szCs w:val="24"/>
        </w:rPr>
      </w:pPr>
      <w:r w:rsidRPr="00145E32">
        <w:rPr>
          <w:rFonts w:ascii="Times New Roman" w:hAnsi="Times New Roman" w:cs="Times New Roman"/>
          <w:sz w:val="24"/>
          <w:szCs w:val="24"/>
        </w:rPr>
        <w:t xml:space="preserve">In terms of s 177 of the Act, Eleven Milling Centre, should be allowed to resume their operations as there are considered to be the prior </w:t>
      </w:r>
      <w:proofErr w:type="spellStart"/>
      <w:r w:rsidRPr="00145E32">
        <w:rPr>
          <w:rFonts w:ascii="Times New Roman" w:hAnsi="Times New Roman" w:cs="Times New Roman"/>
          <w:sz w:val="24"/>
          <w:szCs w:val="24"/>
        </w:rPr>
        <w:t>pegger</w:t>
      </w:r>
      <w:proofErr w:type="spellEnd"/>
      <w:r w:rsidRPr="00145E32">
        <w:rPr>
          <w:rFonts w:ascii="Times New Roman" w:hAnsi="Times New Roman" w:cs="Times New Roman"/>
          <w:sz w:val="24"/>
          <w:szCs w:val="24"/>
        </w:rPr>
        <w:t xml:space="preserve"> as they pegged the area in 2005 and </w:t>
      </w:r>
      <w:proofErr w:type="spellStart"/>
      <w:r w:rsidRPr="00145E32">
        <w:rPr>
          <w:rFonts w:ascii="Times New Roman" w:hAnsi="Times New Roman" w:cs="Times New Roman"/>
          <w:sz w:val="24"/>
          <w:szCs w:val="24"/>
        </w:rPr>
        <w:t>Yotamu’s</w:t>
      </w:r>
      <w:proofErr w:type="spellEnd"/>
      <w:r w:rsidRPr="00145E32">
        <w:rPr>
          <w:rFonts w:ascii="Times New Roman" w:hAnsi="Times New Roman" w:cs="Times New Roman"/>
          <w:sz w:val="24"/>
          <w:szCs w:val="24"/>
        </w:rPr>
        <w:t xml:space="preserve"> application was deliberated in that he knew the existence of the Essex claims and pegged on top of the claims. The Mining Commissioner should reject the</w:t>
      </w:r>
      <w:r w:rsidR="0032076C" w:rsidRPr="00145E32">
        <w:rPr>
          <w:rFonts w:ascii="Times New Roman" w:hAnsi="Times New Roman" w:cs="Times New Roman"/>
          <w:sz w:val="24"/>
          <w:szCs w:val="24"/>
        </w:rPr>
        <w:t xml:space="preserve"> application for certificate of registration that was submitted by </w:t>
      </w:r>
      <w:proofErr w:type="spellStart"/>
      <w:r w:rsidR="0032076C" w:rsidRPr="00145E32">
        <w:rPr>
          <w:rFonts w:ascii="Times New Roman" w:hAnsi="Times New Roman" w:cs="Times New Roman"/>
          <w:sz w:val="24"/>
          <w:szCs w:val="24"/>
        </w:rPr>
        <w:t>Yotamu</w:t>
      </w:r>
      <w:proofErr w:type="spellEnd"/>
      <w:r w:rsidR="0032076C" w:rsidRPr="00145E32">
        <w:rPr>
          <w:rFonts w:ascii="Times New Roman" w:hAnsi="Times New Roman" w:cs="Times New Roman"/>
          <w:sz w:val="24"/>
          <w:szCs w:val="24"/>
        </w:rPr>
        <w:t xml:space="preserve"> as stated above it was not procedurally done”.</w:t>
      </w:r>
      <w:r w:rsidRPr="00145E32">
        <w:rPr>
          <w:rFonts w:ascii="Times New Roman" w:hAnsi="Times New Roman" w:cs="Times New Roman"/>
          <w:sz w:val="24"/>
          <w:szCs w:val="24"/>
        </w:rPr>
        <w:t xml:space="preserve">  </w:t>
      </w:r>
      <w:r w:rsidR="008256E3" w:rsidRPr="00145E32">
        <w:rPr>
          <w:rFonts w:ascii="Times New Roman" w:hAnsi="Times New Roman" w:cs="Times New Roman"/>
          <w:sz w:val="24"/>
          <w:szCs w:val="24"/>
        </w:rPr>
        <w:t xml:space="preserve">       </w:t>
      </w:r>
      <w:r w:rsidR="000B3D68" w:rsidRPr="00145E32">
        <w:rPr>
          <w:rFonts w:ascii="Times New Roman" w:hAnsi="Times New Roman" w:cs="Times New Roman"/>
          <w:sz w:val="24"/>
          <w:szCs w:val="24"/>
        </w:rPr>
        <w:t xml:space="preserve">     </w:t>
      </w:r>
    </w:p>
    <w:p w:rsidR="00902979" w:rsidRPr="00145E32" w:rsidRDefault="00902979" w:rsidP="00DD6853">
      <w:pPr>
        <w:spacing w:after="0" w:line="240" w:lineRule="auto"/>
        <w:ind w:left="720"/>
        <w:jc w:val="both"/>
        <w:rPr>
          <w:rFonts w:ascii="Times New Roman" w:hAnsi="Times New Roman" w:cs="Times New Roman"/>
          <w:sz w:val="24"/>
          <w:szCs w:val="24"/>
        </w:rPr>
      </w:pPr>
    </w:p>
    <w:p w:rsidR="00902979" w:rsidRPr="00145E32" w:rsidRDefault="00902979" w:rsidP="00902979">
      <w:pPr>
        <w:spacing w:after="0" w:line="360" w:lineRule="auto"/>
        <w:ind w:left="720"/>
        <w:jc w:val="both"/>
        <w:rPr>
          <w:rFonts w:ascii="Times New Roman" w:hAnsi="Times New Roman" w:cs="Times New Roman"/>
          <w:sz w:val="24"/>
          <w:szCs w:val="24"/>
        </w:rPr>
      </w:pPr>
      <w:r w:rsidRPr="00145E32">
        <w:rPr>
          <w:rFonts w:ascii="Times New Roman" w:hAnsi="Times New Roman" w:cs="Times New Roman"/>
          <w:sz w:val="24"/>
          <w:szCs w:val="24"/>
        </w:rPr>
        <w:t xml:space="preserve">Faced with this clear position of the committee, the first respondent raised </w:t>
      </w:r>
    </w:p>
    <w:p w:rsidR="00902979" w:rsidRPr="00145E32" w:rsidRDefault="00902979" w:rsidP="00902979">
      <w:pPr>
        <w:spacing w:after="0" w:line="360" w:lineRule="auto"/>
        <w:jc w:val="both"/>
        <w:rPr>
          <w:rFonts w:ascii="Times New Roman" w:hAnsi="Times New Roman" w:cs="Times New Roman"/>
          <w:sz w:val="24"/>
          <w:szCs w:val="24"/>
        </w:rPr>
      </w:pPr>
      <w:proofErr w:type="gramStart"/>
      <w:r w:rsidRPr="00145E32">
        <w:rPr>
          <w:rFonts w:ascii="Times New Roman" w:hAnsi="Times New Roman" w:cs="Times New Roman"/>
          <w:sz w:val="24"/>
          <w:szCs w:val="24"/>
        </w:rPr>
        <w:t>further</w:t>
      </w:r>
      <w:proofErr w:type="gramEnd"/>
      <w:r w:rsidRPr="00145E32">
        <w:rPr>
          <w:rFonts w:ascii="Times New Roman" w:hAnsi="Times New Roman" w:cs="Times New Roman"/>
          <w:sz w:val="24"/>
          <w:szCs w:val="24"/>
        </w:rPr>
        <w:t xml:space="preserve"> dust by filing supplementary heads of argument where he repeated his vitriolic attack on the applicant by alleging the second respondent in connivance with the applicant’s representative had made false representations in order to influence the conclusion of the committee. He went on to allege that the police were investigating the activities of the </w:t>
      </w:r>
      <w:proofErr w:type="spellStart"/>
      <w:r w:rsidRPr="00145E32">
        <w:rPr>
          <w:rFonts w:ascii="Times New Roman" w:hAnsi="Times New Roman" w:cs="Times New Roman"/>
          <w:sz w:val="24"/>
          <w:szCs w:val="24"/>
        </w:rPr>
        <w:t>Kadoma</w:t>
      </w:r>
      <w:proofErr w:type="spellEnd"/>
      <w:r w:rsidRPr="00145E32">
        <w:rPr>
          <w:rFonts w:ascii="Times New Roman" w:hAnsi="Times New Roman" w:cs="Times New Roman"/>
          <w:sz w:val="24"/>
          <w:szCs w:val="24"/>
        </w:rPr>
        <w:t xml:space="preserve"> Mines Commissioner and sought to rely on a letter from the Police General Headquarters to that effect.</w:t>
      </w:r>
    </w:p>
    <w:p w:rsidR="007F0D6F" w:rsidRPr="00145E32" w:rsidRDefault="00902979"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The court’s view is that the investigations to be carried out by the police cannot be afforded greater weight than the investigations carried out by the committee as well as the existence of the valid mining licences currently in the hands of the applicant. I shudder to think</w:t>
      </w:r>
      <w:r w:rsidR="00A0741C" w:rsidRPr="00145E32">
        <w:rPr>
          <w:rFonts w:ascii="Times New Roman" w:hAnsi="Times New Roman" w:cs="Times New Roman"/>
          <w:sz w:val="24"/>
          <w:szCs w:val="24"/>
        </w:rPr>
        <w:t xml:space="preserve"> that the first respondent might be merely trying to use </w:t>
      </w:r>
      <w:r w:rsidR="007F0D6F" w:rsidRPr="00145E32">
        <w:rPr>
          <w:rFonts w:ascii="Times New Roman" w:hAnsi="Times New Roman" w:cs="Times New Roman"/>
          <w:sz w:val="24"/>
          <w:szCs w:val="24"/>
        </w:rPr>
        <w:t>the police in his effort to interfere with the mining activities of the applicant.</w:t>
      </w:r>
    </w:p>
    <w:p w:rsidR="00F25856" w:rsidRPr="00145E32" w:rsidRDefault="007F0D6F"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lastRenderedPageBreak/>
        <w:tab/>
        <w:t xml:space="preserve">It is quite significant in my view to note that even when this matter was argued in court, the first respondent had not himself taken the initiative by way of court process to try and have the mining licences for the three </w:t>
      </w:r>
      <w:proofErr w:type="spellStart"/>
      <w:r w:rsidRPr="00145E32">
        <w:rPr>
          <w:rFonts w:ascii="Times New Roman" w:hAnsi="Times New Roman" w:cs="Times New Roman"/>
          <w:sz w:val="24"/>
          <w:szCs w:val="24"/>
        </w:rPr>
        <w:t>Essexes</w:t>
      </w:r>
      <w:proofErr w:type="spellEnd"/>
      <w:r w:rsidRPr="00145E32">
        <w:rPr>
          <w:rFonts w:ascii="Times New Roman" w:hAnsi="Times New Roman" w:cs="Times New Roman"/>
          <w:sz w:val="24"/>
          <w:szCs w:val="24"/>
        </w:rPr>
        <w:t xml:space="preserve"> nullified if at all he genuinely believe there was an anomaly in the manner in which they were issued.</w:t>
      </w:r>
    </w:p>
    <w:p w:rsidR="00021D87" w:rsidRPr="00145E32" w:rsidRDefault="00F25856"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 xml:space="preserve">The supporting affidavit by Basil </w:t>
      </w:r>
      <w:proofErr w:type="spellStart"/>
      <w:r w:rsidRPr="00145E32">
        <w:rPr>
          <w:rFonts w:ascii="Times New Roman" w:hAnsi="Times New Roman" w:cs="Times New Roman"/>
          <w:sz w:val="24"/>
          <w:szCs w:val="24"/>
        </w:rPr>
        <w:t>Pindurai</w:t>
      </w:r>
      <w:proofErr w:type="spellEnd"/>
      <w:r w:rsidRPr="00145E32">
        <w:rPr>
          <w:rFonts w:ascii="Times New Roman" w:hAnsi="Times New Roman" w:cs="Times New Roman"/>
          <w:sz w:val="24"/>
          <w:szCs w:val="24"/>
        </w:rPr>
        <w:t xml:space="preserve"> attached to the first respondent’s notice of opposition does not in my view take the first respondent’s case any further because the involvement of Basil </w:t>
      </w:r>
      <w:proofErr w:type="spellStart"/>
      <w:r w:rsidRPr="00145E32">
        <w:rPr>
          <w:rFonts w:ascii="Times New Roman" w:hAnsi="Times New Roman" w:cs="Times New Roman"/>
          <w:sz w:val="24"/>
          <w:szCs w:val="24"/>
        </w:rPr>
        <w:t>Pindurai</w:t>
      </w:r>
      <w:proofErr w:type="spellEnd"/>
      <w:r w:rsidRPr="00145E32">
        <w:rPr>
          <w:rFonts w:ascii="Times New Roman" w:hAnsi="Times New Roman" w:cs="Times New Roman"/>
          <w:sz w:val="24"/>
          <w:szCs w:val="24"/>
        </w:rPr>
        <w:t xml:space="preserve"> in this dispute was condemned by the Independent Committee for the simple reason that </w:t>
      </w:r>
      <w:proofErr w:type="spellStart"/>
      <w:r w:rsidRPr="00145E32">
        <w:rPr>
          <w:rFonts w:ascii="Times New Roman" w:hAnsi="Times New Roman" w:cs="Times New Roman"/>
          <w:sz w:val="24"/>
          <w:szCs w:val="24"/>
        </w:rPr>
        <w:t>Pindurai</w:t>
      </w:r>
      <w:proofErr w:type="spellEnd"/>
      <w:r w:rsidRPr="00145E32">
        <w:rPr>
          <w:rFonts w:ascii="Times New Roman" w:hAnsi="Times New Roman" w:cs="Times New Roman"/>
          <w:sz w:val="24"/>
          <w:szCs w:val="24"/>
        </w:rPr>
        <w:t xml:space="preserve"> was said not to be an approved prospector as envisaged by s 21(1) of the Mines and Mineral</w:t>
      </w:r>
      <w:r w:rsidR="004C6714" w:rsidRPr="00145E32">
        <w:rPr>
          <w:rFonts w:ascii="Times New Roman" w:hAnsi="Times New Roman" w:cs="Times New Roman"/>
          <w:sz w:val="24"/>
          <w:szCs w:val="24"/>
        </w:rPr>
        <w:t>s</w:t>
      </w:r>
      <w:r w:rsidRPr="00145E32">
        <w:rPr>
          <w:rFonts w:ascii="Times New Roman" w:hAnsi="Times New Roman" w:cs="Times New Roman"/>
          <w:sz w:val="24"/>
          <w:szCs w:val="24"/>
        </w:rPr>
        <w:t xml:space="preserve"> Act [</w:t>
      </w:r>
      <w:r w:rsidRPr="00145E32">
        <w:rPr>
          <w:rFonts w:ascii="Times New Roman" w:hAnsi="Times New Roman" w:cs="Times New Roman"/>
          <w:i/>
          <w:sz w:val="24"/>
          <w:szCs w:val="24"/>
        </w:rPr>
        <w:t xml:space="preserve">Cap </w:t>
      </w:r>
      <w:r w:rsidR="001A5A09" w:rsidRPr="00145E32">
        <w:rPr>
          <w:rFonts w:ascii="Times New Roman" w:hAnsi="Times New Roman" w:cs="Times New Roman"/>
          <w:i/>
          <w:sz w:val="24"/>
          <w:szCs w:val="24"/>
        </w:rPr>
        <w:t>21:25</w:t>
      </w:r>
      <w:r w:rsidRPr="00145E32">
        <w:rPr>
          <w:rFonts w:ascii="Times New Roman" w:hAnsi="Times New Roman" w:cs="Times New Roman"/>
          <w:sz w:val="24"/>
          <w:szCs w:val="24"/>
        </w:rPr>
        <w:t>]</w:t>
      </w:r>
      <w:r w:rsidR="00021D87" w:rsidRPr="00145E32">
        <w:rPr>
          <w:rFonts w:ascii="Times New Roman" w:hAnsi="Times New Roman" w:cs="Times New Roman"/>
          <w:sz w:val="24"/>
          <w:szCs w:val="24"/>
        </w:rPr>
        <w:t>.</w:t>
      </w:r>
    </w:p>
    <w:p w:rsidR="00021D87" w:rsidRPr="00145E32" w:rsidRDefault="00021D87"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The</w:t>
      </w:r>
      <w:r w:rsidR="004C6714" w:rsidRPr="00145E32">
        <w:rPr>
          <w:rFonts w:ascii="Times New Roman" w:hAnsi="Times New Roman" w:cs="Times New Roman"/>
          <w:sz w:val="24"/>
          <w:szCs w:val="24"/>
        </w:rPr>
        <w:t>r</w:t>
      </w:r>
      <w:r w:rsidRPr="00145E32">
        <w:rPr>
          <w:rFonts w:ascii="Times New Roman" w:hAnsi="Times New Roman" w:cs="Times New Roman"/>
          <w:sz w:val="24"/>
          <w:szCs w:val="24"/>
        </w:rPr>
        <w:t>e is yet another hurdle which the first respondent had to deal with in this application. The documentary exhibits tendered by the applicant clearly show that the claims now being disputed or challenged by the first respondent have been in existence for a period in excess of two years having been registered in 2005. The applicant has made the point that in terms of s 58 of the Mines and Minerals Act, the validity of registration cannot be put into question.</w:t>
      </w:r>
    </w:p>
    <w:p w:rsidR="00021D87" w:rsidRPr="00145E32" w:rsidRDefault="00021D87"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For clarity’s sake the section reads as follows:-</w:t>
      </w:r>
    </w:p>
    <w:p w:rsidR="00021D87" w:rsidRPr="00145E32" w:rsidRDefault="00021D87" w:rsidP="00902979">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 xml:space="preserve">“58 </w:t>
      </w:r>
      <w:r w:rsidR="001A5A09" w:rsidRPr="00145E32">
        <w:rPr>
          <w:rFonts w:ascii="Times New Roman" w:hAnsi="Times New Roman" w:cs="Times New Roman"/>
          <w:sz w:val="24"/>
          <w:szCs w:val="24"/>
        </w:rPr>
        <w:t>I</w:t>
      </w:r>
      <w:r w:rsidRPr="00145E32">
        <w:rPr>
          <w:rFonts w:ascii="Times New Roman" w:hAnsi="Times New Roman" w:cs="Times New Roman"/>
          <w:sz w:val="24"/>
          <w:szCs w:val="24"/>
          <w:u w:val="single"/>
        </w:rPr>
        <w:t>mpeachment of title</w:t>
      </w:r>
      <w:r w:rsidR="001A5A09" w:rsidRPr="00145E32">
        <w:rPr>
          <w:rFonts w:ascii="Times New Roman" w:hAnsi="Times New Roman" w:cs="Times New Roman"/>
          <w:sz w:val="24"/>
          <w:szCs w:val="24"/>
          <w:u w:val="single"/>
        </w:rPr>
        <w:t>,</w:t>
      </w:r>
      <w:r w:rsidRPr="00145E32">
        <w:rPr>
          <w:rFonts w:ascii="Times New Roman" w:hAnsi="Times New Roman" w:cs="Times New Roman"/>
          <w:sz w:val="24"/>
          <w:szCs w:val="24"/>
          <w:u w:val="single"/>
        </w:rPr>
        <w:t xml:space="preserve"> when barred</w:t>
      </w:r>
    </w:p>
    <w:p w:rsidR="00B55147" w:rsidRPr="00145E32" w:rsidRDefault="00021D87" w:rsidP="00E16E0E">
      <w:pPr>
        <w:spacing w:after="0" w:line="240" w:lineRule="auto"/>
        <w:ind w:left="720"/>
        <w:jc w:val="both"/>
        <w:rPr>
          <w:rFonts w:ascii="Times New Roman" w:hAnsi="Times New Roman" w:cs="Times New Roman"/>
          <w:sz w:val="24"/>
          <w:szCs w:val="24"/>
        </w:rPr>
      </w:pPr>
      <w:r w:rsidRPr="00145E32">
        <w:rPr>
          <w:rFonts w:ascii="Times New Roman" w:hAnsi="Times New Roman" w:cs="Times New Roman"/>
          <w:sz w:val="24"/>
          <w:szCs w:val="24"/>
        </w:rPr>
        <w:t xml:space="preserve">When a mining location or a secondary reef in a mining </w:t>
      </w:r>
      <w:r w:rsidR="00E16E0E" w:rsidRPr="00145E32">
        <w:rPr>
          <w:rFonts w:ascii="Times New Roman" w:hAnsi="Times New Roman" w:cs="Times New Roman"/>
          <w:sz w:val="24"/>
          <w:szCs w:val="24"/>
        </w:rPr>
        <w:t xml:space="preserve">location has been registered for a period of two years it shall not be competent for any person to dispute the title in respect of such location or reef on the ground that the pegging of such location or reef was invalid or illegal or the provisions of this Act were not complied with prior to the issue of the certificate of registration”. </w:t>
      </w:r>
      <w:r w:rsidRPr="00145E32">
        <w:rPr>
          <w:rFonts w:ascii="Times New Roman" w:hAnsi="Times New Roman" w:cs="Times New Roman"/>
          <w:sz w:val="24"/>
          <w:szCs w:val="24"/>
        </w:rPr>
        <w:t xml:space="preserve"> </w:t>
      </w:r>
    </w:p>
    <w:p w:rsidR="00B55147" w:rsidRPr="00145E32" w:rsidRDefault="00B55147" w:rsidP="00B55147">
      <w:pPr>
        <w:spacing w:after="0" w:line="240" w:lineRule="auto"/>
        <w:jc w:val="both"/>
        <w:rPr>
          <w:rFonts w:ascii="Times New Roman" w:hAnsi="Times New Roman" w:cs="Times New Roman"/>
          <w:sz w:val="24"/>
          <w:szCs w:val="24"/>
        </w:rPr>
      </w:pPr>
    </w:p>
    <w:p w:rsidR="00E503EF" w:rsidRPr="00145E32" w:rsidRDefault="00B55147" w:rsidP="00B55147">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r>
      <w:r w:rsidRPr="00145E32">
        <w:rPr>
          <w:rFonts w:ascii="Times New Roman" w:hAnsi="Times New Roman" w:cs="Times New Roman"/>
          <w:i/>
          <w:sz w:val="24"/>
          <w:szCs w:val="24"/>
        </w:rPr>
        <w:t xml:space="preserve"> </w:t>
      </w:r>
      <w:r w:rsidRPr="00145E32">
        <w:rPr>
          <w:rFonts w:ascii="Times New Roman" w:hAnsi="Times New Roman" w:cs="Times New Roman"/>
          <w:sz w:val="24"/>
          <w:szCs w:val="24"/>
        </w:rPr>
        <w:t>I did not hear the first respondent making an</w:t>
      </w:r>
      <w:r w:rsidR="001A5A09" w:rsidRPr="00145E32">
        <w:rPr>
          <w:rFonts w:ascii="Times New Roman" w:hAnsi="Times New Roman" w:cs="Times New Roman"/>
          <w:sz w:val="24"/>
          <w:szCs w:val="24"/>
        </w:rPr>
        <w:t>y</w:t>
      </w:r>
      <w:r w:rsidRPr="00145E32">
        <w:rPr>
          <w:rFonts w:ascii="Times New Roman" w:hAnsi="Times New Roman" w:cs="Times New Roman"/>
          <w:sz w:val="24"/>
          <w:szCs w:val="24"/>
        </w:rPr>
        <w:t xml:space="preserve"> attempt to counter this clear provision of the law.</w:t>
      </w:r>
      <w:r w:rsidR="00F25856" w:rsidRPr="00145E32">
        <w:rPr>
          <w:rFonts w:ascii="Times New Roman" w:hAnsi="Times New Roman" w:cs="Times New Roman"/>
          <w:sz w:val="24"/>
          <w:szCs w:val="24"/>
        </w:rPr>
        <w:t xml:space="preserve"> </w:t>
      </w:r>
    </w:p>
    <w:p w:rsidR="00E503EF" w:rsidRPr="00145E32" w:rsidRDefault="00E503EF" w:rsidP="00B55147">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Having carefully considered the submissions by the three legal practitioners as well as analysing the documentary evidence filed, I am more than satisfied that the odds are heavily til</w:t>
      </w:r>
      <w:r w:rsidR="004C6714" w:rsidRPr="00145E32">
        <w:rPr>
          <w:rFonts w:ascii="Times New Roman" w:hAnsi="Times New Roman" w:cs="Times New Roman"/>
          <w:sz w:val="24"/>
          <w:szCs w:val="24"/>
        </w:rPr>
        <w:t>t</w:t>
      </w:r>
      <w:r w:rsidRPr="00145E32">
        <w:rPr>
          <w:rFonts w:ascii="Times New Roman" w:hAnsi="Times New Roman" w:cs="Times New Roman"/>
          <w:sz w:val="24"/>
          <w:szCs w:val="24"/>
        </w:rPr>
        <w:t>ed in favour of the applicant in this matter.</w:t>
      </w:r>
    </w:p>
    <w:p w:rsidR="00E503EF" w:rsidRPr="00145E32" w:rsidRDefault="00E503EF" w:rsidP="00B55147">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t>In fact, whichever way on</w:t>
      </w:r>
      <w:r w:rsidR="004C6714" w:rsidRPr="00145E32">
        <w:rPr>
          <w:rFonts w:ascii="Times New Roman" w:hAnsi="Times New Roman" w:cs="Times New Roman"/>
          <w:sz w:val="24"/>
          <w:szCs w:val="24"/>
        </w:rPr>
        <w:t>e</w:t>
      </w:r>
      <w:r w:rsidRPr="00145E32">
        <w:rPr>
          <w:rFonts w:ascii="Times New Roman" w:hAnsi="Times New Roman" w:cs="Times New Roman"/>
          <w:sz w:val="24"/>
          <w:szCs w:val="24"/>
        </w:rPr>
        <w:t xml:space="preserve"> looks at the interests of the competing parties, one cannot but inevitably conclude that the balance of convenience in this matter dictate that the provisional order be confirmed.</w:t>
      </w:r>
    </w:p>
    <w:p w:rsidR="006C08B3" w:rsidRPr="00145E32" w:rsidRDefault="00E503EF" w:rsidP="00B55147">
      <w:pPr>
        <w:spacing w:after="0" w:line="360" w:lineRule="auto"/>
        <w:jc w:val="both"/>
        <w:rPr>
          <w:rFonts w:ascii="Times New Roman" w:hAnsi="Times New Roman" w:cs="Times New Roman"/>
          <w:sz w:val="24"/>
          <w:szCs w:val="24"/>
        </w:rPr>
      </w:pPr>
      <w:r w:rsidRPr="00145E32">
        <w:rPr>
          <w:rFonts w:ascii="Times New Roman" w:hAnsi="Times New Roman" w:cs="Times New Roman"/>
          <w:sz w:val="24"/>
          <w:szCs w:val="24"/>
        </w:rPr>
        <w:tab/>
      </w:r>
      <w:r w:rsidR="001A5A09" w:rsidRPr="00145E32">
        <w:rPr>
          <w:rFonts w:ascii="Times New Roman" w:hAnsi="Times New Roman" w:cs="Times New Roman"/>
          <w:sz w:val="24"/>
          <w:szCs w:val="24"/>
        </w:rPr>
        <w:t>O</w:t>
      </w:r>
      <w:r w:rsidRPr="00145E32">
        <w:rPr>
          <w:rFonts w:ascii="Times New Roman" w:hAnsi="Times New Roman" w:cs="Times New Roman"/>
          <w:sz w:val="24"/>
          <w:szCs w:val="24"/>
        </w:rPr>
        <w:t xml:space="preserve">n the question of costs, whilst I accept that it must be in very unusual circumstances that punitive costs are awarded, I am satisfied that the first respondent has demonstrated total stubbornness in opposing this matter. To show the court’s displeasure </w:t>
      </w:r>
      <w:r w:rsidR="001A5A09" w:rsidRPr="00145E32">
        <w:rPr>
          <w:rFonts w:ascii="Times New Roman" w:hAnsi="Times New Roman" w:cs="Times New Roman"/>
          <w:sz w:val="24"/>
          <w:szCs w:val="24"/>
        </w:rPr>
        <w:t>with</w:t>
      </w:r>
      <w:r w:rsidRPr="00145E32">
        <w:rPr>
          <w:rFonts w:ascii="Times New Roman" w:hAnsi="Times New Roman" w:cs="Times New Roman"/>
          <w:sz w:val="24"/>
          <w:szCs w:val="24"/>
        </w:rPr>
        <w:t xml:space="preserve"> such conduct and </w:t>
      </w:r>
      <w:r w:rsidRPr="00145E32">
        <w:rPr>
          <w:rFonts w:ascii="Times New Roman" w:hAnsi="Times New Roman" w:cs="Times New Roman"/>
          <w:sz w:val="24"/>
          <w:szCs w:val="24"/>
        </w:rPr>
        <w:lastRenderedPageBreak/>
        <w:t>in order to discourage frivolous and vexatious litigation, the first respondent must be ordered to</w:t>
      </w:r>
      <w:r w:rsidR="006C08B3" w:rsidRPr="00145E32">
        <w:rPr>
          <w:rFonts w:ascii="Times New Roman" w:hAnsi="Times New Roman" w:cs="Times New Roman"/>
          <w:sz w:val="24"/>
          <w:szCs w:val="24"/>
        </w:rPr>
        <w:t xml:space="preserve"> pay costs on Attorney-Client Scale.</w:t>
      </w:r>
    </w:p>
    <w:p w:rsidR="006C08B3" w:rsidRPr="00145E32" w:rsidRDefault="006C08B3" w:rsidP="00B55147">
      <w:pPr>
        <w:spacing w:after="0" w:line="360" w:lineRule="auto"/>
        <w:jc w:val="both"/>
        <w:rPr>
          <w:rFonts w:ascii="Times New Roman" w:hAnsi="Times New Roman" w:cs="Times New Roman"/>
          <w:sz w:val="24"/>
          <w:szCs w:val="24"/>
        </w:rPr>
      </w:pPr>
    </w:p>
    <w:p w:rsidR="006C08B3" w:rsidRPr="00145E32" w:rsidRDefault="006C08B3" w:rsidP="00B55147">
      <w:pPr>
        <w:spacing w:after="0" w:line="360" w:lineRule="auto"/>
        <w:jc w:val="both"/>
        <w:rPr>
          <w:rFonts w:ascii="Times New Roman" w:hAnsi="Times New Roman" w:cs="Times New Roman"/>
          <w:sz w:val="24"/>
          <w:szCs w:val="24"/>
        </w:rPr>
      </w:pPr>
    </w:p>
    <w:p w:rsidR="006C08B3" w:rsidRPr="00145E32" w:rsidRDefault="006C08B3" w:rsidP="00B55147">
      <w:pPr>
        <w:spacing w:after="0" w:line="360" w:lineRule="auto"/>
        <w:jc w:val="both"/>
        <w:rPr>
          <w:rFonts w:ascii="Times New Roman" w:hAnsi="Times New Roman" w:cs="Times New Roman"/>
          <w:sz w:val="24"/>
          <w:szCs w:val="24"/>
        </w:rPr>
      </w:pPr>
    </w:p>
    <w:p w:rsidR="006C08B3" w:rsidRPr="00145E32" w:rsidRDefault="006C08B3" w:rsidP="006C08B3">
      <w:pPr>
        <w:spacing w:after="0" w:line="240" w:lineRule="auto"/>
        <w:jc w:val="both"/>
        <w:rPr>
          <w:rFonts w:ascii="Times New Roman" w:hAnsi="Times New Roman" w:cs="Times New Roman"/>
          <w:sz w:val="24"/>
          <w:szCs w:val="24"/>
        </w:rPr>
      </w:pPr>
      <w:proofErr w:type="spellStart"/>
      <w:r w:rsidRPr="00145E32">
        <w:rPr>
          <w:rFonts w:ascii="Times New Roman" w:hAnsi="Times New Roman" w:cs="Times New Roman"/>
          <w:i/>
          <w:sz w:val="24"/>
          <w:szCs w:val="24"/>
        </w:rPr>
        <w:t>Chinyama</w:t>
      </w:r>
      <w:proofErr w:type="spellEnd"/>
      <w:r w:rsidRPr="00145E32">
        <w:rPr>
          <w:rFonts w:ascii="Times New Roman" w:hAnsi="Times New Roman" w:cs="Times New Roman"/>
          <w:i/>
          <w:sz w:val="24"/>
          <w:szCs w:val="24"/>
        </w:rPr>
        <w:t xml:space="preserve"> and Partners, </w:t>
      </w:r>
      <w:r w:rsidRPr="00145E32">
        <w:rPr>
          <w:rFonts w:ascii="Times New Roman" w:hAnsi="Times New Roman" w:cs="Times New Roman"/>
          <w:sz w:val="24"/>
          <w:szCs w:val="24"/>
        </w:rPr>
        <w:t>applicant’s legal practitioners</w:t>
      </w:r>
    </w:p>
    <w:p w:rsidR="006C08B3" w:rsidRPr="00145E32" w:rsidRDefault="006C08B3" w:rsidP="006C08B3">
      <w:pPr>
        <w:spacing w:after="0" w:line="240" w:lineRule="auto"/>
        <w:jc w:val="both"/>
        <w:rPr>
          <w:rFonts w:ascii="Times New Roman" w:hAnsi="Times New Roman" w:cs="Times New Roman"/>
          <w:sz w:val="24"/>
          <w:szCs w:val="24"/>
        </w:rPr>
      </w:pPr>
      <w:proofErr w:type="spellStart"/>
      <w:r w:rsidRPr="00145E32">
        <w:rPr>
          <w:rFonts w:ascii="Times New Roman" w:hAnsi="Times New Roman" w:cs="Times New Roman"/>
          <w:i/>
          <w:sz w:val="24"/>
          <w:szCs w:val="24"/>
        </w:rPr>
        <w:t>Zimbodza</w:t>
      </w:r>
      <w:proofErr w:type="spellEnd"/>
      <w:r w:rsidRPr="00145E32">
        <w:rPr>
          <w:rFonts w:ascii="Times New Roman" w:hAnsi="Times New Roman" w:cs="Times New Roman"/>
          <w:i/>
          <w:sz w:val="24"/>
          <w:szCs w:val="24"/>
        </w:rPr>
        <w:t xml:space="preserve"> and Associates</w:t>
      </w:r>
      <w:r w:rsidRPr="00145E32">
        <w:rPr>
          <w:rFonts w:ascii="Times New Roman" w:hAnsi="Times New Roman" w:cs="Times New Roman"/>
          <w:sz w:val="24"/>
          <w:szCs w:val="24"/>
        </w:rPr>
        <w:t xml:space="preserve"> 1</w:t>
      </w:r>
      <w:r w:rsidRPr="00145E32">
        <w:rPr>
          <w:rFonts w:ascii="Times New Roman" w:hAnsi="Times New Roman" w:cs="Times New Roman"/>
          <w:sz w:val="24"/>
          <w:szCs w:val="24"/>
          <w:vertAlign w:val="superscript"/>
        </w:rPr>
        <w:t>st</w:t>
      </w:r>
      <w:r w:rsidRPr="00145E32">
        <w:rPr>
          <w:rFonts w:ascii="Times New Roman" w:hAnsi="Times New Roman" w:cs="Times New Roman"/>
          <w:sz w:val="24"/>
          <w:szCs w:val="24"/>
        </w:rPr>
        <w:t xml:space="preserve"> respondent’s legal practitioners</w:t>
      </w:r>
    </w:p>
    <w:p w:rsidR="00902979" w:rsidRPr="00145E32" w:rsidRDefault="006C08B3" w:rsidP="006C08B3">
      <w:pPr>
        <w:spacing w:after="0" w:line="240" w:lineRule="auto"/>
        <w:jc w:val="both"/>
        <w:rPr>
          <w:rFonts w:ascii="Times New Roman" w:hAnsi="Times New Roman" w:cs="Times New Roman"/>
          <w:sz w:val="24"/>
          <w:szCs w:val="24"/>
        </w:rPr>
      </w:pPr>
      <w:r w:rsidRPr="00145E32">
        <w:rPr>
          <w:rFonts w:ascii="Times New Roman" w:hAnsi="Times New Roman" w:cs="Times New Roman"/>
          <w:i/>
          <w:sz w:val="24"/>
          <w:szCs w:val="24"/>
        </w:rPr>
        <w:t>Civil Division of the Attorney-General’s Office</w:t>
      </w:r>
      <w:r w:rsidRPr="00145E32">
        <w:rPr>
          <w:rFonts w:ascii="Times New Roman" w:hAnsi="Times New Roman" w:cs="Times New Roman"/>
          <w:sz w:val="24"/>
          <w:szCs w:val="24"/>
        </w:rPr>
        <w:t>, 2</w:t>
      </w:r>
      <w:r w:rsidRPr="00145E32">
        <w:rPr>
          <w:rFonts w:ascii="Times New Roman" w:hAnsi="Times New Roman" w:cs="Times New Roman"/>
          <w:sz w:val="24"/>
          <w:szCs w:val="24"/>
          <w:vertAlign w:val="superscript"/>
        </w:rPr>
        <w:t>nd</w:t>
      </w:r>
      <w:r w:rsidRPr="00145E32">
        <w:rPr>
          <w:rFonts w:ascii="Times New Roman" w:hAnsi="Times New Roman" w:cs="Times New Roman"/>
          <w:sz w:val="24"/>
          <w:szCs w:val="24"/>
        </w:rPr>
        <w:t xml:space="preserve"> &amp; 3</w:t>
      </w:r>
      <w:r w:rsidRPr="00145E32">
        <w:rPr>
          <w:rFonts w:ascii="Times New Roman" w:hAnsi="Times New Roman" w:cs="Times New Roman"/>
          <w:sz w:val="24"/>
          <w:szCs w:val="24"/>
          <w:vertAlign w:val="superscript"/>
        </w:rPr>
        <w:t>rd</w:t>
      </w:r>
      <w:r w:rsidRPr="00145E32">
        <w:rPr>
          <w:rFonts w:ascii="Times New Roman" w:hAnsi="Times New Roman" w:cs="Times New Roman"/>
          <w:sz w:val="24"/>
          <w:szCs w:val="24"/>
        </w:rPr>
        <w:t xml:space="preserve"> respondents’ legal practitioners</w:t>
      </w:r>
      <w:r w:rsidR="00E503EF" w:rsidRPr="00145E32">
        <w:rPr>
          <w:rFonts w:ascii="Times New Roman" w:hAnsi="Times New Roman" w:cs="Times New Roman"/>
          <w:sz w:val="24"/>
          <w:szCs w:val="24"/>
        </w:rPr>
        <w:t xml:space="preserve">  </w:t>
      </w:r>
      <w:r w:rsidR="007F0D6F" w:rsidRPr="00145E32">
        <w:rPr>
          <w:rFonts w:ascii="Times New Roman" w:hAnsi="Times New Roman" w:cs="Times New Roman"/>
          <w:sz w:val="24"/>
          <w:szCs w:val="24"/>
        </w:rPr>
        <w:t xml:space="preserve">  </w:t>
      </w:r>
      <w:r w:rsidR="00902979" w:rsidRPr="00145E32">
        <w:rPr>
          <w:rFonts w:ascii="Times New Roman" w:hAnsi="Times New Roman" w:cs="Times New Roman"/>
          <w:sz w:val="24"/>
          <w:szCs w:val="24"/>
        </w:rPr>
        <w:t xml:space="preserve"> </w:t>
      </w:r>
    </w:p>
    <w:sectPr w:rsidR="00902979" w:rsidRPr="00145E32">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52F" w:rsidRDefault="00B6652F" w:rsidP="0000697F">
      <w:pPr>
        <w:spacing w:after="0" w:line="240" w:lineRule="auto"/>
      </w:pPr>
      <w:r>
        <w:separator/>
      </w:r>
    </w:p>
  </w:endnote>
  <w:endnote w:type="continuationSeparator" w:id="0">
    <w:p w:rsidR="00B6652F" w:rsidRDefault="00B6652F" w:rsidP="0000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52F" w:rsidRDefault="00B6652F" w:rsidP="0000697F">
      <w:pPr>
        <w:spacing w:after="0" w:line="240" w:lineRule="auto"/>
      </w:pPr>
      <w:r>
        <w:separator/>
      </w:r>
    </w:p>
  </w:footnote>
  <w:footnote w:type="continuationSeparator" w:id="0">
    <w:p w:rsidR="00B6652F" w:rsidRDefault="00B6652F" w:rsidP="00006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735602"/>
      <w:docPartObj>
        <w:docPartGallery w:val="Page Numbers (Top of Page)"/>
        <w:docPartUnique/>
      </w:docPartObj>
    </w:sdtPr>
    <w:sdtEndPr>
      <w:rPr>
        <w:noProof/>
      </w:rPr>
    </w:sdtEndPr>
    <w:sdtContent>
      <w:p w:rsidR="0000697F" w:rsidRDefault="0000697F">
        <w:pPr>
          <w:pStyle w:val="Header"/>
          <w:jc w:val="right"/>
          <w:rPr>
            <w:noProof/>
          </w:rPr>
        </w:pPr>
        <w:r>
          <w:fldChar w:fldCharType="begin"/>
        </w:r>
        <w:r>
          <w:instrText xml:space="preserve"> PAGE   \* MERGEFORMAT </w:instrText>
        </w:r>
        <w:r>
          <w:fldChar w:fldCharType="separate"/>
        </w:r>
        <w:r w:rsidR="0090710B">
          <w:rPr>
            <w:noProof/>
          </w:rPr>
          <w:t>1</w:t>
        </w:r>
        <w:r>
          <w:rPr>
            <w:noProof/>
          </w:rPr>
          <w:fldChar w:fldCharType="end"/>
        </w:r>
      </w:p>
      <w:p w:rsidR="0000697F" w:rsidRDefault="0000697F">
        <w:pPr>
          <w:pStyle w:val="Header"/>
          <w:jc w:val="right"/>
          <w:rPr>
            <w:noProof/>
          </w:rPr>
        </w:pPr>
        <w:r>
          <w:rPr>
            <w:noProof/>
          </w:rPr>
          <w:t>HH</w:t>
        </w:r>
        <w:r w:rsidR="00A40BAA">
          <w:rPr>
            <w:noProof/>
          </w:rPr>
          <w:t xml:space="preserve"> 462-12</w:t>
        </w:r>
      </w:p>
      <w:p w:rsidR="0000697F" w:rsidRDefault="0000697F">
        <w:pPr>
          <w:pStyle w:val="Header"/>
          <w:jc w:val="right"/>
        </w:pPr>
        <w:r>
          <w:rPr>
            <w:noProof/>
          </w:rPr>
          <w:t>HC 6948/12</w:t>
        </w:r>
      </w:p>
    </w:sdtContent>
  </w:sdt>
  <w:p w:rsidR="0000697F" w:rsidRDefault="000069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9675E"/>
    <w:multiLevelType w:val="hybridMultilevel"/>
    <w:tmpl w:val="B33CAA8C"/>
    <w:lvl w:ilvl="0" w:tplc="11F0A53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62A"/>
    <w:rsid w:val="0000697F"/>
    <w:rsid w:val="00021D87"/>
    <w:rsid w:val="00024920"/>
    <w:rsid w:val="000B3D68"/>
    <w:rsid w:val="00145E32"/>
    <w:rsid w:val="001A5A09"/>
    <w:rsid w:val="002C762A"/>
    <w:rsid w:val="0032076C"/>
    <w:rsid w:val="00372A2F"/>
    <w:rsid w:val="00381DC4"/>
    <w:rsid w:val="00396DA1"/>
    <w:rsid w:val="004C6714"/>
    <w:rsid w:val="005D2E3E"/>
    <w:rsid w:val="006C08B3"/>
    <w:rsid w:val="007370BB"/>
    <w:rsid w:val="007F0D6F"/>
    <w:rsid w:val="008256E3"/>
    <w:rsid w:val="008D4225"/>
    <w:rsid w:val="00902979"/>
    <w:rsid w:val="0090710B"/>
    <w:rsid w:val="00A0741C"/>
    <w:rsid w:val="00A24DE9"/>
    <w:rsid w:val="00A40BAA"/>
    <w:rsid w:val="00B55147"/>
    <w:rsid w:val="00B6652F"/>
    <w:rsid w:val="00CB4662"/>
    <w:rsid w:val="00D228C0"/>
    <w:rsid w:val="00DD6853"/>
    <w:rsid w:val="00E16E0E"/>
    <w:rsid w:val="00E503EF"/>
    <w:rsid w:val="00F25856"/>
    <w:rsid w:val="00F33B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62A"/>
    <w:pPr>
      <w:ind w:left="720"/>
      <w:contextualSpacing/>
    </w:pPr>
  </w:style>
  <w:style w:type="paragraph" w:styleId="Header">
    <w:name w:val="header"/>
    <w:basedOn w:val="Normal"/>
    <w:link w:val="HeaderChar"/>
    <w:uiPriority w:val="99"/>
    <w:unhideWhenUsed/>
    <w:rsid w:val="00006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97F"/>
  </w:style>
  <w:style w:type="paragraph" w:styleId="Footer">
    <w:name w:val="footer"/>
    <w:basedOn w:val="Normal"/>
    <w:link w:val="FooterChar"/>
    <w:uiPriority w:val="99"/>
    <w:unhideWhenUsed/>
    <w:rsid w:val="00006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97F"/>
  </w:style>
  <w:style w:type="paragraph" w:styleId="BalloonText">
    <w:name w:val="Balloon Text"/>
    <w:basedOn w:val="Normal"/>
    <w:link w:val="BalloonTextChar"/>
    <w:uiPriority w:val="99"/>
    <w:semiHidden/>
    <w:unhideWhenUsed/>
    <w:rsid w:val="00F33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B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62A"/>
    <w:pPr>
      <w:ind w:left="720"/>
      <w:contextualSpacing/>
    </w:pPr>
  </w:style>
  <w:style w:type="paragraph" w:styleId="Header">
    <w:name w:val="header"/>
    <w:basedOn w:val="Normal"/>
    <w:link w:val="HeaderChar"/>
    <w:uiPriority w:val="99"/>
    <w:unhideWhenUsed/>
    <w:rsid w:val="00006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97F"/>
  </w:style>
  <w:style w:type="paragraph" w:styleId="Footer">
    <w:name w:val="footer"/>
    <w:basedOn w:val="Normal"/>
    <w:link w:val="FooterChar"/>
    <w:uiPriority w:val="99"/>
    <w:unhideWhenUsed/>
    <w:rsid w:val="00006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97F"/>
  </w:style>
  <w:style w:type="paragraph" w:styleId="BalloonText">
    <w:name w:val="Balloon Text"/>
    <w:basedOn w:val="Normal"/>
    <w:link w:val="BalloonTextChar"/>
    <w:uiPriority w:val="99"/>
    <w:semiHidden/>
    <w:unhideWhenUsed/>
    <w:rsid w:val="00F33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B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2012-12-19T07:46:00Z</cp:lastPrinted>
  <dcterms:created xsi:type="dcterms:W3CDTF">2013-01-16T10:42:00Z</dcterms:created>
  <dcterms:modified xsi:type="dcterms:W3CDTF">2013-01-16T10:42:00Z</dcterms:modified>
</cp:coreProperties>
</file>