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36D5" w:rsidRPr="003E7EE7" w:rsidRDefault="00EE36D5" w:rsidP="00EE36D5">
      <w:pPr>
        <w:spacing w:line="360" w:lineRule="auto"/>
        <w:jc w:val="both"/>
        <w:rPr>
          <w:rFonts w:cs="Tahoma"/>
          <w:b/>
        </w:rPr>
      </w:pPr>
      <w:r w:rsidRPr="003E7EE7">
        <w:rPr>
          <w:rFonts w:cs="Tahoma"/>
          <w:b/>
        </w:rPr>
        <w:t>IN THE LABOUR COURT O</w:t>
      </w:r>
      <w:r>
        <w:rPr>
          <w:rFonts w:cs="Tahoma"/>
          <w:b/>
        </w:rPr>
        <w:t>F ZIMBABWE</w:t>
      </w:r>
      <w:r>
        <w:rPr>
          <w:rFonts w:cs="Tahoma"/>
          <w:b/>
        </w:rPr>
        <w:tab/>
        <w:t xml:space="preserve">    </w:t>
      </w:r>
      <w:r w:rsidRPr="003E7EE7">
        <w:rPr>
          <w:rFonts w:cs="Tahoma"/>
          <w:b/>
        </w:rPr>
        <w:t>JUDGMENT NO. LC/H/</w:t>
      </w:r>
      <w:r w:rsidR="00BE450E">
        <w:rPr>
          <w:rFonts w:cs="Tahoma"/>
          <w:b/>
        </w:rPr>
        <w:t>808</w:t>
      </w:r>
      <w:r w:rsidRPr="003E7EE7">
        <w:rPr>
          <w:rFonts w:cs="Tahoma"/>
          <w:b/>
        </w:rPr>
        <w:t>/16</w:t>
      </w:r>
    </w:p>
    <w:p w:rsidR="00EE36D5" w:rsidRPr="003E7EE7" w:rsidRDefault="00EE36D5" w:rsidP="00EE36D5">
      <w:pPr>
        <w:spacing w:line="360" w:lineRule="auto"/>
        <w:jc w:val="both"/>
        <w:rPr>
          <w:rFonts w:cs="Tahoma"/>
          <w:b/>
        </w:rPr>
      </w:pPr>
      <w:r w:rsidRPr="003E7EE7">
        <w:rPr>
          <w:rFonts w:cs="Tahoma"/>
          <w:b/>
        </w:rPr>
        <w:t xml:space="preserve">HARARE, </w:t>
      </w:r>
      <w:r>
        <w:rPr>
          <w:rFonts w:cs="Tahoma"/>
          <w:b/>
        </w:rPr>
        <w:t>6 OCTOBER 2016</w:t>
      </w:r>
      <w:r>
        <w:rPr>
          <w:rFonts w:cs="Tahoma"/>
          <w:b/>
        </w:rPr>
        <w:tab/>
      </w:r>
      <w:r>
        <w:rPr>
          <w:rFonts w:cs="Tahoma"/>
          <w:b/>
        </w:rPr>
        <w:tab/>
      </w:r>
      <w:r>
        <w:rPr>
          <w:rFonts w:cs="Tahoma"/>
          <w:b/>
        </w:rPr>
        <w:tab/>
        <w:t xml:space="preserve">   </w:t>
      </w:r>
      <w:r w:rsidRPr="003E7EE7">
        <w:rPr>
          <w:rFonts w:cs="Tahoma"/>
          <w:b/>
        </w:rPr>
        <w:t>CASE NO. LC/H/</w:t>
      </w:r>
      <w:r>
        <w:rPr>
          <w:rFonts w:cs="Tahoma"/>
          <w:b/>
        </w:rPr>
        <w:t>LRA/186/16</w:t>
      </w:r>
    </w:p>
    <w:p w:rsidR="00EE36D5" w:rsidRPr="003E7EE7" w:rsidRDefault="00EE36D5" w:rsidP="00EE36D5">
      <w:pPr>
        <w:spacing w:line="360" w:lineRule="auto"/>
        <w:jc w:val="both"/>
        <w:rPr>
          <w:rFonts w:cs="Tahoma"/>
          <w:b/>
        </w:rPr>
      </w:pPr>
      <w:r>
        <w:rPr>
          <w:rFonts w:cs="Tahoma"/>
          <w:b/>
        </w:rPr>
        <w:t xml:space="preserve"> AND </w:t>
      </w:r>
      <w:r w:rsidR="00BE450E">
        <w:rPr>
          <w:rFonts w:cs="Tahoma"/>
          <w:b/>
        </w:rPr>
        <w:t>16 DECEMBER</w:t>
      </w:r>
      <w:r w:rsidRPr="003E7EE7">
        <w:rPr>
          <w:rFonts w:cs="Tahoma"/>
          <w:b/>
        </w:rPr>
        <w:t xml:space="preserve"> 2016</w:t>
      </w:r>
      <w:r w:rsidRPr="003E7EE7">
        <w:rPr>
          <w:rFonts w:cs="Tahoma"/>
          <w:b/>
        </w:rPr>
        <w:tab/>
      </w:r>
      <w:r w:rsidRPr="003E7EE7">
        <w:rPr>
          <w:rFonts w:cs="Tahoma"/>
          <w:b/>
        </w:rPr>
        <w:tab/>
      </w:r>
      <w:r w:rsidRPr="003E7EE7">
        <w:rPr>
          <w:rFonts w:cs="Tahoma"/>
          <w:b/>
        </w:rPr>
        <w:tab/>
      </w:r>
      <w:r w:rsidRPr="003E7EE7">
        <w:rPr>
          <w:rFonts w:cs="Tahoma"/>
          <w:b/>
        </w:rPr>
        <w:tab/>
      </w:r>
      <w:r w:rsidRPr="003E7EE7">
        <w:rPr>
          <w:rFonts w:cs="Tahoma"/>
          <w:b/>
        </w:rPr>
        <w:tab/>
      </w:r>
      <w:r w:rsidRPr="003E7EE7">
        <w:rPr>
          <w:rFonts w:cs="Tahoma"/>
          <w:b/>
        </w:rPr>
        <w:tab/>
        <w:t xml:space="preserve"> </w:t>
      </w:r>
    </w:p>
    <w:p w:rsidR="00EE36D5" w:rsidRPr="003E7EE7" w:rsidRDefault="00EE36D5" w:rsidP="00EE36D5">
      <w:pPr>
        <w:spacing w:line="360" w:lineRule="auto"/>
        <w:jc w:val="both"/>
        <w:rPr>
          <w:rFonts w:cs="Tahoma"/>
        </w:rPr>
      </w:pPr>
      <w:r w:rsidRPr="003E7EE7">
        <w:rPr>
          <w:rFonts w:cs="Tahoma"/>
        </w:rPr>
        <w:t>In the matter between:-</w:t>
      </w:r>
    </w:p>
    <w:p w:rsidR="00EE36D5" w:rsidRPr="003E7EE7" w:rsidRDefault="00EE36D5" w:rsidP="00EE36D5">
      <w:pPr>
        <w:spacing w:line="360" w:lineRule="auto"/>
        <w:jc w:val="both"/>
        <w:rPr>
          <w:rFonts w:cs="Tahoma"/>
        </w:rPr>
      </w:pPr>
    </w:p>
    <w:p w:rsidR="00EE36D5" w:rsidRPr="003E7EE7" w:rsidRDefault="003A1E80" w:rsidP="00EE36D5">
      <w:pPr>
        <w:spacing w:line="360" w:lineRule="auto"/>
        <w:jc w:val="both"/>
        <w:rPr>
          <w:rFonts w:cs="Tahoma"/>
          <w:b/>
        </w:rPr>
      </w:pPr>
      <w:r>
        <w:rPr>
          <w:rFonts w:cs="Tahoma"/>
          <w:b/>
        </w:rPr>
        <w:t>ZHAKATA JEA</w:t>
      </w:r>
      <w:r w:rsidR="00984E79">
        <w:rPr>
          <w:rFonts w:cs="Tahoma"/>
          <w:b/>
        </w:rPr>
        <w:t>L</w:t>
      </w:r>
      <w:r>
        <w:rPr>
          <w:rFonts w:cs="Tahoma"/>
          <w:b/>
        </w:rPr>
        <w:t>OUS</w:t>
      </w:r>
      <w:r w:rsidR="00EE36D5" w:rsidRPr="003E7EE7">
        <w:rPr>
          <w:rFonts w:cs="Tahoma"/>
          <w:b/>
        </w:rPr>
        <w:tab/>
      </w:r>
      <w:r w:rsidR="00EE36D5" w:rsidRPr="003E7EE7">
        <w:rPr>
          <w:rFonts w:cs="Tahoma"/>
          <w:b/>
        </w:rPr>
        <w:tab/>
      </w:r>
      <w:r w:rsidR="00EE36D5" w:rsidRPr="003E7EE7">
        <w:rPr>
          <w:rFonts w:cs="Tahoma"/>
          <w:b/>
        </w:rPr>
        <w:tab/>
      </w:r>
      <w:r w:rsidR="00EE36D5" w:rsidRPr="003E7EE7">
        <w:rPr>
          <w:rFonts w:cs="Tahoma"/>
          <w:b/>
        </w:rPr>
        <w:tab/>
        <w:t>Applicant</w:t>
      </w:r>
    </w:p>
    <w:p w:rsidR="00EE36D5" w:rsidRPr="003E7EE7" w:rsidRDefault="00EE36D5" w:rsidP="00EE36D5">
      <w:pPr>
        <w:spacing w:line="360" w:lineRule="auto"/>
        <w:jc w:val="both"/>
        <w:rPr>
          <w:rFonts w:cs="Tahoma"/>
        </w:rPr>
      </w:pPr>
      <w:r w:rsidRPr="003E7EE7">
        <w:rPr>
          <w:rFonts w:cs="Tahoma"/>
        </w:rPr>
        <w:t>And</w:t>
      </w:r>
    </w:p>
    <w:p w:rsidR="00EE36D5" w:rsidRPr="003E7EE7" w:rsidRDefault="003A1E80" w:rsidP="00EE36D5">
      <w:pPr>
        <w:spacing w:line="360" w:lineRule="auto"/>
        <w:jc w:val="both"/>
        <w:rPr>
          <w:rFonts w:cs="Tahoma"/>
          <w:b/>
        </w:rPr>
      </w:pPr>
      <w:r>
        <w:rPr>
          <w:rFonts w:cs="Tahoma"/>
          <w:b/>
        </w:rPr>
        <w:t>BETA BRICKS</w:t>
      </w:r>
      <w:r w:rsidR="00984E79">
        <w:rPr>
          <w:rFonts w:cs="Tahoma"/>
          <w:b/>
        </w:rPr>
        <w:tab/>
      </w:r>
      <w:bookmarkStart w:id="0" w:name="_GoBack"/>
      <w:bookmarkEnd w:id="0"/>
      <w:r w:rsidR="00EE36D5" w:rsidRPr="003E7EE7">
        <w:rPr>
          <w:rFonts w:cs="Tahoma"/>
          <w:b/>
        </w:rPr>
        <w:tab/>
      </w:r>
      <w:r w:rsidR="00EE36D5" w:rsidRPr="003E7EE7">
        <w:rPr>
          <w:rFonts w:cs="Tahoma"/>
          <w:b/>
        </w:rPr>
        <w:tab/>
      </w:r>
      <w:r w:rsidR="00EE36D5" w:rsidRPr="003E7EE7">
        <w:rPr>
          <w:rFonts w:cs="Tahoma"/>
          <w:b/>
        </w:rPr>
        <w:tab/>
      </w:r>
      <w:r w:rsidR="00EE36D5" w:rsidRPr="003E7EE7">
        <w:rPr>
          <w:rFonts w:cs="Tahoma"/>
          <w:b/>
        </w:rPr>
        <w:tab/>
        <w:t>Respondent</w:t>
      </w:r>
    </w:p>
    <w:p w:rsidR="00EE36D5" w:rsidRPr="003E7EE7" w:rsidRDefault="00EE36D5" w:rsidP="00EE36D5">
      <w:pPr>
        <w:spacing w:line="360" w:lineRule="auto"/>
        <w:jc w:val="both"/>
        <w:rPr>
          <w:rFonts w:cs="Tahoma"/>
          <w:b/>
        </w:rPr>
      </w:pPr>
    </w:p>
    <w:p w:rsidR="00EE36D5" w:rsidRPr="003E7EE7" w:rsidRDefault="00EE36D5" w:rsidP="00EE36D5">
      <w:pPr>
        <w:spacing w:line="360" w:lineRule="auto"/>
        <w:jc w:val="both"/>
        <w:rPr>
          <w:rFonts w:cs="Tahoma"/>
        </w:rPr>
      </w:pPr>
      <w:r w:rsidRPr="003E7EE7">
        <w:rPr>
          <w:rFonts w:cs="Tahoma"/>
        </w:rPr>
        <w:t>Before The Honourable E. Muchawa, Judge</w:t>
      </w:r>
    </w:p>
    <w:p w:rsidR="00EE36D5" w:rsidRPr="003E7EE7" w:rsidRDefault="00EE36D5" w:rsidP="00EE36D5">
      <w:pPr>
        <w:spacing w:line="360" w:lineRule="auto"/>
        <w:jc w:val="both"/>
        <w:rPr>
          <w:rFonts w:cs="Tahoma"/>
        </w:rPr>
      </w:pPr>
    </w:p>
    <w:p w:rsidR="00EE36D5" w:rsidRPr="003E7EE7" w:rsidRDefault="00EE36D5" w:rsidP="00EE36D5">
      <w:pPr>
        <w:spacing w:line="360" w:lineRule="auto"/>
        <w:ind w:left="2880" w:hanging="2880"/>
        <w:jc w:val="both"/>
        <w:rPr>
          <w:rFonts w:cs="Tahoma"/>
          <w:b/>
        </w:rPr>
      </w:pPr>
      <w:r w:rsidRPr="003E7EE7">
        <w:rPr>
          <w:rFonts w:cs="Tahoma"/>
          <w:b/>
        </w:rPr>
        <w:t>For Applicant</w:t>
      </w:r>
      <w:r w:rsidR="003A1E80">
        <w:rPr>
          <w:rFonts w:cs="Tahoma"/>
          <w:b/>
        </w:rPr>
        <w:tab/>
        <w:t>In person</w:t>
      </w:r>
      <w:r>
        <w:rPr>
          <w:rFonts w:cs="Tahoma"/>
          <w:b/>
        </w:rPr>
        <w:tab/>
      </w:r>
    </w:p>
    <w:p w:rsidR="00EE36D5" w:rsidRDefault="00EE36D5" w:rsidP="00EE36D5">
      <w:pPr>
        <w:spacing w:line="360" w:lineRule="auto"/>
        <w:ind w:left="2880" w:hanging="2880"/>
        <w:jc w:val="both"/>
        <w:rPr>
          <w:rFonts w:cs="Tahoma"/>
          <w:b/>
        </w:rPr>
      </w:pPr>
      <w:r w:rsidRPr="003E7EE7">
        <w:rPr>
          <w:rFonts w:cs="Tahoma"/>
          <w:b/>
        </w:rPr>
        <w:t>For Respondent</w:t>
      </w:r>
      <w:r w:rsidR="003A1E80">
        <w:rPr>
          <w:rFonts w:cs="Tahoma"/>
          <w:b/>
        </w:rPr>
        <w:tab/>
        <w:t>Ms C.T. Mugabe (Legal Practitioner)</w:t>
      </w:r>
      <w:r>
        <w:rPr>
          <w:rFonts w:cs="Tahoma"/>
          <w:b/>
        </w:rPr>
        <w:tab/>
      </w:r>
    </w:p>
    <w:p w:rsidR="00EE36D5" w:rsidRDefault="00EE36D5" w:rsidP="00EE36D5">
      <w:pPr>
        <w:spacing w:line="360" w:lineRule="auto"/>
        <w:ind w:left="2880" w:hanging="2880"/>
        <w:jc w:val="both"/>
        <w:rPr>
          <w:rFonts w:cs="Tahoma"/>
          <w:b/>
        </w:rPr>
      </w:pPr>
    </w:p>
    <w:p w:rsidR="00EE36D5" w:rsidRPr="003E7EE7" w:rsidRDefault="00EE36D5" w:rsidP="00EE36D5">
      <w:pPr>
        <w:spacing w:line="360" w:lineRule="auto"/>
        <w:ind w:left="2880" w:hanging="2880"/>
        <w:jc w:val="both"/>
        <w:rPr>
          <w:rFonts w:cs="Tahoma"/>
          <w:b/>
        </w:rPr>
      </w:pPr>
    </w:p>
    <w:p w:rsidR="00EE36D5" w:rsidRPr="003E7EE7" w:rsidRDefault="00EE36D5" w:rsidP="00EE36D5">
      <w:pPr>
        <w:spacing w:line="360" w:lineRule="auto"/>
        <w:jc w:val="both"/>
        <w:rPr>
          <w:rFonts w:cs="Tahoma"/>
          <w:b/>
        </w:rPr>
      </w:pPr>
      <w:r w:rsidRPr="003E7EE7">
        <w:rPr>
          <w:rFonts w:cs="Tahoma"/>
          <w:b/>
        </w:rPr>
        <w:t>MUCHAWA, J:</w:t>
      </w:r>
    </w:p>
    <w:p w:rsidR="00FB053C" w:rsidRDefault="00FB053C" w:rsidP="00DC0D2E">
      <w:pPr>
        <w:spacing w:line="360" w:lineRule="auto"/>
        <w:jc w:val="both"/>
      </w:pPr>
    </w:p>
    <w:p w:rsidR="00DC0D2E" w:rsidRDefault="00DC0D2E" w:rsidP="00DC0D2E">
      <w:pPr>
        <w:spacing w:line="360" w:lineRule="auto"/>
        <w:jc w:val="both"/>
      </w:pPr>
      <w:r>
        <w:tab/>
        <w:t>At the hearing of this matter it emerged that the registrar had ordered a splitting of two matters into two separate files.</w:t>
      </w:r>
    </w:p>
    <w:p w:rsidR="00DC0D2E" w:rsidRDefault="00DC0D2E" w:rsidP="00401EE9">
      <w:pPr>
        <w:jc w:val="both"/>
      </w:pPr>
    </w:p>
    <w:p w:rsidR="00DC0D2E" w:rsidRDefault="00DC0D2E" w:rsidP="00DC0D2E">
      <w:pPr>
        <w:spacing w:line="360" w:lineRule="auto"/>
        <w:jc w:val="both"/>
      </w:pPr>
      <w:r>
        <w:tab/>
        <w:t xml:space="preserve">The matter before me under case LC/H/LRA/186/16 is an application for confirmation of a ruling and order in terms of section 93 (5a) (a) </w:t>
      </w:r>
      <w:r w:rsidR="002E790A">
        <w:t>and (b) of the Labour Act [Chapter 28:01].</w:t>
      </w:r>
    </w:p>
    <w:p w:rsidR="002E790A" w:rsidRDefault="002E790A" w:rsidP="00401EE9">
      <w:pPr>
        <w:jc w:val="both"/>
      </w:pPr>
    </w:p>
    <w:p w:rsidR="002E790A" w:rsidRDefault="002E790A" w:rsidP="00890CD3">
      <w:pPr>
        <w:spacing w:line="360" w:lineRule="auto"/>
        <w:ind w:firstLine="720"/>
        <w:jc w:val="both"/>
      </w:pPr>
      <w:r>
        <w:t>The other matter under LC/H/A</w:t>
      </w:r>
      <w:r w:rsidR="00AB34BF">
        <w:t>PP</w:t>
      </w:r>
      <w:r>
        <w:t>/870/16 is a counter applicatio</w:t>
      </w:r>
      <w:r w:rsidR="00711AB0">
        <w:t>n</w:t>
      </w:r>
      <w:r w:rsidR="00DC0D4E">
        <w:t xml:space="preserve"> for referral or certain constitutional issues to the Constitutional Court in terms of Section 175 (4) of the Constitution of Zimbabwe.  </w:t>
      </w:r>
      <w:r w:rsidR="00890CD3">
        <w:t>The notice of opposition in the application for confirmation was contained in this counter application file.</w:t>
      </w:r>
    </w:p>
    <w:p w:rsidR="00A75430" w:rsidRDefault="00A75430" w:rsidP="00401EE9">
      <w:pPr>
        <w:ind w:firstLine="720"/>
        <w:jc w:val="both"/>
      </w:pPr>
    </w:p>
    <w:p w:rsidR="00A75430" w:rsidRDefault="00A75430" w:rsidP="00890CD3">
      <w:pPr>
        <w:spacing w:line="360" w:lineRule="auto"/>
        <w:ind w:firstLine="720"/>
        <w:jc w:val="both"/>
      </w:pPr>
      <w:r>
        <w:t xml:space="preserve">The Court proceeded in terms of Rule 27 of the Labour Court Rules and ordered a consolidation of the two matters and that they be heard together with the counter application standing as a point </w:t>
      </w:r>
      <w:r w:rsidRPr="00854E42">
        <w:rPr>
          <w:i/>
        </w:rPr>
        <w:t>in limine</w:t>
      </w:r>
      <w:r>
        <w:t xml:space="preserve"> to the application for confirmation.  I reserved my ruling after hearing the parties on this point.  This is it.</w:t>
      </w:r>
    </w:p>
    <w:p w:rsidR="00704C1B" w:rsidRDefault="00704C1B" w:rsidP="00854E42">
      <w:pPr>
        <w:ind w:firstLine="720"/>
        <w:jc w:val="both"/>
      </w:pPr>
    </w:p>
    <w:p w:rsidR="00704C1B" w:rsidRDefault="00704C1B" w:rsidP="00890CD3">
      <w:pPr>
        <w:spacing w:line="360" w:lineRule="auto"/>
        <w:ind w:firstLine="720"/>
        <w:jc w:val="both"/>
      </w:pPr>
      <w:r>
        <w:t xml:space="preserve">The applicant </w:t>
      </w:r>
      <w:r w:rsidR="000D29F6">
        <w:t>is a Labour Officer who presid</w:t>
      </w:r>
      <w:r>
        <w:t>ed over a labour dispute pitting the respondent against</w:t>
      </w:r>
      <w:r w:rsidR="004E3648">
        <w:t xml:space="preserve"> </w:t>
      </w:r>
      <w:r w:rsidR="00AD73A3">
        <w:t>49 former employees (hereinafter referred to as the claimants.</w:t>
      </w:r>
    </w:p>
    <w:p w:rsidR="00AD73A3" w:rsidRDefault="00AD73A3" w:rsidP="00854E42">
      <w:pPr>
        <w:ind w:firstLine="720"/>
        <w:jc w:val="both"/>
      </w:pPr>
    </w:p>
    <w:p w:rsidR="00AD73A3" w:rsidRDefault="00AD73A3" w:rsidP="00890CD3">
      <w:pPr>
        <w:spacing w:line="360" w:lineRule="auto"/>
        <w:ind w:firstLine="720"/>
        <w:jc w:val="both"/>
      </w:pPr>
      <w:r>
        <w:t xml:space="preserve">The claimants were employed by the respondent at different </w:t>
      </w:r>
      <w:r w:rsidR="00081696">
        <w:t>time</w:t>
      </w:r>
      <w:r w:rsidR="002353B3">
        <w:t>s in divers positions. Their contracts of employment were terminated on notice on 14 A</w:t>
      </w:r>
      <w:r w:rsidR="00607D2C">
        <w:t xml:space="preserve">ugust 2015 in response to the Supreme Court decision in the matter of </w:t>
      </w:r>
      <w:r w:rsidR="00607D2C" w:rsidRPr="00854E42">
        <w:rPr>
          <w:i/>
        </w:rPr>
        <w:t>Don Nyamande &amp;</w:t>
      </w:r>
      <w:r w:rsidR="00607D2C">
        <w:t xml:space="preserve"> </w:t>
      </w:r>
      <w:r w:rsidR="00607D2C" w:rsidRPr="00854E42">
        <w:rPr>
          <w:i/>
        </w:rPr>
        <w:t xml:space="preserve">Anor </w:t>
      </w:r>
      <w:r w:rsidR="00607D2C">
        <w:t xml:space="preserve">v </w:t>
      </w:r>
      <w:r w:rsidR="00607D2C" w:rsidRPr="00854E42">
        <w:rPr>
          <w:i/>
        </w:rPr>
        <w:t>Zuva Petroleum</w:t>
      </w:r>
      <w:r w:rsidR="00607D2C">
        <w:t xml:space="preserve"> SC 43/15.</w:t>
      </w:r>
    </w:p>
    <w:p w:rsidR="00607D2C" w:rsidRDefault="00607D2C" w:rsidP="00854E42">
      <w:pPr>
        <w:ind w:firstLine="720"/>
        <w:jc w:val="both"/>
      </w:pPr>
    </w:p>
    <w:p w:rsidR="00607D2C" w:rsidRDefault="00607D2C" w:rsidP="00890CD3">
      <w:pPr>
        <w:spacing w:line="360" w:lineRule="auto"/>
        <w:ind w:firstLine="720"/>
        <w:jc w:val="both"/>
      </w:pPr>
      <w:r>
        <w:t xml:space="preserve">Based on the </w:t>
      </w:r>
      <w:r w:rsidR="0044613E">
        <w:t>provisions</w:t>
      </w:r>
      <w:r>
        <w:t xml:space="preserve"> of section 18 of the Labour Amendment Act No. </w:t>
      </w:r>
      <w:r w:rsidR="0044613E">
        <w:t>5 of 2015 which provides that every employee whose services were terminated on three months’ notice on or after 17</w:t>
      </w:r>
      <w:r w:rsidR="0044613E" w:rsidRPr="0044613E">
        <w:rPr>
          <w:vertAlign w:val="superscript"/>
        </w:rPr>
        <w:t>th</w:t>
      </w:r>
      <w:r w:rsidR="0044613E">
        <w:t xml:space="preserve"> </w:t>
      </w:r>
      <w:r w:rsidR="005600AC">
        <w:t>July 2015, would have the provi</w:t>
      </w:r>
      <w:r w:rsidR="00D52AC3">
        <w:t>sions in section 12 of the Act r</w:t>
      </w:r>
      <w:r w:rsidR="005600AC">
        <w:t xml:space="preserve">elating to compensation for loss of employment applicable, the claimants made a claim for gratuities and compensation.  The total amount claimed totaled </w:t>
      </w:r>
      <w:r w:rsidR="007467FB">
        <w:t>$88 418.96.</w:t>
      </w:r>
    </w:p>
    <w:p w:rsidR="007467FB" w:rsidRDefault="007467FB" w:rsidP="00854E42">
      <w:pPr>
        <w:ind w:firstLine="720"/>
        <w:jc w:val="both"/>
      </w:pPr>
    </w:p>
    <w:p w:rsidR="007467FB" w:rsidRDefault="007467FB" w:rsidP="00890CD3">
      <w:pPr>
        <w:spacing w:line="360" w:lineRule="auto"/>
        <w:ind w:firstLine="720"/>
        <w:jc w:val="both"/>
      </w:pPr>
      <w:r>
        <w:t>The respondent submitted that it</w:t>
      </w:r>
      <w:r w:rsidR="00CD0E9A">
        <w:t xml:space="preserve"> was not obliged to pay </w:t>
      </w:r>
      <w:r w:rsidR="003925D8">
        <w:t xml:space="preserve">the claimed amount as it was based on an unconstitutional law relating to retrospective application. It was further averred that the </w:t>
      </w:r>
      <w:r w:rsidR="00340C32">
        <w:t>claimants were not entitled to the gratuity claimed as they had been paid a pension.</w:t>
      </w:r>
    </w:p>
    <w:p w:rsidR="00340C32" w:rsidRDefault="00340C32" w:rsidP="00854E42">
      <w:pPr>
        <w:ind w:firstLine="720"/>
        <w:jc w:val="both"/>
      </w:pPr>
    </w:p>
    <w:p w:rsidR="00340C32" w:rsidRDefault="00340C32" w:rsidP="00890CD3">
      <w:pPr>
        <w:spacing w:line="360" w:lineRule="auto"/>
        <w:ind w:firstLine="720"/>
        <w:jc w:val="both"/>
      </w:pPr>
      <w:r>
        <w:t>On the gratuity and pension, the claimants alleged that their gratuity claim related to the period prior to 2010 when the pension had not yet been introduced.</w:t>
      </w:r>
    </w:p>
    <w:p w:rsidR="0055526D" w:rsidRDefault="0055526D" w:rsidP="00854E42">
      <w:pPr>
        <w:ind w:firstLine="720"/>
        <w:jc w:val="both"/>
      </w:pPr>
    </w:p>
    <w:p w:rsidR="0055526D" w:rsidRDefault="0055526D" w:rsidP="00890CD3">
      <w:pPr>
        <w:spacing w:line="360" w:lineRule="auto"/>
        <w:ind w:firstLine="720"/>
        <w:jc w:val="both"/>
      </w:pPr>
      <w:r>
        <w:t>In his ruling and order, the applicant upheld the claimants’</w:t>
      </w:r>
      <w:r w:rsidR="00E61275">
        <w:t xml:space="preserve"> </w:t>
      </w:r>
      <w:r>
        <w:t>claim and dismissed the respondent’s arguments.</w:t>
      </w:r>
    </w:p>
    <w:p w:rsidR="00885339" w:rsidRDefault="00885339" w:rsidP="00854E42">
      <w:pPr>
        <w:jc w:val="both"/>
      </w:pPr>
    </w:p>
    <w:p w:rsidR="00885339" w:rsidRPr="00854E42" w:rsidRDefault="00885339" w:rsidP="00885339">
      <w:pPr>
        <w:spacing w:line="360" w:lineRule="auto"/>
        <w:jc w:val="both"/>
        <w:rPr>
          <w:u w:val="single"/>
        </w:rPr>
      </w:pPr>
      <w:r w:rsidRPr="00854E42">
        <w:rPr>
          <w:u w:val="single"/>
        </w:rPr>
        <w:t>The counter application.</w:t>
      </w:r>
    </w:p>
    <w:p w:rsidR="00885339" w:rsidRDefault="00885339" w:rsidP="00854E42">
      <w:pPr>
        <w:jc w:val="both"/>
      </w:pPr>
    </w:p>
    <w:p w:rsidR="00885339" w:rsidRDefault="00885339" w:rsidP="00F10397">
      <w:pPr>
        <w:spacing w:line="360" w:lineRule="auto"/>
        <w:ind w:firstLine="720"/>
        <w:jc w:val="both"/>
      </w:pPr>
      <w:r>
        <w:t>The respondent seeks a referral of the following constitutional issues, to the Supre</w:t>
      </w:r>
      <w:r w:rsidR="00F10397">
        <w:t xml:space="preserve">me </w:t>
      </w:r>
      <w:r>
        <w:t>Court in terms of Section 175 (4) of the Constitution</w:t>
      </w:r>
      <w:r w:rsidR="00F10397">
        <w:t>.</w:t>
      </w:r>
    </w:p>
    <w:p w:rsidR="006C0646" w:rsidRDefault="006C0646" w:rsidP="00854E42">
      <w:pPr>
        <w:ind w:firstLine="720"/>
        <w:jc w:val="both"/>
      </w:pPr>
    </w:p>
    <w:p w:rsidR="006C0646" w:rsidRDefault="006C0646" w:rsidP="00F10397">
      <w:pPr>
        <w:spacing w:line="360" w:lineRule="auto"/>
        <w:ind w:firstLine="720"/>
        <w:jc w:val="both"/>
      </w:pPr>
      <w:r>
        <w:lastRenderedPageBreak/>
        <w:t xml:space="preserve">It is submitted that the Act </w:t>
      </w:r>
      <w:r w:rsidR="00A73F6E">
        <w:t>as</w:t>
      </w:r>
      <w:r>
        <w:t xml:space="preserve"> amended infringes the Declaration of Rights of the respondent.  In </w:t>
      </w:r>
      <w:r w:rsidR="00032E6A">
        <w:t>particular, section 18 of the Amendment Act which provides as follows,</w:t>
      </w:r>
    </w:p>
    <w:p w:rsidR="00854E42" w:rsidRDefault="00854E42" w:rsidP="00854E42">
      <w:pPr>
        <w:ind w:firstLine="720"/>
        <w:jc w:val="both"/>
      </w:pPr>
    </w:p>
    <w:p w:rsidR="00032E6A" w:rsidRPr="00854E42" w:rsidRDefault="00032E6A" w:rsidP="00854E42">
      <w:pPr>
        <w:spacing w:line="276" w:lineRule="auto"/>
        <w:ind w:left="720"/>
        <w:jc w:val="both"/>
        <w:rPr>
          <w:sz w:val="22"/>
          <w:szCs w:val="22"/>
        </w:rPr>
      </w:pPr>
      <w:r w:rsidRPr="00854E42">
        <w:rPr>
          <w:sz w:val="22"/>
          <w:szCs w:val="22"/>
        </w:rPr>
        <w:t>”Section 12 of the Labour Act [Chapter 28;01] as amended by th</w:t>
      </w:r>
      <w:r w:rsidR="00894D43" w:rsidRPr="00854E42">
        <w:rPr>
          <w:sz w:val="22"/>
          <w:szCs w:val="22"/>
        </w:rPr>
        <w:t>e</w:t>
      </w:r>
      <w:r w:rsidRPr="00854E42">
        <w:rPr>
          <w:sz w:val="22"/>
          <w:szCs w:val="22"/>
        </w:rPr>
        <w:t xml:space="preserve"> Act applies to every employee whose services were terminated on thr</w:t>
      </w:r>
      <w:r w:rsidR="00894D43" w:rsidRPr="00854E42">
        <w:rPr>
          <w:sz w:val="22"/>
          <w:szCs w:val="22"/>
        </w:rPr>
        <w:t>ee</w:t>
      </w:r>
      <w:r w:rsidR="009B3D43" w:rsidRPr="00854E42">
        <w:rPr>
          <w:sz w:val="22"/>
          <w:szCs w:val="22"/>
        </w:rPr>
        <w:t xml:space="preserve"> months’ notice on or after the 17</w:t>
      </w:r>
      <w:r w:rsidR="009B3D43" w:rsidRPr="00854E42">
        <w:rPr>
          <w:sz w:val="22"/>
          <w:szCs w:val="22"/>
          <w:vertAlign w:val="superscript"/>
        </w:rPr>
        <w:t>th</w:t>
      </w:r>
      <w:r w:rsidR="009B3D43" w:rsidRPr="00854E42">
        <w:rPr>
          <w:sz w:val="22"/>
          <w:szCs w:val="22"/>
        </w:rPr>
        <w:t xml:space="preserve"> July 2015</w:t>
      </w:r>
      <w:r w:rsidR="00BD374D" w:rsidRPr="00854E42">
        <w:rPr>
          <w:sz w:val="22"/>
          <w:szCs w:val="22"/>
        </w:rPr>
        <w:t>.”</w:t>
      </w:r>
    </w:p>
    <w:p w:rsidR="00BD374D" w:rsidRDefault="00BD374D" w:rsidP="0035051C">
      <w:pPr>
        <w:ind w:firstLine="720"/>
        <w:jc w:val="both"/>
      </w:pPr>
    </w:p>
    <w:p w:rsidR="00BD374D" w:rsidRDefault="00BD374D" w:rsidP="00F10397">
      <w:pPr>
        <w:spacing w:line="360" w:lineRule="auto"/>
        <w:ind w:firstLine="720"/>
        <w:jc w:val="both"/>
      </w:pPr>
      <w:r>
        <w:t>This section is said to violate sections 56 (1) and 3 (2) (k) of the Constitution through its retrospectivity.</w:t>
      </w:r>
    </w:p>
    <w:p w:rsidR="002A1618" w:rsidRDefault="002A1618" w:rsidP="0035051C">
      <w:pPr>
        <w:ind w:firstLine="720"/>
        <w:jc w:val="both"/>
      </w:pPr>
    </w:p>
    <w:p w:rsidR="002A1618" w:rsidRDefault="002A1618" w:rsidP="00F10397">
      <w:pPr>
        <w:spacing w:line="360" w:lineRule="auto"/>
        <w:ind w:firstLine="720"/>
        <w:jc w:val="both"/>
      </w:pPr>
      <w:r>
        <w:t xml:space="preserve">The respondent also takes issue with section 93 (5) of the Act as amended.  It is submitted </w:t>
      </w:r>
      <w:r w:rsidR="00494D91">
        <w:t xml:space="preserve">that the procedure introduced in section 93 (5a) and (5b) makes the labour officer an interested party by </w:t>
      </w:r>
      <w:r w:rsidR="009735AD">
        <w:t>turning</w:t>
      </w:r>
      <w:r w:rsidR="00494D91">
        <w:t xml:space="preserve"> him</w:t>
      </w:r>
      <w:r w:rsidR="004E3C12">
        <w:t xml:space="preserve"> from an adjudicator to a litigant.</w:t>
      </w:r>
    </w:p>
    <w:p w:rsidR="00F10397" w:rsidRDefault="00F10397" w:rsidP="0035051C">
      <w:pPr>
        <w:ind w:firstLine="720"/>
        <w:jc w:val="both"/>
      </w:pPr>
    </w:p>
    <w:p w:rsidR="00F10397" w:rsidRDefault="00AF1AA9" w:rsidP="00F10397">
      <w:pPr>
        <w:spacing w:line="360" w:lineRule="auto"/>
        <w:ind w:firstLine="720"/>
        <w:jc w:val="both"/>
      </w:pPr>
      <w:r>
        <w:t>This same procedure is said to take away the right of appeal from the losing party.</w:t>
      </w:r>
    </w:p>
    <w:p w:rsidR="00D1247B" w:rsidRDefault="00D1247B" w:rsidP="0035051C">
      <w:pPr>
        <w:ind w:firstLine="720"/>
        <w:jc w:val="both"/>
      </w:pPr>
    </w:p>
    <w:p w:rsidR="00D1247B" w:rsidRDefault="00D1247B" w:rsidP="00F10397">
      <w:pPr>
        <w:spacing w:line="360" w:lineRule="auto"/>
        <w:ind w:firstLine="720"/>
        <w:jc w:val="both"/>
      </w:pPr>
      <w:r>
        <w:t>Ms Mugabe, for the respondent argues that section 93 (5) as</w:t>
      </w:r>
      <w:r w:rsidR="009813E7">
        <w:t xml:space="preserve"> amended, infringes sections 169 (1), 68 (1) and 69 (2) of the Constitution.</w:t>
      </w:r>
    </w:p>
    <w:p w:rsidR="009813E7" w:rsidRDefault="009813E7" w:rsidP="0035051C">
      <w:pPr>
        <w:ind w:firstLine="720"/>
        <w:jc w:val="both"/>
      </w:pPr>
    </w:p>
    <w:p w:rsidR="009813E7" w:rsidRDefault="009813E7" w:rsidP="00F10397">
      <w:pPr>
        <w:spacing w:line="360" w:lineRule="auto"/>
        <w:ind w:firstLine="720"/>
        <w:jc w:val="both"/>
      </w:pPr>
      <w:r>
        <w:t xml:space="preserve">The applicant submitted that the Labour Amendment Act is presumed valid until a competent </w:t>
      </w:r>
      <w:r w:rsidR="0048336A">
        <w:t xml:space="preserve">court declares it invalid and that he correctly applied the new law.  He pointed to this Court as empowered to determine constitutional issues and refuted claims that </w:t>
      </w:r>
      <w:r w:rsidR="0088698A">
        <w:t>he becomes an interested party when he approaches this court as a litigant and that the right of appeal has been taken away.</w:t>
      </w:r>
    </w:p>
    <w:p w:rsidR="00EA6E14" w:rsidRDefault="00EA6E14" w:rsidP="0035051C">
      <w:pPr>
        <w:ind w:firstLine="720"/>
        <w:jc w:val="both"/>
      </w:pPr>
    </w:p>
    <w:p w:rsidR="00EA6E14" w:rsidRDefault="00EA6E14" w:rsidP="00F10397">
      <w:pPr>
        <w:spacing w:line="360" w:lineRule="auto"/>
        <w:ind w:firstLine="720"/>
        <w:jc w:val="both"/>
      </w:pPr>
      <w:r>
        <w:t>Reliance is placed on section 46 of the Constitution to argue that this Court has the power to interpret the Constitution,</w:t>
      </w:r>
    </w:p>
    <w:p w:rsidR="00EA6E14" w:rsidRDefault="00EA6E14" w:rsidP="00F10397">
      <w:pPr>
        <w:spacing w:line="360" w:lineRule="auto"/>
        <w:ind w:firstLine="720"/>
        <w:jc w:val="both"/>
      </w:pPr>
    </w:p>
    <w:p w:rsidR="00EA6E14" w:rsidRDefault="00EA6E14" w:rsidP="00F10397">
      <w:pPr>
        <w:spacing w:line="360" w:lineRule="auto"/>
        <w:ind w:firstLine="720"/>
        <w:jc w:val="both"/>
      </w:pPr>
      <w:r>
        <w:t xml:space="preserve">Ms </w:t>
      </w:r>
      <w:r w:rsidR="00F75234">
        <w:t>Mugabe however pointed out that this Court has no authority to strike down a piece of legislation.</w:t>
      </w:r>
    </w:p>
    <w:p w:rsidR="00A034EB" w:rsidRDefault="00A034EB" w:rsidP="0035051C">
      <w:pPr>
        <w:ind w:firstLine="720"/>
        <w:jc w:val="both"/>
      </w:pPr>
    </w:p>
    <w:p w:rsidR="00A034EB" w:rsidRDefault="00A034EB" w:rsidP="00F10397">
      <w:pPr>
        <w:spacing w:line="360" w:lineRule="auto"/>
        <w:ind w:firstLine="720"/>
        <w:jc w:val="both"/>
      </w:pPr>
      <w:r>
        <w:t>The issue before me is not one calling on me to interpret the Constitution.  A request has been made by the respondent for me to refer certain constitutional issues to the Constitutional Court in terms of Section 175 (4|) of the Constitution</w:t>
      </w:r>
      <w:r w:rsidR="003733B9">
        <w:t>.</w:t>
      </w:r>
    </w:p>
    <w:p w:rsidR="003733B9" w:rsidRDefault="003733B9" w:rsidP="0035051C">
      <w:pPr>
        <w:ind w:firstLine="720"/>
        <w:jc w:val="both"/>
      </w:pPr>
    </w:p>
    <w:p w:rsidR="003733B9" w:rsidRDefault="003733B9" w:rsidP="00F10397">
      <w:pPr>
        <w:spacing w:line="360" w:lineRule="auto"/>
        <w:ind w:firstLine="720"/>
        <w:jc w:val="both"/>
      </w:pPr>
      <w:r>
        <w:t>This section provides that where a constitutional matter arises in any proceedings before a court, the person presiding over the matter may</w:t>
      </w:r>
      <w:r w:rsidR="006A72F2">
        <w:t xml:space="preserve">, and if so requested by a party to the proceedings, must refer the matter to the Constitutional Court unless the request is considered to be merely frivolous and </w:t>
      </w:r>
      <w:r w:rsidR="00A12EF9">
        <w:t>vexatious.</w:t>
      </w:r>
    </w:p>
    <w:p w:rsidR="00A12EF9" w:rsidRDefault="00A12EF9" w:rsidP="0035051C">
      <w:pPr>
        <w:ind w:firstLine="720"/>
        <w:jc w:val="both"/>
      </w:pPr>
    </w:p>
    <w:p w:rsidR="00A12EF9" w:rsidRDefault="00A12EF9" w:rsidP="00F10397">
      <w:pPr>
        <w:spacing w:line="360" w:lineRule="auto"/>
        <w:ind w:firstLine="720"/>
        <w:jc w:val="both"/>
      </w:pPr>
      <w:r>
        <w:t xml:space="preserve">According to the case of </w:t>
      </w:r>
      <w:r w:rsidRPr="00C66A24">
        <w:rPr>
          <w:i/>
        </w:rPr>
        <w:t>Martin</w:t>
      </w:r>
      <w:r>
        <w:t xml:space="preserve"> v </w:t>
      </w:r>
      <w:r w:rsidRPr="00C66A24">
        <w:rPr>
          <w:i/>
        </w:rPr>
        <w:t>AG &amp; Anor</w:t>
      </w:r>
      <w:r>
        <w:t xml:space="preserve"> 1993 (1) 1993 (1) ZLR 153 (S</w:t>
      </w:r>
      <w:r w:rsidR="005D1243">
        <w:t>) at 157 C-F, The word “</w:t>
      </w:r>
      <w:r w:rsidR="008A5702">
        <w:t>frivolous” connotes</w:t>
      </w:r>
      <w:r w:rsidR="005D1243">
        <w:t xml:space="preserve"> a lack of seriousness or a request that is devoid of merit. “Vexatio</w:t>
      </w:r>
      <w:r w:rsidR="008A5702">
        <w:t>us”</w:t>
      </w:r>
      <w:r w:rsidR="00631B70">
        <w:t xml:space="preserve"> means a question put forward to cause annoyance and which is not</w:t>
      </w:r>
      <w:r w:rsidR="00902BAA">
        <w:t xml:space="preserve"> raised bona fide.</w:t>
      </w:r>
    </w:p>
    <w:p w:rsidR="00902BAA" w:rsidRDefault="00902BAA" w:rsidP="0035051C">
      <w:pPr>
        <w:ind w:firstLine="720"/>
        <w:jc w:val="both"/>
      </w:pPr>
    </w:p>
    <w:p w:rsidR="00902BAA" w:rsidRDefault="00902BAA" w:rsidP="00F10397">
      <w:pPr>
        <w:spacing w:line="360" w:lineRule="auto"/>
        <w:ind w:firstLine="720"/>
        <w:jc w:val="both"/>
      </w:pPr>
      <w:r>
        <w:t xml:space="preserve">The issues raised are </w:t>
      </w:r>
      <w:r w:rsidR="00C50F3A">
        <w:t>genuine</w:t>
      </w:r>
      <w:r>
        <w:t xml:space="preserve"> issues</w:t>
      </w:r>
      <w:r w:rsidR="006B4F63">
        <w:t xml:space="preserve"> on which the Constitutional Court is yet to make </w:t>
      </w:r>
      <w:r w:rsidR="001C3703">
        <w:t>a prouncement.</w:t>
      </w:r>
    </w:p>
    <w:p w:rsidR="001C3703" w:rsidRDefault="001C3703" w:rsidP="0035051C">
      <w:pPr>
        <w:ind w:firstLine="720"/>
        <w:jc w:val="both"/>
      </w:pPr>
    </w:p>
    <w:p w:rsidR="001C3703" w:rsidRDefault="001C3703" w:rsidP="00F10397">
      <w:pPr>
        <w:spacing w:line="360" w:lineRule="auto"/>
        <w:ind w:firstLine="720"/>
        <w:jc w:val="both"/>
      </w:pPr>
      <w:r>
        <w:t xml:space="preserve">One cannot seriously say that the question whether </w:t>
      </w:r>
      <w:r w:rsidR="00BB3502">
        <w:t>the</w:t>
      </w:r>
      <w:r>
        <w:t xml:space="preserve"> law giver</w:t>
      </w:r>
      <w:r w:rsidR="00BB3502">
        <w:t>’s intention in providing for retrospectivity in section 18</w:t>
      </w:r>
      <w:r w:rsidR="00C47267">
        <w:t xml:space="preserve"> of the Amendment Act is to take away rights such as the respondent’s right to give notice without paying a minimum retrenchment package</w:t>
      </w:r>
      <w:r w:rsidR="00B22FF0">
        <w:t xml:space="preserve">, </w:t>
      </w:r>
      <w:r w:rsidR="000A5BAE">
        <w:t>is a violation of section 56 (1</w:t>
      </w:r>
      <w:r w:rsidR="00B22FF0">
        <w:t>) as read with section 3 (2) (k)</w:t>
      </w:r>
      <w:r w:rsidR="000A6673">
        <w:t xml:space="preserve"> of the Constitution.  These provide for equality before the law and the right to equal protection of the law as well as due respect for vested rights, </w:t>
      </w:r>
      <w:r w:rsidR="00C66A24">
        <w:t>respectively</w:t>
      </w:r>
      <w:r w:rsidR="00813D46">
        <w:t>.</w:t>
      </w:r>
    </w:p>
    <w:p w:rsidR="00813D46" w:rsidRDefault="00813D46" w:rsidP="0035051C">
      <w:pPr>
        <w:spacing w:line="276" w:lineRule="auto"/>
        <w:ind w:firstLine="720"/>
        <w:jc w:val="both"/>
      </w:pPr>
    </w:p>
    <w:p w:rsidR="00813D46" w:rsidRDefault="00813D46" w:rsidP="00F10397">
      <w:pPr>
        <w:spacing w:line="360" w:lineRule="auto"/>
        <w:ind w:firstLine="720"/>
        <w:jc w:val="both"/>
      </w:pPr>
      <w:r>
        <w:t>I believe this issue is with merit and has been raised bona fide.</w:t>
      </w:r>
    </w:p>
    <w:p w:rsidR="00813D46" w:rsidRDefault="00813D46" w:rsidP="0035051C">
      <w:pPr>
        <w:ind w:firstLine="720"/>
        <w:jc w:val="both"/>
      </w:pPr>
    </w:p>
    <w:p w:rsidR="00813D46" w:rsidRDefault="00813D46" w:rsidP="00F10397">
      <w:pPr>
        <w:spacing w:line="360" w:lineRule="auto"/>
        <w:ind w:firstLine="720"/>
        <w:jc w:val="both"/>
      </w:pPr>
      <w:r>
        <w:t xml:space="preserve">As to the legality of section 93 (5) the issues arising from the new procedure cannot be dismissed as frivolous and </w:t>
      </w:r>
      <w:r w:rsidR="004451D4">
        <w:t>vexatious.</w:t>
      </w:r>
    </w:p>
    <w:p w:rsidR="007B3D1C" w:rsidRDefault="007B3D1C" w:rsidP="007B3D1C">
      <w:pPr>
        <w:spacing w:line="360" w:lineRule="auto"/>
        <w:jc w:val="both"/>
      </w:pPr>
    </w:p>
    <w:p w:rsidR="007B3D1C" w:rsidRDefault="007B3D1C" w:rsidP="007B3D1C">
      <w:pPr>
        <w:spacing w:line="360" w:lineRule="auto"/>
        <w:jc w:val="both"/>
      </w:pPr>
      <w:r>
        <w:t xml:space="preserve">I accordingly uphold the counter application and order as follows; </w:t>
      </w:r>
    </w:p>
    <w:p w:rsidR="00D104D8" w:rsidRDefault="00D104D8" w:rsidP="008D73BB">
      <w:pPr>
        <w:jc w:val="both"/>
      </w:pPr>
    </w:p>
    <w:p w:rsidR="00D104D8" w:rsidRDefault="00D104D8" w:rsidP="0057550A">
      <w:pPr>
        <w:pStyle w:val="ListParagraph"/>
        <w:numPr>
          <w:ilvl w:val="0"/>
          <w:numId w:val="3"/>
        </w:numPr>
        <w:spacing w:line="360" w:lineRule="auto"/>
        <w:jc w:val="both"/>
      </w:pPr>
      <w:r>
        <w:t>The counter application by the respondent for referral of the Constitutional issues set out in paragraphs 2.1 and 2.2 hereunder is granted.</w:t>
      </w:r>
    </w:p>
    <w:p w:rsidR="001C3F42" w:rsidRDefault="00BB58FE" w:rsidP="001C3F42">
      <w:pPr>
        <w:spacing w:line="360" w:lineRule="auto"/>
        <w:ind w:left="720" w:hanging="360"/>
        <w:jc w:val="both"/>
      </w:pPr>
      <w:r>
        <w:t>2.1</w:t>
      </w:r>
      <w:r w:rsidR="00C82484">
        <w:tab/>
        <w:t>Whether or not section 18 of the Labour Amendment Act No 5 of 2015 violates sections 56 (</w:t>
      </w:r>
      <w:r w:rsidR="009E63CC">
        <w:t xml:space="preserve">1) and 3 (2) (k) of the </w:t>
      </w:r>
      <w:r w:rsidR="00B639BA">
        <w:t>Constitution of Zimbabwe, 2013, and should therefore be struck down.</w:t>
      </w:r>
    </w:p>
    <w:p w:rsidR="00B639BA" w:rsidRDefault="001C3F42" w:rsidP="001C3F42">
      <w:pPr>
        <w:spacing w:line="360" w:lineRule="auto"/>
        <w:ind w:left="720" w:hanging="360"/>
        <w:jc w:val="both"/>
      </w:pPr>
      <w:r>
        <w:lastRenderedPageBreak/>
        <w:t>2.2</w:t>
      </w:r>
      <w:r w:rsidR="00B639BA">
        <w:t xml:space="preserve"> </w:t>
      </w:r>
      <w:r w:rsidR="00AC06ED">
        <w:t xml:space="preserve">Whether or not section 93 (5) of the Labour Act, as amended, is in contravention of sections 68 (1), </w:t>
      </w:r>
      <w:r w:rsidR="002402B9">
        <w:t>(2) and 169 (1) of the Constitution of Zimbabwe 2013.</w:t>
      </w:r>
    </w:p>
    <w:p w:rsidR="002402B9" w:rsidRDefault="00D00A05" w:rsidP="00D00A05">
      <w:pPr>
        <w:spacing w:line="360" w:lineRule="auto"/>
        <w:ind w:left="720" w:hanging="348"/>
        <w:jc w:val="both"/>
      </w:pPr>
      <w:r>
        <w:t>3.</w:t>
      </w:r>
      <w:r>
        <w:tab/>
      </w:r>
      <w:r w:rsidR="00BE023A">
        <w:t xml:space="preserve">The application in the main be and is hereby stayed pending the decision of </w:t>
      </w:r>
      <w:r w:rsidR="0076351F">
        <w:t xml:space="preserve">   </w:t>
      </w:r>
      <w:r w:rsidR="00BE023A">
        <w:t>the Constitutional Court</w:t>
      </w:r>
      <w:r w:rsidR="0057550A">
        <w:t>.</w:t>
      </w:r>
    </w:p>
    <w:p w:rsidR="00D104D8" w:rsidRDefault="00BB58FE" w:rsidP="00BB58FE">
      <w:pPr>
        <w:spacing w:line="360" w:lineRule="auto"/>
        <w:ind w:left="360"/>
        <w:jc w:val="both"/>
      </w:pPr>
      <w:r>
        <w:t xml:space="preserve"> </w:t>
      </w:r>
    </w:p>
    <w:p w:rsidR="001C3703" w:rsidRDefault="001C3703" w:rsidP="008D73BB">
      <w:pPr>
        <w:spacing w:line="360" w:lineRule="auto"/>
        <w:jc w:val="both"/>
      </w:pPr>
    </w:p>
    <w:p w:rsidR="008D73BB" w:rsidRDefault="005440BC" w:rsidP="008D73BB">
      <w:pPr>
        <w:spacing w:line="360" w:lineRule="auto"/>
        <w:jc w:val="both"/>
      </w:pPr>
      <w:r w:rsidRPr="00D603D5">
        <w:rPr>
          <w:i/>
        </w:rPr>
        <w:t>Lunga Gonese Attorneys</w:t>
      </w:r>
      <w:r>
        <w:t xml:space="preserve">, respondent’s legal practitioners </w:t>
      </w:r>
    </w:p>
    <w:sectPr w:rsidR="008D73BB" w:rsidSect="00043538">
      <w:headerReference w:type="default" r:id="rId8"/>
      <w:footerReference w:type="default" r:id="rId9"/>
      <w:pgSz w:w="11906" w:h="16838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F0FE4" w:rsidRDefault="004F0FE4" w:rsidP="00043538">
      <w:r>
        <w:separator/>
      </w:r>
    </w:p>
  </w:endnote>
  <w:endnote w:type="continuationSeparator" w:id="0">
    <w:p w:rsidR="004F0FE4" w:rsidRDefault="004F0FE4" w:rsidP="000435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63107984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BE023A" w:rsidRDefault="00BE023A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A60C9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:rsidR="00BE023A" w:rsidRDefault="00BE023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F0FE4" w:rsidRDefault="004F0FE4" w:rsidP="00043538">
      <w:r>
        <w:separator/>
      </w:r>
    </w:p>
  </w:footnote>
  <w:footnote w:type="continuationSeparator" w:id="0">
    <w:p w:rsidR="004F0FE4" w:rsidRDefault="004F0FE4" w:rsidP="0004353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023A" w:rsidRPr="00043538" w:rsidRDefault="00BE023A">
    <w:pPr>
      <w:pStyle w:val="Header"/>
      <w:rPr>
        <w:lang w:val="en-ZW"/>
      </w:rPr>
    </w:pPr>
    <w:r>
      <w:rPr>
        <w:lang w:val="en-ZW"/>
      </w:rPr>
      <w:tab/>
    </w:r>
    <w:r>
      <w:rPr>
        <w:lang w:val="en-ZW"/>
      </w:rPr>
      <w:tab/>
      <w:t>JUDGMENT NO. LC/H/</w:t>
    </w:r>
    <w:r w:rsidR="00984E79">
      <w:rPr>
        <w:lang w:val="en-ZW"/>
      </w:rPr>
      <w:t>808</w:t>
    </w:r>
    <w:r>
      <w:rPr>
        <w:lang w:val="en-ZW"/>
      </w:rPr>
      <w:t>/2016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3A48C8"/>
    <w:multiLevelType w:val="hybridMultilevel"/>
    <w:tmpl w:val="01020744"/>
    <w:lvl w:ilvl="0" w:tplc="3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090019" w:tentative="1">
      <w:start w:val="1"/>
      <w:numFmt w:val="lowerLetter"/>
      <w:lvlText w:val="%2."/>
      <w:lvlJc w:val="left"/>
      <w:pPr>
        <w:ind w:left="1440" w:hanging="360"/>
      </w:pPr>
    </w:lvl>
    <w:lvl w:ilvl="2" w:tplc="3009001B" w:tentative="1">
      <w:start w:val="1"/>
      <w:numFmt w:val="lowerRoman"/>
      <w:lvlText w:val="%3."/>
      <w:lvlJc w:val="right"/>
      <w:pPr>
        <w:ind w:left="2160" w:hanging="180"/>
      </w:pPr>
    </w:lvl>
    <w:lvl w:ilvl="3" w:tplc="3009000F" w:tentative="1">
      <w:start w:val="1"/>
      <w:numFmt w:val="decimal"/>
      <w:lvlText w:val="%4."/>
      <w:lvlJc w:val="left"/>
      <w:pPr>
        <w:ind w:left="2880" w:hanging="360"/>
      </w:pPr>
    </w:lvl>
    <w:lvl w:ilvl="4" w:tplc="30090019" w:tentative="1">
      <w:start w:val="1"/>
      <w:numFmt w:val="lowerLetter"/>
      <w:lvlText w:val="%5."/>
      <w:lvlJc w:val="left"/>
      <w:pPr>
        <w:ind w:left="3600" w:hanging="360"/>
      </w:pPr>
    </w:lvl>
    <w:lvl w:ilvl="5" w:tplc="3009001B" w:tentative="1">
      <w:start w:val="1"/>
      <w:numFmt w:val="lowerRoman"/>
      <w:lvlText w:val="%6."/>
      <w:lvlJc w:val="right"/>
      <w:pPr>
        <w:ind w:left="4320" w:hanging="180"/>
      </w:pPr>
    </w:lvl>
    <w:lvl w:ilvl="6" w:tplc="3009000F" w:tentative="1">
      <w:start w:val="1"/>
      <w:numFmt w:val="decimal"/>
      <w:lvlText w:val="%7."/>
      <w:lvlJc w:val="left"/>
      <w:pPr>
        <w:ind w:left="5040" w:hanging="360"/>
      </w:pPr>
    </w:lvl>
    <w:lvl w:ilvl="7" w:tplc="30090019" w:tentative="1">
      <w:start w:val="1"/>
      <w:numFmt w:val="lowerLetter"/>
      <w:lvlText w:val="%8."/>
      <w:lvlJc w:val="left"/>
      <w:pPr>
        <w:ind w:left="5760" w:hanging="360"/>
      </w:pPr>
    </w:lvl>
    <w:lvl w:ilvl="8" w:tplc="3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4101D0"/>
    <w:multiLevelType w:val="hybridMultilevel"/>
    <w:tmpl w:val="4DD2FF12"/>
    <w:lvl w:ilvl="0" w:tplc="3009000F">
      <w:start w:val="1"/>
      <w:numFmt w:val="decimal"/>
      <w:lvlText w:val="%1."/>
      <w:lvlJc w:val="left"/>
      <w:pPr>
        <w:ind w:left="720" w:hanging="360"/>
      </w:pPr>
    </w:lvl>
    <w:lvl w:ilvl="1" w:tplc="30090019" w:tentative="1">
      <w:start w:val="1"/>
      <w:numFmt w:val="lowerLetter"/>
      <w:lvlText w:val="%2."/>
      <w:lvlJc w:val="left"/>
      <w:pPr>
        <w:ind w:left="1440" w:hanging="360"/>
      </w:pPr>
    </w:lvl>
    <w:lvl w:ilvl="2" w:tplc="3009001B" w:tentative="1">
      <w:start w:val="1"/>
      <w:numFmt w:val="lowerRoman"/>
      <w:lvlText w:val="%3."/>
      <w:lvlJc w:val="right"/>
      <w:pPr>
        <w:ind w:left="2160" w:hanging="180"/>
      </w:pPr>
    </w:lvl>
    <w:lvl w:ilvl="3" w:tplc="3009000F" w:tentative="1">
      <w:start w:val="1"/>
      <w:numFmt w:val="decimal"/>
      <w:lvlText w:val="%4."/>
      <w:lvlJc w:val="left"/>
      <w:pPr>
        <w:ind w:left="2880" w:hanging="360"/>
      </w:pPr>
    </w:lvl>
    <w:lvl w:ilvl="4" w:tplc="30090019" w:tentative="1">
      <w:start w:val="1"/>
      <w:numFmt w:val="lowerLetter"/>
      <w:lvlText w:val="%5."/>
      <w:lvlJc w:val="left"/>
      <w:pPr>
        <w:ind w:left="3600" w:hanging="360"/>
      </w:pPr>
    </w:lvl>
    <w:lvl w:ilvl="5" w:tplc="3009001B" w:tentative="1">
      <w:start w:val="1"/>
      <w:numFmt w:val="lowerRoman"/>
      <w:lvlText w:val="%6."/>
      <w:lvlJc w:val="right"/>
      <w:pPr>
        <w:ind w:left="4320" w:hanging="180"/>
      </w:pPr>
    </w:lvl>
    <w:lvl w:ilvl="6" w:tplc="3009000F" w:tentative="1">
      <w:start w:val="1"/>
      <w:numFmt w:val="decimal"/>
      <w:lvlText w:val="%7."/>
      <w:lvlJc w:val="left"/>
      <w:pPr>
        <w:ind w:left="5040" w:hanging="360"/>
      </w:pPr>
    </w:lvl>
    <w:lvl w:ilvl="7" w:tplc="30090019" w:tentative="1">
      <w:start w:val="1"/>
      <w:numFmt w:val="lowerLetter"/>
      <w:lvlText w:val="%8."/>
      <w:lvlJc w:val="left"/>
      <w:pPr>
        <w:ind w:left="5760" w:hanging="360"/>
      </w:pPr>
    </w:lvl>
    <w:lvl w:ilvl="8" w:tplc="3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DFF66DB"/>
    <w:multiLevelType w:val="hybridMultilevel"/>
    <w:tmpl w:val="9E780C7A"/>
    <w:lvl w:ilvl="0" w:tplc="8226690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30090019" w:tentative="1">
      <w:start w:val="1"/>
      <w:numFmt w:val="lowerLetter"/>
      <w:lvlText w:val="%2."/>
      <w:lvlJc w:val="left"/>
      <w:pPr>
        <w:ind w:left="1800" w:hanging="360"/>
      </w:pPr>
    </w:lvl>
    <w:lvl w:ilvl="2" w:tplc="3009001B" w:tentative="1">
      <w:start w:val="1"/>
      <w:numFmt w:val="lowerRoman"/>
      <w:lvlText w:val="%3."/>
      <w:lvlJc w:val="right"/>
      <w:pPr>
        <w:ind w:left="2520" w:hanging="180"/>
      </w:pPr>
    </w:lvl>
    <w:lvl w:ilvl="3" w:tplc="3009000F" w:tentative="1">
      <w:start w:val="1"/>
      <w:numFmt w:val="decimal"/>
      <w:lvlText w:val="%4."/>
      <w:lvlJc w:val="left"/>
      <w:pPr>
        <w:ind w:left="3240" w:hanging="360"/>
      </w:pPr>
    </w:lvl>
    <w:lvl w:ilvl="4" w:tplc="30090019" w:tentative="1">
      <w:start w:val="1"/>
      <w:numFmt w:val="lowerLetter"/>
      <w:lvlText w:val="%5."/>
      <w:lvlJc w:val="left"/>
      <w:pPr>
        <w:ind w:left="3960" w:hanging="360"/>
      </w:pPr>
    </w:lvl>
    <w:lvl w:ilvl="5" w:tplc="3009001B" w:tentative="1">
      <w:start w:val="1"/>
      <w:numFmt w:val="lowerRoman"/>
      <w:lvlText w:val="%6."/>
      <w:lvlJc w:val="right"/>
      <w:pPr>
        <w:ind w:left="4680" w:hanging="180"/>
      </w:pPr>
    </w:lvl>
    <w:lvl w:ilvl="6" w:tplc="3009000F" w:tentative="1">
      <w:start w:val="1"/>
      <w:numFmt w:val="decimal"/>
      <w:lvlText w:val="%7."/>
      <w:lvlJc w:val="left"/>
      <w:pPr>
        <w:ind w:left="5400" w:hanging="360"/>
      </w:pPr>
    </w:lvl>
    <w:lvl w:ilvl="7" w:tplc="30090019" w:tentative="1">
      <w:start w:val="1"/>
      <w:numFmt w:val="lowerLetter"/>
      <w:lvlText w:val="%8."/>
      <w:lvlJc w:val="left"/>
      <w:pPr>
        <w:ind w:left="6120" w:hanging="360"/>
      </w:pPr>
    </w:lvl>
    <w:lvl w:ilvl="8" w:tplc="30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36D5"/>
    <w:rsid w:val="0000185F"/>
    <w:rsid w:val="00023825"/>
    <w:rsid w:val="00032E6A"/>
    <w:rsid w:val="00043538"/>
    <w:rsid w:val="00081696"/>
    <w:rsid w:val="000A5BAE"/>
    <w:rsid w:val="000A6673"/>
    <w:rsid w:val="000D29F6"/>
    <w:rsid w:val="001C3703"/>
    <w:rsid w:val="001C3F42"/>
    <w:rsid w:val="002353B3"/>
    <w:rsid w:val="002402B9"/>
    <w:rsid w:val="00270EB8"/>
    <w:rsid w:val="002A1618"/>
    <w:rsid w:val="002E790A"/>
    <w:rsid w:val="003010EC"/>
    <w:rsid w:val="00340C32"/>
    <w:rsid w:val="0035051C"/>
    <w:rsid w:val="003733B9"/>
    <w:rsid w:val="003925D8"/>
    <w:rsid w:val="003A1E80"/>
    <w:rsid w:val="00401EE9"/>
    <w:rsid w:val="004451D4"/>
    <w:rsid w:val="0044613E"/>
    <w:rsid w:val="0048336A"/>
    <w:rsid w:val="00494D91"/>
    <w:rsid w:val="004E3648"/>
    <w:rsid w:val="004E3C12"/>
    <w:rsid w:val="004F0FE4"/>
    <w:rsid w:val="005440BC"/>
    <w:rsid w:val="0055526D"/>
    <w:rsid w:val="005600AC"/>
    <w:rsid w:val="0057550A"/>
    <w:rsid w:val="005D1243"/>
    <w:rsid w:val="00607D2C"/>
    <w:rsid w:val="00631B70"/>
    <w:rsid w:val="006A72F2"/>
    <w:rsid w:val="006B4F63"/>
    <w:rsid w:val="006C0646"/>
    <w:rsid w:val="00704C1B"/>
    <w:rsid w:val="00711AB0"/>
    <w:rsid w:val="007467FB"/>
    <w:rsid w:val="0076351F"/>
    <w:rsid w:val="007B3D1C"/>
    <w:rsid w:val="00813D46"/>
    <w:rsid w:val="00854E42"/>
    <w:rsid w:val="00885339"/>
    <w:rsid w:val="0088698A"/>
    <w:rsid w:val="00890CD3"/>
    <w:rsid w:val="00894D43"/>
    <w:rsid w:val="008A5702"/>
    <w:rsid w:val="008D73BB"/>
    <w:rsid w:val="00902BAA"/>
    <w:rsid w:val="009735AD"/>
    <w:rsid w:val="009813E7"/>
    <w:rsid w:val="00984E79"/>
    <w:rsid w:val="009B3D43"/>
    <w:rsid w:val="009E63CC"/>
    <w:rsid w:val="00A034EB"/>
    <w:rsid w:val="00A12EF9"/>
    <w:rsid w:val="00A73F6E"/>
    <w:rsid w:val="00A75430"/>
    <w:rsid w:val="00AB34BF"/>
    <w:rsid w:val="00AC06ED"/>
    <w:rsid w:val="00AD73A3"/>
    <w:rsid w:val="00AF1AA9"/>
    <w:rsid w:val="00B22FF0"/>
    <w:rsid w:val="00B639BA"/>
    <w:rsid w:val="00BB3502"/>
    <w:rsid w:val="00BB58FE"/>
    <w:rsid w:val="00BD374D"/>
    <w:rsid w:val="00BE023A"/>
    <w:rsid w:val="00BE450E"/>
    <w:rsid w:val="00C47267"/>
    <w:rsid w:val="00C50F3A"/>
    <w:rsid w:val="00C66A24"/>
    <w:rsid w:val="00C82484"/>
    <w:rsid w:val="00CD0E9A"/>
    <w:rsid w:val="00D00A05"/>
    <w:rsid w:val="00D104D8"/>
    <w:rsid w:val="00D1247B"/>
    <w:rsid w:val="00D263B4"/>
    <w:rsid w:val="00D52AC3"/>
    <w:rsid w:val="00D603D5"/>
    <w:rsid w:val="00DA60C9"/>
    <w:rsid w:val="00DC0D2E"/>
    <w:rsid w:val="00DC0D4E"/>
    <w:rsid w:val="00E37F72"/>
    <w:rsid w:val="00E61275"/>
    <w:rsid w:val="00EA6E14"/>
    <w:rsid w:val="00EE36D5"/>
    <w:rsid w:val="00F10397"/>
    <w:rsid w:val="00F75234"/>
    <w:rsid w:val="00FB05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ZW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E36D5"/>
    <w:pPr>
      <w:spacing w:after="0" w:line="240" w:lineRule="auto"/>
    </w:pPr>
    <w:rPr>
      <w:rFonts w:ascii="Tahoma" w:eastAsia="Times New Roman" w:hAnsi="Tahoma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4353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43538"/>
    <w:rPr>
      <w:rFonts w:ascii="Tahoma" w:eastAsia="Times New Roman" w:hAnsi="Tahoma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04353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43538"/>
    <w:rPr>
      <w:rFonts w:ascii="Tahoma" w:eastAsia="Times New Roman" w:hAnsi="Tahoma" w:cs="Times New Roman"/>
      <w:sz w:val="24"/>
      <w:szCs w:val="24"/>
      <w:lang w:val="en-US"/>
    </w:rPr>
  </w:style>
  <w:style w:type="paragraph" w:styleId="ListParagraph">
    <w:name w:val="List Paragraph"/>
    <w:basedOn w:val="Normal"/>
    <w:uiPriority w:val="34"/>
    <w:qFormat/>
    <w:rsid w:val="00D104D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A60C9"/>
    <w:rPr>
      <w:rFonts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A60C9"/>
    <w:rPr>
      <w:rFonts w:ascii="Tahoma" w:eastAsia="Times New Roman" w:hAnsi="Tahoma" w:cs="Tahoma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ZW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E36D5"/>
    <w:pPr>
      <w:spacing w:after="0" w:line="240" w:lineRule="auto"/>
    </w:pPr>
    <w:rPr>
      <w:rFonts w:ascii="Tahoma" w:eastAsia="Times New Roman" w:hAnsi="Tahoma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4353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43538"/>
    <w:rPr>
      <w:rFonts w:ascii="Tahoma" w:eastAsia="Times New Roman" w:hAnsi="Tahoma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04353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43538"/>
    <w:rPr>
      <w:rFonts w:ascii="Tahoma" w:eastAsia="Times New Roman" w:hAnsi="Tahoma" w:cs="Times New Roman"/>
      <w:sz w:val="24"/>
      <w:szCs w:val="24"/>
      <w:lang w:val="en-US"/>
    </w:rPr>
  </w:style>
  <w:style w:type="paragraph" w:styleId="ListParagraph">
    <w:name w:val="List Paragraph"/>
    <w:basedOn w:val="Normal"/>
    <w:uiPriority w:val="34"/>
    <w:qFormat/>
    <w:rsid w:val="00D104D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A60C9"/>
    <w:rPr>
      <w:rFonts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A60C9"/>
    <w:rPr>
      <w:rFonts w:ascii="Tahoma" w:eastAsia="Times New Roman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1</Pages>
  <Words>1006</Words>
  <Characters>5738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6731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35</cp:revision>
  <cp:lastPrinted>2016-12-15T10:49:00Z</cp:lastPrinted>
  <dcterms:created xsi:type="dcterms:W3CDTF">2016-12-08T07:52:00Z</dcterms:created>
  <dcterms:modified xsi:type="dcterms:W3CDTF">2016-12-15T10:50:00Z</dcterms:modified>
</cp:coreProperties>
</file>