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7332B" w14:textId="0C638AA1" w:rsidR="00422922" w:rsidRPr="004D3320" w:rsidRDefault="00422922" w:rsidP="004D3320">
      <w:pPr>
        <w:spacing w:line="360" w:lineRule="auto"/>
        <w:jc w:val="both"/>
        <w:rPr>
          <w:rFonts w:ascii="Times New Roman" w:hAnsi="Times New Roman" w:cs="Times New Roman"/>
          <w:sz w:val="24"/>
          <w:szCs w:val="24"/>
        </w:rPr>
      </w:pPr>
      <w:bookmarkStart w:id="0" w:name="_GoBack"/>
      <w:bookmarkEnd w:id="0"/>
    </w:p>
    <w:p w14:paraId="11D2FE83" w14:textId="28AF1B85" w:rsidR="00B3466C" w:rsidRPr="004D3320" w:rsidRDefault="008C5489" w:rsidP="004D3320">
      <w:pPr>
        <w:pStyle w:val="NoSpacing"/>
        <w:spacing w:line="360" w:lineRule="auto"/>
        <w:rPr>
          <w:rFonts w:ascii="Times New Roman" w:hAnsi="Times New Roman" w:cs="Times New Roman"/>
          <w:sz w:val="24"/>
          <w:szCs w:val="24"/>
        </w:rPr>
      </w:pPr>
      <w:r w:rsidRPr="004D3320">
        <w:rPr>
          <w:rFonts w:ascii="Times New Roman" w:hAnsi="Times New Roman" w:cs="Times New Roman"/>
          <w:sz w:val="24"/>
          <w:szCs w:val="24"/>
        </w:rPr>
        <w:t>GAUTHLEZA ENTERPRISES (PVT) LTD</w:t>
      </w:r>
    </w:p>
    <w:p w14:paraId="667A9093" w14:textId="77777777" w:rsidR="00B3466C" w:rsidRPr="004D3320" w:rsidRDefault="00B3466C" w:rsidP="004D3320">
      <w:pPr>
        <w:pStyle w:val="NoSpacing"/>
        <w:spacing w:line="360" w:lineRule="auto"/>
        <w:rPr>
          <w:rFonts w:ascii="Times New Roman" w:hAnsi="Times New Roman" w:cs="Times New Roman"/>
          <w:sz w:val="24"/>
          <w:szCs w:val="24"/>
        </w:rPr>
      </w:pPr>
      <w:r w:rsidRPr="004D3320">
        <w:rPr>
          <w:rFonts w:ascii="Times New Roman" w:hAnsi="Times New Roman" w:cs="Times New Roman"/>
          <w:sz w:val="24"/>
          <w:szCs w:val="24"/>
        </w:rPr>
        <w:t>Versus</w:t>
      </w:r>
    </w:p>
    <w:p w14:paraId="07093EF5" w14:textId="1919439B" w:rsidR="00B3466C" w:rsidRPr="004D3320" w:rsidRDefault="008C5489" w:rsidP="004D3320">
      <w:pPr>
        <w:pStyle w:val="NoSpacing"/>
        <w:spacing w:line="360" w:lineRule="auto"/>
        <w:rPr>
          <w:rFonts w:ascii="Times New Roman" w:hAnsi="Times New Roman" w:cs="Times New Roman"/>
          <w:sz w:val="24"/>
          <w:szCs w:val="24"/>
        </w:rPr>
      </w:pPr>
      <w:r w:rsidRPr="004D3320">
        <w:rPr>
          <w:rFonts w:ascii="Times New Roman" w:hAnsi="Times New Roman" w:cs="Times New Roman"/>
          <w:sz w:val="24"/>
          <w:szCs w:val="24"/>
        </w:rPr>
        <w:t xml:space="preserve">RECORD NOTE (PVT) LTD </w:t>
      </w:r>
    </w:p>
    <w:p w14:paraId="08C0F188" w14:textId="77777777" w:rsidR="00B3466C" w:rsidRPr="004D3320" w:rsidRDefault="00B3466C" w:rsidP="004D3320">
      <w:pPr>
        <w:pStyle w:val="NoSpacing"/>
        <w:spacing w:line="360" w:lineRule="auto"/>
        <w:rPr>
          <w:rFonts w:ascii="Times New Roman" w:hAnsi="Times New Roman" w:cs="Times New Roman"/>
          <w:sz w:val="24"/>
          <w:szCs w:val="24"/>
        </w:rPr>
      </w:pPr>
      <w:r w:rsidRPr="004D3320">
        <w:rPr>
          <w:rFonts w:ascii="Times New Roman" w:hAnsi="Times New Roman" w:cs="Times New Roman"/>
          <w:sz w:val="24"/>
          <w:szCs w:val="24"/>
        </w:rPr>
        <w:t>And</w:t>
      </w:r>
    </w:p>
    <w:p w14:paraId="655F68EA" w14:textId="5497CFC9" w:rsidR="00B3466C" w:rsidRPr="004D3320" w:rsidRDefault="008C5489"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 xml:space="preserve">PROVINCIAL MINING DIRECTOR </w:t>
      </w:r>
    </w:p>
    <w:p w14:paraId="16BD035E" w14:textId="5764E9A1" w:rsidR="007F49DC" w:rsidRDefault="008C5489"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MASHONALAND WEST</w:t>
      </w:r>
    </w:p>
    <w:p w14:paraId="63428C05" w14:textId="77777777" w:rsidR="004D3320" w:rsidRPr="004D3320" w:rsidRDefault="004D3320" w:rsidP="004D3320">
      <w:pPr>
        <w:pStyle w:val="NoSpacing"/>
        <w:rPr>
          <w:rFonts w:ascii="Times New Roman" w:hAnsi="Times New Roman" w:cs="Times New Roman"/>
          <w:sz w:val="24"/>
          <w:szCs w:val="24"/>
        </w:rPr>
      </w:pPr>
    </w:p>
    <w:p w14:paraId="7326C0CC" w14:textId="7B5F0169" w:rsidR="008C5489" w:rsidRPr="004D3320" w:rsidRDefault="008C5489" w:rsidP="004D3320">
      <w:pPr>
        <w:pStyle w:val="NoSpacing"/>
        <w:spacing w:line="360" w:lineRule="auto"/>
        <w:rPr>
          <w:rFonts w:ascii="Times New Roman" w:hAnsi="Times New Roman" w:cs="Times New Roman"/>
          <w:sz w:val="24"/>
          <w:szCs w:val="24"/>
        </w:rPr>
      </w:pPr>
      <w:r w:rsidRPr="004D3320">
        <w:rPr>
          <w:rFonts w:ascii="Times New Roman" w:hAnsi="Times New Roman" w:cs="Times New Roman"/>
          <w:sz w:val="24"/>
          <w:szCs w:val="24"/>
        </w:rPr>
        <w:t xml:space="preserve">And </w:t>
      </w:r>
    </w:p>
    <w:p w14:paraId="06C6032C" w14:textId="3640C083" w:rsidR="008C5489" w:rsidRPr="004D3320" w:rsidRDefault="008C5489"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 xml:space="preserve">PROVINCIAL MINING DIRECTOR </w:t>
      </w:r>
    </w:p>
    <w:p w14:paraId="642BFEE3" w14:textId="77777777" w:rsidR="004D3320" w:rsidRDefault="008C5489"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 xml:space="preserve">MASHONALAND CENTRAL </w:t>
      </w:r>
    </w:p>
    <w:p w14:paraId="16794F9A" w14:textId="77777777" w:rsidR="004D3320" w:rsidRDefault="004D3320" w:rsidP="004D3320">
      <w:pPr>
        <w:pStyle w:val="NoSpacing"/>
        <w:rPr>
          <w:rFonts w:ascii="Times New Roman" w:hAnsi="Times New Roman" w:cs="Times New Roman"/>
          <w:sz w:val="24"/>
          <w:szCs w:val="24"/>
        </w:rPr>
      </w:pPr>
    </w:p>
    <w:p w14:paraId="299A65D3" w14:textId="06DE3A90" w:rsidR="008C5489" w:rsidRPr="004D3320" w:rsidRDefault="008C5489" w:rsidP="004D3320">
      <w:pPr>
        <w:pStyle w:val="NoSpacing"/>
        <w:rPr>
          <w:rFonts w:ascii="Times New Roman" w:hAnsi="Times New Roman" w:cs="Times New Roman"/>
          <w:color w:val="000000"/>
          <w:sz w:val="24"/>
          <w:szCs w:val="24"/>
        </w:rPr>
      </w:pPr>
      <w:r w:rsidRPr="004D3320">
        <w:rPr>
          <w:rFonts w:ascii="Times New Roman" w:hAnsi="Times New Roman" w:cs="Times New Roman"/>
          <w:color w:val="000000"/>
          <w:sz w:val="24"/>
          <w:szCs w:val="24"/>
        </w:rPr>
        <w:t xml:space="preserve">And </w:t>
      </w:r>
    </w:p>
    <w:p w14:paraId="2A59DD9E" w14:textId="0C209C86" w:rsidR="008C5489" w:rsidRPr="004D3320" w:rsidRDefault="008C5489" w:rsidP="004D3320">
      <w:pPr>
        <w:pStyle w:val="NormalWeb"/>
        <w:spacing w:line="360" w:lineRule="auto"/>
        <w:jc w:val="both"/>
        <w:rPr>
          <w:color w:val="000000"/>
        </w:rPr>
      </w:pPr>
      <w:r w:rsidRPr="004D3320">
        <w:rPr>
          <w:color w:val="000000"/>
        </w:rPr>
        <w:t xml:space="preserve">MINISTER OF MINES AND MINING DEVELOPMENT </w:t>
      </w:r>
    </w:p>
    <w:p w14:paraId="1848C728" w14:textId="77777777" w:rsidR="00B3466C" w:rsidRPr="004D3320" w:rsidRDefault="00B3466C"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HIGH COURT OF ZIMBABWE</w:t>
      </w:r>
    </w:p>
    <w:p w14:paraId="3B0D08EC" w14:textId="77777777" w:rsidR="00B3466C" w:rsidRPr="004D3320" w:rsidRDefault="00B3466C"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COMMERCIAL DIVISION</w:t>
      </w:r>
    </w:p>
    <w:p w14:paraId="7E1C12D5" w14:textId="77777777" w:rsidR="00B3466C" w:rsidRPr="004D3320" w:rsidRDefault="00B3466C" w:rsidP="004D3320">
      <w:pPr>
        <w:pStyle w:val="NoSpacing"/>
        <w:rPr>
          <w:rFonts w:ascii="Times New Roman" w:hAnsi="Times New Roman" w:cs="Times New Roman"/>
          <w:sz w:val="24"/>
          <w:szCs w:val="24"/>
        </w:rPr>
      </w:pPr>
      <w:r w:rsidRPr="004D3320">
        <w:rPr>
          <w:rFonts w:ascii="Times New Roman" w:hAnsi="Times New Roman" w:cs="Times New Roman"/>
          <w:sz w:val="24"/>
          <w:szCs w:val="24"/>
        </w:rPr>
        <w:t>CHILIMBE J</w:t>
      </w:r>
    </w:p>
    <w:p w14:paraId="1CA43657" w14:textId="0ED248BA" w:rsidR="007F49DC" w:rsidRPr="004D3320" w:rsidRDefault="00B3466C" w:rsidP="004D3320">
      <w:pPr>
        <w:pStyle w:val="NoSpacing"/>
        <w:rPr>
          <w:rFonts w:ascii="Times New Roman" w:hAnsi="Times New Roman" w:cs="Times New Roman"/>
          <w:color w:val="000000"/>
          <w:sz w:val="24"/>
          <w:szCs w:val="24"/>
        </w:rPr>
      </w:pPr>
      <w:r w:rsidRPr="004D3320">
        <w:rPr>
          <w:rFonts w:ascii="Times New Roman" w:hAnsi="Times New Roman" w:cs="Times New Roman"/>
          <w:sz w:val="24"/>
          <w:szCs w:val="24"/>
        </w:rPr>
        <w:t xml:space="preserve">HARARE </w:t>
      </w:r>
      <w:r w:rsidR="008C5489" w:rsidRPr="004D3320">
        <w:rPr>
          <w:rFonts w:ascii="Times New Roman" w:hAnsi="Times New Roman" w:cs="Times New Roman"/>
          <w:sz w:val="24"/>
          <w:szCs w:val="24"/>
        </w:rPr>
        <w:t xml:space="preserve">13 JANUARY &amp; </w:t>
      </w:r>
      <w:r w:rsidR="00163AE5">
        <w:rPr>
          <w:rFonts w:ascii="Times New Roman" w:hAnsi="Times New Roman" w:cs="Times New Roman"/>
          <w:sz w:val="24"/>
          <w:szCs w:val="24"/>
        </w:rPr>
        <w:t>10</w:t>
      </w:r>
      <w:r w:rsidR="004D3320">
        <w:rPr>
          <w:rFonts w:ascii="Times New Roman" w:hAnsi="Times New Roman" w:cs="Times New Roman"/>
          <w:sz w:val="24"/>
          <w:szCs w:val="24"/>
        </w:rPr>
        <w:t xml:space="preserve"> June </w:t>
      </w:r>
      <w:r w:rsidR="004D3320" w:rsidRPr="004D3320">
        <w:rPr>
          <w:rFonts w:ascii="Times New Roman" w:hAnsi="Times New Roman" w:cs="Times New Roman"/>
          <w:sz w:val="24"/>
          <w:szCs w:val="24"/>
        </w:rPr>
        <w:t>2026</w:t>
      </w:r>
      <w:r w:rsidR="008C5489" w:rsidRPr="004D3320">
        <w:rPr>
          <w:rFonts w:ascii="Times New Roman" w:hAnsi="Times New Roman" w:cs="Times New Roman"/>
          <w:sz w:val="24"/>
          <w:szCs w:val="24"/>
        </w:rPr>
        <w:t xml:space="preserve"> </w:t>
      </w:r>
    </w:p>
    <w:p w14:paraId="6881E6F3" w14:textId="5825D783" w:rsidR="008C5489" w:rsidRPr="004D3320" w:rsidRDefault="008C5489" w:rsidP="004D3320">
      <w:pPr>
        <w:pStyle w:val="NormalWeb"/>
        <w:spacing w:line="360" w:lineRule="auto"/>
        <w:jc w:val="both"/>
        <w:rPr>
          <w:b/>
          <w:bCs/>
          <w:color w:val="000000"/>
        </w:rPr>
      </w:pPr>
      <w:r w:rsidRPr="004D3320">
        <w:rPr>
          <w:b/>
          <w:bCs/>
          <w:color w:val="000000"/>
        </w:rPr>
        <w:t>Special Plea</w:t>
      </w:r>
    </w:p>
    <w:p w14:paraId="7EE06EFF" w14:textId="26A7AF00" w:rsidR="00B3466C" w:rsidRPr="004D3320" w:rsidRDefault="00F271DC" w:rsidP="004D3320">
      <w:pPr>
        <w:pStyle w:val="NoSpacing"/>
        <w:rPr>
          <w:rFonts w:ascii="Times New Roman" w:hAnsi="Times New Roman" w:cs="Times New Roman"/>
          <w:sz w:val="24"/>
          <w:szCs w:val="24"/>
        </w:rPr>
      </w:pPr>
      <w:r w:rsidRPr="004D3320">
        <w:rPr>
          <w:rFonts w:ascii="Times New Roman" w:hAnsi="Times New Roman" w:cs="Times New Roman"/>
          <w:i/>
          <w:iCs/>
          <w:sz w:val="24"/>
          <w:szCs w:val="24"/>
        </w:rPr>
        <w:t>D. Tivadar</w:t>
      </w:r>
      <w:r w:rsidRPr="004D3320">
        <w:rPr>
          <w:rFonts w:ascii="Times New Roman" w:hAnsi="Times New Roman" w:cs="Times New Roman"/>
          <w:sz w:val="24"/>
          <w:szCs w:val="24"/>
        </w:rPr>
        <w:t xml:space="preserve"> </w:t>
      </w:r>
      <w:r w:rsidR="00B3466C" w:rsidRPr="004D3320">
        <w:rPr>
          <w:rFonts w:ascii="Times New Roman" w:hAnsi="Times New Roman" w:cs="Times New Roman"/>
          <w:sz w:val="24"/>
          <w:szCs w:val="24"/>
        </w:rPr>
        <w:t xml:space="preserve">for </w:t>
      </w:r>
      <w:r w:rsidRPr="004D3320">
        <w:rPr>
          <w:rFonts w:ascii="Times New Roman" w:hAnsi="Times New Roman" w:cs="Times New Roman"/>
          <w:sz w:val="24"/>
          <w:szCs w:val="24"/>
        </w:rPr>
        <w:t>plaintiff</w:t>
      </w:r>
    </w:p>
    <w:p w14:paraId="030F35FC" w14:textId="6B6C7E26" w:rsidR="00B3466C" w:rsidRPr="004D3320" w:rsidRDefault="00F271DC" w:rsidP="004D3320">
      <w:pPr>
        <w:pStyle w:val="NoSpacing"/>
        <w:rPr>
          <w:rFonts w:ascii="Times New Roman" w:hAnsi="Times New Roman" w:cs="Times New Roman"/>
          <w:sz w:val="24"/>
          <w:szCs w:val="24"/>
        </w:rPr>
      </w:pPr>
      <w:r w:rsidRPr="004D3320">
        <w:rPr>
          <w:rFonts w:ascii="Times New Roman" w:hAnsi="Times New Roman" w:cs="Times New Roman"/>
          <w:i/>
          <w:iCs/>
          <w:sz w:val="24"/>
          <w:szCs w:val="24"/>
        </w:rPr>
        <w:t>M. Tshuma</w:t>
      </w:r>
      <w:r w:rsidRPr="004D3320">
        <w:rPr>
          <w:rFonts w:ascii="Times New Roman" w:hAnsi="Times New Roman" w:cs="Times New Roman"/>
          <w:sz w:val="24"/>
          <w:szCs w:val="24"/>
        </w:rPr>
        <w:t xml:space="preserve"> </w:t>
      </w:r>
      <w:r w:rsidR="00B3466C" w:rsidRPr="004D3320">
        <w:rPr>
          <w:rFonts w:ascii="Times New Roman" w:hAnsi="Times New Roman" w:cs="Times New Roman"/>
          <w:sz w:val="24"/>
          <w:szCs w:val="24"/>
        </w:rPr>
        <w:t xml:space="preserve">for 1st </w:t>
      </w:r>
      <w:r w:rsidRPr="004D3320">
        <w:rPr>
          <w:rFonts w:ascii="Times New Roman" w:hAnsi="Times New Roman" w:cs="Times New Roman"/>
          <w:sz w:val="24"/>
          <w:szCs w:val="24"/>
        </w:rPr>
        <w:t xml:space="preserve">defendant </w:t>
      </w:r>
    </w:p>
    <w:p w14:paraId="2336318C" w14:textId="0F8647F2" w:rsidR="007F49DC" w:rsidRPr="004D3320" w:rsidRDefault="00B3466C" w:rsidP="004D3320">
      <w:pPr>
        <w:pStyle w:val="NoSpacing"/>
        <w:rPr>
          <w:rFonts w:ascii="Times New Roman" w:hAnsi="Times New Roman" w:cs="Times New Roman"/>
          <w:color w:val="000000"/>
          <w:sz w:val="24"/>
          <w:szCs w:val="24"/>
        </w:rPr>
      </w:pPr>
      <w:r w:rsidRPr="004D3320">
        <w:rPr>
          <w:rFonts w:ascii="Times New Roman" w:hAnsi="Times New Roman" w:cs="Times New Roman"/>
          <w:sz w:val="24"/>
          <w:szCs w:val="24"/>
        </w:rPr>
        <w:t xml:space="preserve">No appearance for 2nd </w:t>
      </w:r>
      <w:r w:rsidR="00F271DC" w:rsidRPr="004D3320">
        <w:rPr>
          <w:rFonts w:ascii="Times New Roman" w:hAnsi="Times New Roman" w:cs="Times New Roman"/>
          <w:sz w:val="24"/>
          <w:szCs w:val="24"/>
        </w:rPr>
        <w:t>– 4th defendants</w:t>
      </w:r>
    </w:p>
    <w:p w14:paraId="25D3D338" w14:textId="77777777" w:rsidR="00B3466C" w:rsidRPr="004D3320" w:rsidRDefault="00B3466C" w:rsidP="004D3320">
      <w:pPr>
        <w:pStyle w:val="NormalWeb"/>
        <w:spacing w:line="360" w:lineRule="auto"/>
        <w:jc w:val="both"/>
        <w:rPr>
          <w:color w:val="000000"/>
        </w:rPr>
      </w:pPr>
      <w:r w:rsidRPr="004D3320">
        <w:rPr>
          <w:color w:val="000000"/>
        </w:rPr>
        <w:t>CHILIMBE J</w:t>
      </w:r>
    </w:p>
    <w:p w14:paraId="1265EDB0" w14:textId="0D67A221" w:rsidR="00325FD8" w:rsidRPr="004D3320" w:rsidRDefault="00325FD8" w:rsidP="004D3320">
      <w:pPr>
        <w:pStyle w:val="NormalWeb"/>
        <w:spacing w:line="360" w:lineRule="auto"/>
        <w:ind w:left="851"/>
        <w:jc w:val="both"/>
        <w:rPr>
          <w:color w:val="000000"/>
        </w:rPr>
      </w:pPr>
      <w:r w:rsidRPr="004D3320">
        <w:rPr>
          <w:i/>
          <w:iCs/>
          <w:color w:val="000000"/>
        </w:rPr>
        <w:t>“The first defendant provides no authorities for this perplexing proposition. If this submission is correct, it would mean that couples could not divorce once the prescription period of 3 years was over</w:t>
      </w:r>
      <w:r w:rsidRPr="004D3320">
        <w:rPr>
          <w:color w:val="000000"/>
        </w:rPr>
        <w:t>”.</w:t>
      </w:r>
      <w:r w:rsidRPr="004D3320">
        <w:rPr>
          <w:rStyle w:val="FootnoteReference"/>
          <w:color w:val="000000"/>
        </w:rPr>
        <w:footnoteReference w:id="1"/>
      </w:r>
    </w:p>
    <w:p w14:paraId="09F06983" w14:textId="77777777" w:rsidR="004D3320" w:rsidRDefault="00325FD8" w:rsidP="004D3320">
      <w:pPr>
        <w:spacing w:line="360" w:lineRule="auto"/>
        <w:jc w:val="both"/>
        <w:rPr>
          <w:rFonts w:ascii="Times New Roman" w:hAnsi="Times New Roman" w:cs="Times New Roman"/>
        </w:rPr>
      </w:pPr>
      <w:r w:rsidRPr="004D3320">
        <w:rPr>
          <w:rFonts w:ascii="Times New Roman" w:hAnsi="Times New Roman" w:cs="Times New Roman"/>
        </w:rPr>
        <w:t>INTRODUCTION</w:t>
      </w:r>
    </w:p>
    <w:p w14:paraId="6710ED81" w14:textId="6FCF17B4" w:rsidR="00F425F4" w:rsidRDefault="00325FD8" w:rsidP="004D3320">
      <w:pPr>
        <w:spacing w:line="360" w:lineRule="auto"/>
        <w:jc w:val="both"/>
        <w:rPr>
          <w:rFonts w:ascii="Times New Roman" w:hAnsi="Times New Roman" w:cs="Times New Roman"/>
          <w:sz w:val="24"/>
          <w:szCs w:val="24"/>
        </w:rPr>
      </w:pPr>
      <w:r w:rsidRPr="004D3320">
        <w:rPr>
          <w:rFonts w:ascii="Times New Roman" w:hAnsi="Times New Roman" w:cs="Times New Roman"/>
          <w:sz w:val="24"/>
          <w:szCs w:val="24"/>
        </w:rPr>
        <w:t xml:space="preserve">[1] This matter concerns not a matrimonial causa, but a special plea of prescription resisting a declaratur </w:t>
      </w:r>
      <w:r w:rsidR="004D3320" w:rsidRPr="004D3320">
        <w:rPr>
          <w:rFonts w:ascii="Times New Roman" w:hAnsi="Times New Roman" w:cs="Times New Roman"/>
          <w:sz w:val="24"/>
          <w:szCs w:val="24"/>
        </w:rPr>
        <w:t xml:space="preserve">on </w:t>
      </w:r>
      <w:r w:rsidRPr="004D3320">
        <w:rPr>
          <w:rFonts w:ascii="Times New Roman" w:hAnsi="Times New Roman" w:cs="Times New Roman"/>
          <w:sz w:val="24"/>
          <w:szCs w:val="24"/>
        </w:rPr>
        <w:t xml:space="preserve">rights </w:t>
      </w:r>
      <w:r w:rsidR="004D3320" w:rsidRPr="004D3320">
        <w:rPr>
          <w:rFonts w:ascii="Times New Roman" w:hAnsi="Times New Roman" w:cs="Times New Roman"/>
          <w:sz w:val="24"/>
          <w:szCs w:val="24"/>
        </w:rPr>
        <w:t xml:space="preserve">claimed </w:t>
      </w:r>
      <w:r w:rsidR="009062A4">
        <w:rPr>
          <w:rFonts w:ascii="Times New Roman" w:hAnsi="Times New Roman" w:cs="Times New Roman"/>
          <w:sz w:val="24"/>
          <w:szCs w:val="24"/>
        </w:rPr>
        <w:t>under</w:t>
      </w:r>
      <w:r w:rsidRPr="004D3320">
        <w:rPr>
          <w:rFonts w:ascii="Times New Roman" w:hAnsi="Times New Roman" w:cs="Times New Roman"/>
          <w:sz w:val="24"/>
          <w:szCs w:val="24"/>
        </w:rPr>
        <w:t xml:space="preserve"> the Mines and Minerals Act [ Chapter 21</w:t>
      </w:r>
      <w:r w:rsidR="009062A4">
        <w:rPr>
          <w:rFonts w:ascii="Times New Roman" w:hAnsi="Times New Roman" w:cs="Times New Roman"/>
          <w:sz w:val="24"/>
          <w:szCs w:val="24"/>
        </w:rPr>
        <w:t>:</w:t>
      </w:r>
      <w:r w:rsidRPr="004D3320">
        <w:rPr>
          <w:rFonts w:ascii="Times New Roman" w:hAnsi="Times New Roman" w:cs="Times New Roman"/>
          <w:sz w:val="24"/>
          <w:szCs w:val="24"/>
        </w:rPr>
        <w:t>05] (“the MMA”</w:t>
      </w:r>
      <w:r w:rsidR="00C51620" w:rsidRPr="004D3320">
        <w:rPr>
          <w:rFonts w:ascii="Times New Roman" w:hAnsi="Times New Roman" w:cs="Times New Roman"/>
          <w:sz w:val="24"/>
          <w:szCs w:val="24"/>
        </w:rPr>
        <w:t>).</w:t>
      </w:r>
      <w:r w:rsidR="00C51620">
        <w:rPr>
          <w:rFonts w:ascii="Times New Roman" w:hAnsi="Times New Roman" w:cs="Times New Roman"/>
          <w:sz w:val="24"/>
          <w:szCs w:val="24"/>
        </w:rPr>
        <w:t xml:space="preserve"> I</w:t>
      </w:r>
      <w:r w:rsidR="006779F9">
        <w:rPr>
          <w:rFonts w:ascii="Times New Roman" w:hAnsi="Times New Roman" w:cs="Times New Roman"/>
          <w:sz w:val="24"/>
          <w:szCs w:val="24"/>
        </w:rPr>
        <w:t xml:space="preserve"> set out the brief facts </w:t>
      </w:r>
      <w:r w:rsidR="00113AA5">
        <w:rPr>
          <w:rFonts w:ascii="Times New Roman" w:hAnsi="Times New Roman" w:cs="Times New Roman"/>
          <w:sz w:val="24"/>
          <w:szCs w:val="24"/>
        </w:rPr>
        <w:t>hereunder; -</w:t>
      </w:r>
    </w:p>
    <w:p w14:paraId="445BEBEC" w14:textId="48D8ADED" w:rsidR="00113AA5" w:rsidRDefault="00113AA5" w:rsidP="00F425F4">
      <w:pPr>
        <w:spacing w:line="360" w:lineRule="auto"/>
        <w:jc w:val="both"/>
        <w:rPr>
          <w:rFonts w:ascii="Times New Roman" w:hAnsi="Times New Roman" w:cs="Times New Roman"/>
          <w:sz w:val="24"/>
          <w:szCs w:val="24"/>
        </w:rPr>
      </w:pPr>
      <w:r>
        <w:rPr>
          <w:rFonts w:ascii="Times New Roman" w:hAnsi="Times New Roman" w:cs="Times New Roman"/>
          <w:sz w:val="24"/>
          <w:szCs w:val="24"/>
        </w:rPr>
        <w:t>THE DISPUTE</w:t>
      </w:r>
    </w:p>
    <w:p w14:paraId="42C3106E" w14:textId="76CD4A66" w:rsidR="00F425F4" w:rsidRDefault="00113AA5" w:rsidP="00F425F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F425F4" w:rsidRPr="00F425F4">
        <w:rPr>
          <w:rFonts w:ascii="Times New Roman" w:hAnsi="Times New Roman" w:cs="Times New Roman"/>
          <w:sz w:val="24"/>
          <w:szCs w:val="24"/>
        </w:rPr>
        <w:t xml:space="preserve">2] </w:t>
      </w:r>
      <w:r w:rsidR="00F425F4">
        <w:rPr>
          <w:rFonts w:ascii="Times New Roman" w:hAnsi="Times New Roman" w:cs="Times New Roman"/>
          <w:sz w:val="24"/>
          <w:szCs w:val="24"/>
        </w:rPr>
        <w:t>In 1986, t</w:t>
      </w:r>
      <w:r w:rsidR="00F425F4" w:rsidRPr="00F425F4">
        <w:rPr>
          <w:rFonts w:ascii="Times New Roman" w:hAnsi="Times New Roman" w:cs="Times New Roman"/>
          <w:sz w:val="24"/>
          <w:szCs w:val="24"/>
        </w:rPr>
        <w:t xml:space="preserve">he plaintiff (“Gauthleza”) </w:t>
      </w:r>
      <w:r w:rsidR="00F425F4">
        <w:rPr>
          <w:rFonts w:ascii="Times New Roman" w:hAnsi="Times New Roman" w:cs="Times New Roman"/>
          <w:sz w:val="24"/>
          <w:szCs w:val="24"/>
        </w:rPr>
        <w:t xml:space="preserve">became </w:t>
      </w:r>
      <w:r w:rsidR="00F425F4" w:rsidRPr="00F425F4">
        <w:rPr>
          <w:rFonts w:ascii="Times New Roman" w:hAnsi="Times New Roman" w:cs="Times New Roman"/>
          <w:sz w:val="24"/>
          <w:szCs w:val="24"/>
        </w:rPr>
        <w:t xml:space="preserve">the registered holder of 3 claims </w:t>
      </w:r>
      <w:r w:rsidR="006779F9">
        <w:rPr>
          <w:rFonts w:ascii="Times New Roman" w:hAnsi="Times New Roman" w:cs="Times New Roman"/>
          <w:sz w:val="24"/>
          <w:szCs w:val="24"/>
        </w:rPr>
        <w:t xml:space="preserve">titled (i) </w:t>
      </w:r>
      <w:r w:rsidR="00F425F4" w:rsidRPr="00F425F4">
        <w:rPr>
          <w:rFonts w:ascii="Times New Roman" w:hAnsi="Times New Roman" w:cs="Times New Roman"/>
          <w:sz w:val="24"/>
          <w:szCs w:val="24"/>
        </w:rPr>
        <w:t xml:space="preserve">Chimbadzi N3 (BM21677), </w:t>
      </w:r>
      <w:r w:rsidR="006779F9">
        <w:rPr>
          <w:rFonts w:ascii="Times New Roman" w:hAnsi="Times New Roman" w:cs="Times New Roman"/>
          <w:sz w:val="24"/>
          <w:szCs w:val="24"/>
        </w:rPr>
        <w:t xml:space="preserve">(ii) </w:t>
      </w:r>
      <w:r w:rsidR="00F425F4" w:rsidRPr="00F425F4">
        <w:rPr>
          <w:rFonts w:ascii="Times New Roman" w:hAnsi="Times New Roman" w:cs="Times New Roman"/>
          <w:sz w:val="24"/>
          <w:szCs w:val="24"/>
        </w:rPr>
        <w:t xml:space="preserve">Chimbadzi N2 (BM21083), </w:t>
      </w:r>
      <w:r w:rsidR="006779F9">
        <w:rPr>
          <w:rFonts w:ascii="Times New Roman" w:hAnsi="Times New Roman" w:cs="Times New Roman"/>
          <w:sz w:val="24"/>
          <w:szCs w:val="24"/>
        </w:rPr>
        <w:t xml:space="preserve">(iii) </w:t>
      </w:r>
      <w:r w:rsidR="00F425F4" w:rsidRPr="00F425F4">
        <w:rPr>
          <w:rFonts w:ascii="Times New Roman" w:hAnsi="Times New Roman" w:cs="Times New Roman"/>
          <w:sz w:val="24"/>
          <w:szCs w:val="24"/>
        </w:rPr>
        <w:t>Chimbadzi N (BM20973) (</w:t>
      </w:r>
      <w:r w:rsidR="005922EC">
        <w:rPr>
          <w:rFonts w:ascii="Times New Roman" w:hAnsi="Times New Roman" w:cs="Times New Roman"/>
          <w:sz w:val="24"/>
          <w:szCs w:val="24"/>
        </w:rPr>
        <w:t xml:space="preserve">collectively </w:t>
      </w:r>
      <w:r w:rsidR="00F425F4" w:rsidRPr="00F425F4">
        <w:rPr>
          <w:rFonts w:ascii="Times New Roman" w:hAnsi="Times New Roman" w:cs="Times New Roman"/>
          <w:sz w:val="24"/>
          <w:szCs w:val="24"/>
        </w:rPr>
        <w:t>“</w:t>
      </w:r>
      <w:r w:rsidR="00F425F4" w:rsidRPr="006A21A9">
        <w:rPr>
          <w:rFonts w:ascii="Times New Roman" w:hAnsi="Times New Roman" w:cs="Times New Roman"/>
          <w:i/>
          <w:iCs/>
          <w:sz w:val="24"/>
          <w:szCs w:val="24"/>
        </w:rPr>
        <w:t>the Gauthleza claims</w:t>
      </w:r>
      <w:r w:rsidR="00F425F4" w:rsidRPr="00F425F4">
        <w:rPr>
          <w:rFonts w:ascii="Times New Roman" w:hAnsi="Times New Roman" w:cs="Times New Roman"/>
          <w:sz w:val="24"/>
          <w:szCs w:val="24"/>
        </w:rPr>
        <w:t>”) located in Mashonaland West Province of Zimbabwe. The first defendant (“Record Note”) is the holder</w:t>
      </w:r>
      <w:r w:rsidR="001743C3">
        <w:rPr>
          <w:rFonts w:ascii="Times New Roman" w:hAnsi="Times New Roman" w:cs="Times New Roman"/>
          <w:sz w:val="24"/>
          <w:szCs w:val="24"/>
        </w:rPr>
        <w:t xml:space="preserve">, since 2017, of </w:t>
      </w:r>
      <w:r w:rsidR="006779F9">
        <w:rPr>
          <w:rFonts w:ascii="Times New Roman" w:hAnsi="Times New Roman" w:cs="Times New Roman"/>
          <w:sz w:val="24"/>
          <w:szCs w:val="24"/>
        </w:rPr>
        <w:t xml:space="preserve">3 </w:t>
      </w:r>
      <w:r w:rsidR="001743C3">
        <w:rPr>
          <w:rFonts w:ascii="Times New Roman" w:hAnsi="Times New Roman" w:cs="Times New Roman"/>
          <w:sz w:val="24"/>
          <w:szCs w:val="24"/>
        </w:rPr>
        <w:t>claims</w:t>
      </w:r>
      <w:r w:rsidR="00F425F4" w:rsidRPr="00F425F4">
        <w:rPr>
          <w:rFonts w:ascii="Times New Roman" w:hAnsi="Times New Roman" w:cs="Times New Roman"/>
          <w:sz w:val="24"/>
          <w:szCs w:val="24"/>
        </w:rPr>
        <w:t xml:space="preserve"> </w:t>
      </w:r>
      <w:r w:rsidR="006779F9">
        <w:rPr>
          <w:rFonts w:ascii="Times New Roman" w:hAnsi="Times New Roman" w:cs="Times New Roman"/>
          <w:sz w:val="24"/>
          <w:szCs w:val="24"/>
        </w:rPr>
        <w:t xml:space="preserve">(i) </w:t>
      </w:r>
      <w:r w:rsidR="00F425F4" w:rsidRPr="00F425F4">
        <w:rPr>
          <w:rFonts w:ascii="Times New Roman" w:hAnsi="Times New Roman" w:cs="Times New Roman"/>
          <w:sz w:val="24"/>
          <w:szCs w:val="24"/>
        </w:rPr>
        <w:t>4732</w:t>
      </w:r>
      <w:r w:rsidRPr="00F425F4">
        <w:rPr>
          <w:rFonts w:ascii="Times New Roman" w:hAnsi="Times New Roman" w:cs="Times New Roman"/>
          <w:sz w:val="24"/>
          <w:szCs w:val="24"/>
        </w:rPr>
        <w:t>BM,</w:t>
      </w:r>
      <w:r>
        <w:rPr>
          <w:rFonts w:ascii="Times New Roman" w:hAnsi="Times New Roman" w:cs="Times New Roman"/>
          <w:sz w:val="24"/>
          <w:szCs w:val="24"/>
        </w:rPr>
        <w:t xml:space="preserve"> (</w:t>
      </w:r>
      <w:r w:rsidR="006779F9">
        <w:rPr>
          <w:rFonts w:ascii="Times New Roman" w:hAnsi="Times New Roman" w:cs="Times New Roman"/>
          <w:sz w:val="24"/>
          <w:szCs w:val="24"/>
        </w:rPr>
        <w:t>ii</w:t>
      </w:r>
      <w:r>
        <w:rPr>
          <w:rFonts w:ascii="Times New Roman" w:hAnsi="Times New Roman" w:cs="Times New Roman"/>
          <w:sz w:val="24"/>
          <w:szCs w:val="24"/>
        </w:rPr>
        <w:t xml:space="preserve">) </w:t>
      </w:r>
      <w:r w:rsidRPr="00F425F4">
        <w:rPr>
          <w:rFonts w:ascii="Times New Roman" w:hAnsi="Times New Roman" w:cs="Times New Roman"/>
          <w:sz w:val="24"/>
          <w:szCs w:val="24"/>
        </w:rPr>
        <w:t>4733</w:t>
      </w:r>
      <w:r w:rsidR="00F425F4" w:rsidRPr="00F425F4">
        <w:rPr>
          <w:rFonts w:ascii="Times New Roman" w:hAnsi="Times New Roman" w:cs="Times New Roman"/>
          <w:sz w:val="24"/>
          <w:szCs w:val="24"/>
        </w:rPr>
        <w:t xml:space="preserve">BM, and </w:t>
      </w:r>
      <w:r w:rsidR="006779F9">
        <w:rPr>
          <w:rFonts w:ascii="Times New Roman" w:hAnsi="Times New Roman" w:cs="Times New Roman"/>
          <w:sz w:val="24"/>
          <w:szCs w:val="24"/>
        </w:rPr>
        <w:t xml:space="preserve">(iii) </w:t>
      </w:r>
      <w:r w:rsidR="00F425F4" w:rsidRPr="00F425F4">
        <w:rPr>
          <w:rFonts w:ascii="Times New Roman" w:hAnsi="Times New Roman" w:cs="Times New Roman"/>
          <w:sz w:val="24"/>
          <w:szCs w:val="24"/>
        </w:rPr>
        <w:t>4745BM</w:t>
      </w:r>
      <w:r w:rsidR="00F425F4">
        <w:rPr>
          <w:rFonts w:ascii="Times New Roman" w:hAnsi="Times New Roman" w:cs="Times New Roman"/>
          <w:sz w:val="24"/>
          <w:szCs w:val="24"/>
        </w:rPr>
        <w:t xml:space="preserve"> (“</w:t>
      </w:r>
      <w:r w:rsidR="00F425F4" w:rsidRPr="006A21A9">
        <w:rPr>
          <w:rFonts w:ascii="Times New Roman" w:hAnsi="Times New Roman" w:cs="Times New Roman"/>
          <w:i/>
          <w:iCs/>
          <w:sz w:val="24"/>
          <w:szCs w:val="24"/>
        </w:rPr>
        <w:t xml:space="preserve">the </w:t>
      </w:r>
      <w:r w:rsidR="006A21A9">
        <w:rPr>
          <w:rFonts w:ascii="Times New Roman" w:hAnsi="Times New Roman" w:cs="Times New Roman"/>
          <w:i/>
          <w:iCs/>
          <w:sz w:val="24"/>
          <w:szCs w:val="24"/>
        </w:rPr>
        <w:t>R</w:t>
      </w:r>
      <w:r w:rsidR="006A21A9" w:rsidRPr="006A21A9">
        <w:rPr>
          <w:rFonts w:ascii="Times New Roman" w:hAnsi="Times New Roman" w:cs="Times New Roman"/>
          <w:i/>
          <w:iCs/>
          <w:sz w:val="24"/>
          <w:szCs w:val="24"/>
        </w:rPr>
        <w:t>ecord</w:t>
      </w:r>
      <w:r w:rsidR="00F425F4" w:rsidRPr="006A21A9">
        <w:rPr>
          <w:rFonts w:ascii="Times New Roman" w:hAnsi="Times New Roman" w:cs="Times New Roman"/>
          <w:i/>
          <w:iCs/>
          <w:sz w:val="24"/>
          <w:szCs w:val="24"/>
        </w:rPr>
        <w:t xml:space="preserve"> Note Claims</w:t>
      </w:r>
      <w:r w:rsidR="00F425F4">
        <w:rPr>
          <w:rFonts w:ascii="Times New Roman" w:hAnsi="Times New Roman" w:cs="Times New Roman"/>
          <w:sz w:val="24"/>
          <w:szCs w:val="24"/>
        </w:rPr>
        <w:t xml:space="preserve">”) also </w:t>
      </w:r>
      <w:r w:rsidR="00D97888">
        <w:rPr>
          <w:rFonts w:ascii="Times New Roman" w:hAnsi="Times New Roman" w:cs="Times New Roman"/>
          <w:sz w:val="24"/>
          <w:szCs w:val="24"/>
        </w:rPr>
        <w:t>situated within</w:t>
      </w:r>
      <w:r w:rsidR="00F425F4">
        <w:rPr>
          <w:rFonts w:ascii="Times New Roman" w:hAnsi="Times New Roman" w:cs="Times New Roman"/>
          <w:sz w:val="24"/>
          <w:szCs w:val="24"/>
        </w:rPr>
        <w:t xml:space="preserve"> the same province.</w:t>
      </w:r>
    </w:p>
    <w:p w14:paraId="2B2FD4C1" w14:textId="3384F0FB" w:rsidR="00F425F4" w:rsidRPr="00F425F4" w:rsidRDefault="00F425F4" w:rsidP="00F425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1743C3">
        <w:rPr>
          <w:rFonts w:ascii="Times New Roman" w:hAnsi="Times New Roman" w:cs="Times New Roman"/>
          <w:sz w:val="24"/>
          <w:szCs w:val="24"/>
        </w:rPr>
        <w:t>B</w:t>
      </w:r>
      <w:r>
        <w:rPr>
          <w:rFonts w:ascii="Times New Roman" w:hAnsi="Times New Roman" w:cs="Times New Roman"/>
          <w:sz w:val="24"/>
          <w:szCs w:val="24"/>
        </w:rPr>
        <w:t xml:space="preserve">oundary disagreements </w:t>
      </w:r>
      <w:r w:rsidR="001743C3">
        <w:rPr>
          <w:rFonts w:ascii="Times New Roman" w:hAnsi="Times New Roman" w:cs="Times New Roman"/>
          <w:sz w:val="24"/>
          <w:szCs w:val="24"/>
        </w:rPr>
        <w:t xml:space="preserve">arose between the two parties </w:t>
      </w:r>
      <w:r>
        <w:rPr>
          <w:rFonts w:ascii="Times New Roman" w:hAnsi="Times New Roman" w:cs="Times New Roman"/>
          <w:sz w:val="24"/>
          <w:szCs w:val="24"/>
        </w:rPr>
        <w:t xml:space="preserve">over their respective sets of mining claims. </w:t>
      </w:r>
      <w:r w:rsidR="001743C3">
        <w:rPr>
          <w:rFonts w:ascii="Times New Roman" w:hAnsi="Times New Roman" w:cs="Times New Roman"/>
          <w:sz w:val="24"/>
          <w:szCs w:val="24"/>
        </w:rPr>
        <w:t>Gauthleza complained that Record Note had overpegged (encroached) into the Gauthleza claims. Record Note dispute</w:t>
      </w:r>
      <w:r w:rsidR="008478D0">
        <w:rPr>
          <w:rFonts w:ascii="Times New Roman" w:hAnsi="Times New Roman" w:cs="Times New Roman"/>
          <w:sz w:val="24"/>
          <w:szCs w:val="24"/>
        </w:rPr>
        <w:t>d</w:t>
      </w:r>
      <w:r w:rsidR="001743C3">
        <w:rPr>
          <w:rFonts w:ascii="Times New Roman" w:hAnsi="Times New Roman" w:cs="Times New Roman"/>
          <w:sz w:val="24"/>
          <w:szCs w:val="24"/>
        </w:rPr>
        <w:t xml:space="preserve"> this allegation </w:t>
      </w:r>
      <w:r w:rsidR="00163AE5">
        <w:rPr>
          <w:rFonts w:ascii="Times New Roman" w:hAnsi="Times New Roman" w:cs="Times New Roman"/>
          <w:sz w:val="24"/>
          <w:szCs w:val="24"/>
        </w:rPr>
        <w:t>and instead</w:t>
      </w:r>
      <w:r w:rsidR="00D41F9C">
        <w:rPr>
          <w:rFonts w:ascii="Times New Roman" w:hAnsi="Times New Roman" w:cs="Times New Roman"/>
          <w:sz w:val="24"/>
          <w:szCs w:val="24"/>
        </w:rPr>
        <w:t xml:space="preserve"> contended</w:t>
      </w:r>
      <w:r w:rsidR="00530A91">
        <w:rPr>
          <w:rFonts w:ascii="Times New Roman" w:hAnsi="Times New Roman" w:cs="Times New Roman"/>
          <w:sz w:val="24"/>
          <w:szCs w:val="24"/>
        </w:rPr>
        <w:t xml:space="preserve"> that Gauthleza` s claims had been “forfeited”. </w:t>
      </w:r>
      <w:r w:rsidR="001743C3">
        <w:rPr>
          <w:rFonts w:ascii="Times New Roman" w:hAnsi="Times New Roman" w:cs="Times New Roman"/>
          <w:sz w:val="24"/>
          <w:szCs w:val="24"/>
        </w:rPr>
        <w:t xml:space="preserve"> </w:t>
      </w:r>
      <w:r w:rsidR="00530A91">
        <w:rPr>
          <w:rFonts w:ascii="Times New Roman" w:hAnsi="Times New Roman" w:cs="Times New Roman"/>
          <w:sz w:val="24"/>
          <w:szCs w:val="24"/>
        </w:rPr>
        <w:t>This disparity constitutes the primary dispute</w:t>
      </w:r>
      <w:r w:rsidR="008478D0">
        <w:rPr>
          <w:rFonts w:ascii="Times New Roman" w:hAnsi="Times New Roman" w:cs="Times New Roman"/>
          <w:sz w:val="24"/>
          <w:szCs w:val="24"/>
        </w:rPr>
        <w:t xml:space="preserve"> between the parties</w:t>
      </w:r>
      <w:r w:rsidR="00530A91">
        <w:rPr>
          <w:rFonts w:ascii="Times New Roman" w:hAnsi="Times New Roman" w:cs="Times New Roman"/>
          <w:sz w:val="24"/>
          <w:szCs w:val="24"/>
        </w:rPr>
        <w:t>.</w:t>
      </w:r>
    </w:p>
    <w:p w14:paraId="7D10F78B" w14:textId="64CF1B0F" w:rsidR="00530A91" w:rsidRDefault="00530A91"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Gauthleza approached this court under case number HC 2740/23 seeking an order for cancellation of the Record Note registrations. Record Note contested the claim and the court, per </w:t>
      </w:r>
      <w:r w:rsidRPr="0099148B">
        <w:rPr>
          <w:rFonts w:ascii="Times New Roman" w:hAnsi="Times New Roman" w:cs="Times New Roman"/>
        </w:rPr>
        <w:t>MUNANGATI-MANONGWA J</w:t>
      </w:r>
      <w:r>
        <w:rPr>
          <w:rFonts w:ascii="Times New Roman" w:hAnsi="Times New Roman" w:cs="Times New Roman"/>
          <w:sz w:val="24"/>
          <w:szCs w:val="24"/>
        </w:rPr>
        <w:t xml:space="preserve"> directed, on 2 May 2024, the third defendant to conduct an investigation into the </w:t>
      </w:r>
      <w:r w:rsidR="00F425F4">
        <w:rPr>
          <w:rFonts w:ascii="Times New Roman" w:hAnsi="Times New Roman" w:cs="Times New Roman"/>
          <w:sz w:val="24"/>
          <w:szCs w:val="24"/>
        </w:rPr>
        <w:t>dispute</w:t>
      </w:r>
      <w:r>
        <w:rPr>
          <w:rFonts w:ascii="Times New Roman" w:hAnsi="Times New Roman" w:cs="Times New Roman"/>
          <w:sz w:val="24"/>
          <w:szCs w:val="24"/>
        </w:rPr>
        <w:t>. The third defendant</w:t>
      </w:r>
      <w:r w:rsidR="00CE09C8">
        <w:rPr>
          <w:rFonts w:ascii="Times New Roman" w:hAnsi="Times New Roman" w:cs="Times New Roman"/>
          <w:sz w:val="24"/>
          <w:szCs w:val="24"/>
        </w:rPr>
        <w:t xml:space="preserve"> subsequently</w:t>
      </w:r>
      <w:r w:rsidR="009072AA">
        <w:rPr>
          <w:rFonts w:ascii="Times New Roman" w:hAnsi="Times New Roman" w:cs="Times New Roman"/>
          <w:sz w:val="24"/>
          <w:szCs w:val="24"/>
        </w:rPr>
        <w:t xml:space="preserve"> </w:t>
      </w:r>
      <w:r w:rsidR="001B5A5C">
        <w:rPr>
          <w:rFonts w:ascii="Times New Roman" w:hAnsi="Times New Roman" w:cs="Times New Roman"/>
          <w:sz w:val="24"/>
          <w:szCs w:val="24"/>
        </w:rPr>
        <w:t>produced a</w:t>
      </w:r>
      <w:r>
        <w:rPr>
          <w:rFonts w:ascii="Times New Roman" w:hAnsi="Times New Roman" w:cs="Times New Roman"/>
          <w:sz w:val="24"/>
          <w:szCs w:val="24"/>
        </w:rPr>
        <w:t xml:space="preserve"> report</w:t>
      </w:r>
      <w:r w:rsidR="00286A17">
        <w:rPr>
          <w:rFonts w:ascii="Times New Roman" w:hAnsi="Times New Roman" w:cs="Times New Roman"/>
          <w:sz w:val="24"/>
          <w:szCs w:val="24"/>
        </w:rPr>
        <w:t>, the</w:t>
      </w:r>
      <w:r>
        <w:rPr>
          <w:rFonts w:ascii="Times New Roman" w:hAnsi="Times New Roman" w:cs="Times New Roman"/>
          <w:sz w:val="24"/>
          <w:szCs w:val="24"/>
        </w:rPr>
        <w:t xml:space="preserve"> </w:t>
      </w:r>
      <w:r w:rsidR="00286A17">
        <w:rPr>
          <w:rFonts w:ascii="Times New Roman" w:hAnsi="Times New Roman" w:cs="Times New Roman"/>
          <w:sz w:val="24"/>
          <w:szCs w:val="24"/>
        </w:rPr>
        <w:t xml:space="preserve">findings </w:t>
      </w:r>
      <w:r w:rsidR="004C0AAA">
        <w:rPr>
          <w:rFonts w:ascii="Times New Roman" w:hAnsi="Times New Roman" w:cs="Times New Roman"/>
          <w:sz w:val="24"/>
          <w:szCs w:val="24"/>
        </w:rPr>
        <w:t xml:space="preserve">of which constitutes a further point of disagreement between the </w:t>
      </w:r>
      <w:r w:rsidR="001B5A5C">
        <w:rPr>
          <w:rFonts w:ascii="Times New Roman" w:hAnsi="Times New Roman" w:cs="Times New Roman"/>
          <w:sz w:val="24"/>
          <w:szCs w:val="24"/>
        </w:rPr>
        <w:t>parties.</w:t>
      </w:r>
    </w:p>
    <w:p w14:paraId="70770C1C" w14:textId="4E7C8205" w:rsidR="00530A91" w:rsidRDefault="00530A91"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[5] Case number HC 2740/23 was subsequently struck of</w:t>
      </w:r>
      <w:r w:rsidR="001B1D0E">
        <w:rPr>
          <w:rFonts w:ascii="Times New Roman" w:hAnsi="Times New Roman" w:cs="Times New Roman"/>
          <w:sz w:val="24"/>
          <w:szCs w:val="24"/>
        </w:rPr>
        <w:t>f</w:t>
      </w:r>
      <w:r>
        <w:rPr>
          <w:rFonts w:ascii="Times New Roman" w:hAnsi="Times New Roman" w:cs="Times New Roman"/>
          <w:sz w:val="24"/>
          <w:szCs w:val="24"/>
        </w:rPr>
        <w:t xml:space="preserve"> the roll for reasons </w:t>
      </w:r>
      <w:r w:rsidR="001B1D0E">
        <w:rPr>
          <w:rFonts w:ascii="Times New Roman" w:hAnsi="Times New Roman" w:cs="Times New Roman"/>
          <w:sz w:val="24"/>
          <w:szCs w:val="24"/>
        </w:rPr>
        <w:t>which remain</w:t>
      </w:r>
      <w:r>
        <w:rPr>
          <w:rFonts w:ascii="Times New Roman" w:hAnsi="Times New Roman" w:cs="Times New Roman"/>
          <w:sz w:val="24"/>
          <w:szCs w:val="24"/>
        </w:rPr>
        <w:t xml:space="preserve"> contested by the parties. Gauthleza claims the matter was struck off by </w:t>
      </w:r>
      <w:r w:rsidRPr="0099148B">
        <w:rPr>
          <w:rFonts w:ascii="Times New Roman" w:hAnsi="Times New Roman" w:cs="Times New Roman"/>
        </w:rPr>
        <w:t>DEME J</w:t>
      </w:r>
      <w:r>
        <w:rPr>
          <w:rFonts w:ascii="Times New Roman" w:hAnsi="Times New Roman" w:cs="Times New Roman"/>
          <w:sz w:val="24"/>
          <w:szCs w:val="24"/>
        </w:rPr>
        <w:t xml:space="preserve"> on 6 August 2025, on a technicality; -namely its failure to cite the correct provision of the Mines and Minerals Act. Record Note insists that the matter was struck for lack of a valid cause of action. These varied interpretations of </w:t>
      </w:r>
      <w:r w:rsidRPr="006A21A9">
        <w:rPr>
          <w:rFonts w:ascii="Times New Roman" w:hAnsi="Times New Roman" w:cs="Times New Roman"/>
        </w:rPr>
        <w:t>DEME J`</w:t>
      </w:r>
      <w:r>
        <w:rPr>
          <w:rFonts w:ascii="Times New Roman" w:hAnsi="Times New Roman" w:cs="Times New Roman"/>
          <w:sz w:val="24"/>
          <w:szCs w:val="24"/>
        </w:rPr>
        <w:t>s order stands as the third difference between the parties.</w:t>
      </w:r>
    </w:p>
    <w:p w14:paraId="27FE53C9" w14:textId="77777777" w:rsidR="00113AA5" w:rsidRDefault="00113AA5"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Gauthleza instituted the present proceedings seeking the relief set out below. </w:t>
      </w:r>
    </w:p>
    <w:p w14:paraId="2928E14F" w14:textId="77777777" w:rsidR="00113AA5" w:rsidRPr="004D3320" w:rsidRDefault="00113AA5" w:rsidP="00113AA5">
      <w:pPr>
        <w:pStyle w:val="ListParagraph"/>
        <w:numPr>
          <w:ilvl w:val="0"/>
          <w:numId w:val="1"/>
        </w:numPr>
        <w:spacing w:line="360" w:lineRule="auto"/>
        <w:ind w:left="1208" w:hanging="357"/>
        <w:jc w:val="both"/>
        <w:rPr>
          <w:rFonts w:ascii="Times New Roman" w:hAnsi="Times New Roman" w:cs="Times New Roman"/>
          <w:sz w:val="20"/>
          <w:szCs w:val="20"/>
        </w:rPr>
      </w:pPr>
      <w:r w:rsidRPr="004D3320">
        <w:rPr>
          <w:rFonts w:ascii="Times New Roman" w:hAnsi="Times New Roman" w:cs="Times New Roman"/>
          <w:sz w:val="20"/>
          <w:szCs w:val="20"/>
        </w:rPr>
        <w:t>It is declared that the First Defendant`s right in respect of its mining claims with registration numbers 4732BM, 4733BM, and 4745BM are subordinated to the rights of the plaintiff in respect of its mining rights known as Chimbadzi N3 (BM21677), Chimbadzi N2 (BM21083), Chimbadzi N (BM20973).</w:t>
      </w:r>
    </w:p>
    <w:p w14:paraId="20584FF2" w14:textId="77777777" w:rsidR="00113AA5" w:rsidRPr="004D3320" w:rsidRDefault="00113AA5" w:rsidP="00113AA5">
      <w:pPr>
        <w:pStyle w:val="ListParagraph"/>
        <w:numPr>
          <w:ilvl w:val="0"/>
          <w:numId w:val="1"/>
        </w:numPr>
        <w:spacing w:line="360" w:lineRule="auto"/>
        <w:ind w:left="1208" w:hanging="357"/>
        <w:jc w:val="both"/>
        <w:rPr>
          <w:rFonts w:ascii="Times New Roman" w:hAnsi="Times New Roman" w:cs="Times New Roman"/>
          <w:sz w:val="20"/>
          <w:szCs w:val="20"/>
        </w:rPr>
      </w:pPr>
      <w:r w:rsidRPr="004D3320">
        <w:rPr>
          <w:rFonts w:ascii="Times New Roman" w:hAnsi="Times New Roman" w:cs="Times New Roman"/>
          <w:sz w:val="20"/>
          <w:szCs w:val="20"/>
        </w:rPr>
        <w:t>The First Defendant`s claims under registration numbers 4732BM, 4733BM, and 4745BM be and are hereby cancelled.</w:t>
      </w:r>
    </w:p>
    <w:p w14:paraId="76FFABE3" w14:textId="77777777" w:rsidR="00113AA5" w:rsidRPr="004D3320" w:rsidRDefault="00113AA5" w:rsidP="00113AA5">
      <w:pPr>
        <w:pStyle w:val="ListParagraph"/>
        <w:numPr>
          <w:ilvl w:val="0"/>
          <w:numId w:val="1"/>
        </w:numPr>
        <w:spacing w:line="360" w:lineRule="auto"/>
        <w:ind w:left="1208" w:hanging="357"/>
        <w:jc w:val="both"/>
        <w:rPr>
          <w:rFonts w:ascii="Times New Roman" w:hAnsi="Times New Roman" w:cs="Times New Roman"/>
          <w:sz w:val="20"/>
          <w:szCs w:val="20"/>
        </w:rPr>
      </w:pPr>
      <w:r w:rsidRPr="004D3320">
        <w:rPr>
          <w:rFonts w:ascii="Times New Roman" w:hAnsi="Times New Roman" w:cs="Times New Roman"/>
          <w:sz w:val="20"/>
          <w:szCs w:val="20"/>
        </w:rPr>
        <w:t>The Second, Third and Fourth Defendants are hereby ordered to effect the cancellation of the First Defendant`s claims under registration numbers 4732BM, 4733BM, and 4745BM.</w:t>
      </w:r>
    </w:p>
    <w:p w14:paraId="49720D6A" w14:textId="77777777" w:rsidR="00113AA5" w:rsidRPr="00BC33AC" w:rsidRDefault="00113AA5" w:rsidP="00113AA5">
      <w:pPr>
        <w:pStyle w:val="ListParagraph"/>
        <w:numPr>
          <w:ilvl w:val="0"/>
          <w:numId w:val="1"/>
        </w:numPr>
        <w:spacing w:line="360" w:lineRule="auto"/>
        <w:ind w:left="1208" w:hanging="357"/>
        <w:jc w:val="both"/>
        <w:rPr>
          <w:rFonts w:ascii="Times New Roman" w:hAnsi="Times New Roman" w:cs="Times New Roman"/>
          <w:sz w:val="24"/>
          <w:szCs w:val="24"/>
        </w:rPr>
      </w:pPr>
      <w:r w:rsidRPr="00BC33AC">
        <w:rPr>
          <w:rFonts w:ascii="Times New Roman" w:hAnsi="Times New Roman" w:cs="Times New Roman"/>
          <w:sz w:val="20"/>
          <w:szCs w:val="20"/>
        </w:rPr>
        <w:t>The First Defendant to pay the plaintiff`s costs.</w:t>
      </w:r>
    </w:p>
    <w:p w14:paraId="6E1D944B" w14:textId="66F4391A" w:rsidR="00113AA5" w:rsidRDefault="00113AA5"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SPECIAL PLEA OF PRESCRIPTION</w:t>
      </w:r>
    </w:p>
    <w:p w14:paraId="43468CCC" w14:textId="77777777" w:rsidR="00113AA5" w:rsidRDefault="00113AA5" w:rsidP="004D3320">
      <w:pPr>
        <w:spacing w:line="360" w:lineRule="auto"/>
        <w:jc w:val="both"/>
        <w:rPr>
          <w:rFonts w:ascii="Times New Roman" w:hAnsi="Times New Roman" w:cs="Times New Roman"/>
          <w:sz w:val="24"/>
          <w:szCs w:val="24"/>
        </w:rPr>
      </w:pPr>
    </w:p>
    <w:p w14:paraId="48A17B0D" w14:textId="77777777" w:rsidR="00113AA5" w:rsidRDefault="00113AA5" w:rsidP="004D3320">
      <w:pPr>
        <w:spacing w:line="360" w:lineRule="auto"/>
        <w:jc w:val="both"/>
        <w:rPr>
          <w:rFonts w:ascii="Times New Roman" w:hAnsi="Times New Roman" w:cs="Times New Roman"/>
          <w:sz w:val="24"/>
          <w:szCs w:val="24"/>
        </w:rPr>
      </w:pPr>
    </w:p>
    <w:p w14:paraId="266C790E" w14:textId="1994D05C" w:rsidR="00113AA5" w:rsidRDefault="00753948"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B5282E">
        <w:rPr>
          <w:rFonts w:ascii="Times New Roman" w:hAnsi="Times New Roman" w:cs="Times New Roman"/>
          <w:sz w:val="24"/>
          <w:szCs w:val="24"/>
        </w:rPr>
        <w:t>Record</w:t>
      </w:r>
      <w:r w:rsidR="00113AA5">
        <w:rPr>
          <w:rFonts w:ascii="Times New Roman" w:hAnsi="Times New Roman" w:cs="Times New Roman"/>
          <w:sz w:val="24"/>
          <w:szCs w:val="24"/>
        </w:rPr>
        <w:t xml:space="preserve"> Note filed a special plea of prescription but did not plead over to the merits. The special plea was disputed through a replication raising a number of factual contentions. </w:t>
      </w:r>
      <w:r>
        <w:rPr>
          <w:rFonts w:ascii="Times New Roman" w:hAnsi="Times New Roman" w:cs="Times New Roman"/>
          <w:sz w:val="24"/>
          <w:szCs w:val="24"/>
        </w:rPr>
        <w:t>The sting of Record Note`s special plea of prescription was set out as follows in paragraph 3</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 -</w:t>
      </w:r>
    </w:p>
    <w:p w14:paraId="1A7358D3" w14:textId="0FA9EACE" w:rsidR="00753948" w:rsidRPr="0099148B" w:rsidRDefault="00753948" w:rsidP="00753948">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“In the Founding Affidavit filed in HCH2740/23, the Plaintiff states that in May 2022 it raised a complaint with the offices of the 2nd and 3rd Defendants, seeking to have its mining rights prioritized over the 1st Defendant's mining rights. For the Plaintiff to raise such a complaint, it must have been aware at that time that it had certain purported rights over the mining claims in question. The Plaintiff could have instituted the present proceedings at that date but failed to do so.”</w:t>
      </w:r>
    </w:p>
    <w:p w14:paraId="2092A1EB" w14:textId="77777777" w:rsidR="00EE08D7" w:rsidRDefault="00EE08D7" w:rsidP="00753948">
      <w:pPr>
        <w:autoSpaceDE w:val="0"/>
        <w:autoSpaceDN w:val="0"/>
        <w:adjustRightInd w:val="0"/>
        <w:spacing w:after="0" w:line="360" w:lineRule="auto"/>
        <w:jc w:val="both"/>
        <w:rPr>
          <w:rFonts w:ascii="TimesNewRomanPSMT" w:hAnsi="TimesNewRomanPSMT" w:cs="TimesNewRomanPSMT"/>
          <w:sz w:val="24"/>
          <w:szCs w:val="24"/>
        </w:rPr>
      </w:pPr>
    </w:p>
    <w:p w14:paraId="79C12EC8" w14:textId="7D0A2B64" w:rsidR="00BA0CDB" w:rsidRDefault="00753948" w:rsidP="0075394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[8] </w:t>
      </w:r>
      <w:r w:rsidR="00EE08D7">
        <w:rPr>
          <w:rFonts w:ascii="TimesNewRomanPSMT" w:hAnsi="TimesNewRomanPSMT" w:cs="TimesNewRomanPSMT"/>
          <w:sz w:val="24"/>
          <w:szCs w:val="24"/>
        </w:rPr>
        <w:t xml:space="preserve">These averments are </w:t>
      </w:r>
      <w:r w:rsidR="00A75F8C">
        <w:rPr>
          <w:rFonts w:ascii="TimesNewRomanPSMT" w:hAnsi="TimesNewRomanPSMT" w:cs="TimesNewRomanPSMT"/>
          <w:sz w:val="24"/>
          <w:szCs w:val="24"/>
        </w:rPr>
        <w:t>significant</w:t>
      </w:r>
      <w:r w:rsidR="00EE08D7">
        <w:rPr>
          <w:rFonts w:ascii="TimesNewRomanPSMT" w:hAnsi="TimesNewRomanPSMT" w:cs="TimesNewRomanPSMT"/>
          <w:sz w:val="24"/>
          <w:szCs w:val="24"/>
        </w:rPr>
        <w:t xml:space="preserve">. Essentially, Record Note </w:t>
      </w:r>
      <w:r w:rsidR="0099148B">
        <w:rPr>
          <w:rFonts w:ascii="TimesNewRomanPSMT" w:hAnsi="TimesNewRomanPSMT" w:cs="TimesNewRomanPSMT"/>
          <w:sz w:val="24"/>
          <w:szCs w:val="24"/>
        </w:rPr>
        <w:t>marked, not</w:t>
      </w:r>
      <w:r w:rsidR="00EE08D7">
        <w:rPr>
          <w:rFonts w:ascii="TimesNewRomanPSMT" w:hAnsi="TimesNewRomanPSMT" w:cs="TimesNewRomanPSMT"/>
          <w:sz w:val="24"/>
          <w:szCs w:val="24"/>
        </w:rPr>
        <w:t xml:space="preserve"> just the point when prescription </w:t>
      </w:r>
      <w:r w:rsidR="0099148B">
        <w:rPr>
          <w:rFonts w:ascii="TimesNewRomanPSMT" w:hAnsi="TimesNewRomanPSMT" w:cs="TimesNewRomanPSMT"/>
          <w:sz w:val="24"/>
          <w:szCs w:val="24"/>
        </w:rPr>
        <w:t xml:space="preserve">allegedly </w:t>
      </w:r>
      <w:r w:rsidR="00EE08D7">
        <w:rPr>
          <w:rFonts w:ascii="TimesNewRomanPSMT" w:hAnsi="TimesNewRomanPSMT" w:cs="TimesNewRomanPSMT"/>
          <w:sz w:val="24"/>
          <w:szCs w:val="24"/>
        </w:rPr>
        <w:t xml:space="preserve">commenced running, but the </w:t>
      </w:r>
      <w:r w:rsidR="0099148B">
        <w:rPr>
          <w:rFonts w:ascii="TimesNewRomanPSMT" w:hAnsi="TimesNewRomanPSMT" w:cs="TimesNewRomanPSMT"/>
          <w:sz w:val="24"/>
          <w:szCs w:val="24"/>
        </w:rPr>
        <w:t>circumstances</w:t>
      </w:r>
      <w:r w:rsidR="00EE08D7">
        <w:rPr>
          <w:rFonts w:ascii="TimesNewRomanPSMT" w:hAnsi="TimesNewRomanPSMT" w:cs="TimesNewRomanPSMT"/>
          <w:sz w:val="24"/>
          <w:szCs w:val="24"/>
        </w:rPr>
        <w:t xml:space="preserve"> constituting the cause of action. </w:t>
      </w:r>
      <w:r w:rsidR="00BA0CDB">
        <w:rPr>
          <w:rFonts w:ascii="TimesNewRomanPSMT" w:hAnsi="TimesNewRomanPSMT" w:cs="TimesNewRomanPSMT"/>
          <w:sz w:val="24"/>
          <w:szCs w:val="24"/>
        </w:rPr>
        <w:t>This position was reiterated in the heads of argument filed on behalf of Record Note. Paragraph 11 thereof listed 9 items on the factual conspectus constituting the causa. So too did subsequent paragraphs 12, 13 and 14 of the same heads of argument.</w:t>
      </w:r>
    </w:p>
    <w:p w14:paraId="63CFC495" w14:textId="77777777" w:rsidR="00BA0CDB" w:rsidRDefault="00BA0CDB" w:rsidP="00753948">
      <w:pPr>
        <w:autoSpaceDE w:val="0"/>
        <w:autoSpaceDN w:val="0"/>
        <w:adjustRightInd w:val="0"/>
        <w:spacing w:after="0" w:line="360" w:lineRule="auto"/>
        <w:jc w:val="both"/>
        <w:rPr>
          <w:rFonts w:ascii="TimesNewRomanPSMT" w:hAnsi="TimesNewRomanPSMT" w:cs="TimesNewRomanPSMT"/>
          <w:sz w:val="24"/>
          <w:szCs w:val="24"/>
        </w:rPr>
      </w:pPr>
    </w:p>
    <w:p w14:paraId="44F8B164" w14:textId="6B7E02A5" w:rsidR="00BA0CDB" w:rsidRDefault="00BA0CDB" w:rsidP="001E3523">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[9] In the same vein, </w:t>
      </w:r>
      <w:r w:rsidR="001E3523">
        <w:rPr>
          <w:rFonts w:ascii="TimesNewRomanPSMT" w:hAnsi="TimesNewRomanPSMT" w:cs="TimesNewRomanPSMT"/>
          <w:sz w:val="24"/>
          <w:szCs w:val="24"/>
        </w:rPr>
        <w:t xml:space="preserve">the heads of argument dwelt and what constitutes cause of action. Reference was made to </w:t>
      </w:r>
      <w:r w:rsidR="001E3523" w:rsidRPr="001E3523">
        <w:rPr>
          <w:rFonts w:ascii="TimesNewRomanPS-BoldMT" w:hAnsi="TimesNewRomanPS-BoldMT" w:cs="TimesNewRomanPS-BoldMT"/>
          <w:i/>
          <w:iCs/>
          <w:sz w:val="24"/>
          <w:szCs w:val="24"/>
        </w:rPr>
        <w:t>Cathrine Chiwawa v Apostolis Mutzuris &amp; Ors</w:t>
      </w:r>
      <w:r w:rsidR="001E3523" w:rsidRPr="001E3523">
        <w:rPr>
          <w:rFonts w:ascii="TimesNewRomanPS-BoldMT" w:hAnsi="TimesNewRomanPS-BoldMT" w:cs="TimesNewRomanPS-BoldMT"/>
          <w:sz w:val="24"/>
          <w:szCs w:val="24"/>
        </w:rPr>
        <w:t xml:space="preserve"> HH 7</w:t>
      </w:r>
      <w:r w:rsidR="001E3523">
        <w:rPr>
          <w:rFonts w:ascii="TimesNewRomanPS-BoldMT" w:hAnsi="TimesNewRomanPS-BoldMT" w:cs="TimesNewRomanPS-BoldMT"/>
          <w:sz w:val="24"/>
          <w:szCs w:val="24"/>
        </w:rPr>
        <w:t>-</w:t>
      </w:r>
      <w:r w:rsidR="001E3523" w:rsidRPr="001E3523">
        <w:rPr>
          <w:rFonts w:ascii="TimesNewRomanPS-BoldMT" w:hAnsi="TimesNewRomanPS-BoldMT" w:cs="TimesNewRomanPS-BoldMT"/>
          <w:sz w:val="24"/>
          <w:szCs w:val="24"/>
        </w:rPr>
        <w:t>09</w:t>
      </w:r>
      <w:r w:rsidR="001E3523">
        <w:rPr>
          <w:rFonts w:ascii="TimesNewRomanPS-BoldMT" w:hAnsi="TimesNewRomanPS-BoldMT" w:cs="TimesNewRomanPS-BoldMT"/>
          <w:sz w:val="24"/>
          <w:szCs w:val="24"/>
        </w:rPr>
        <w:t xml:space="preserve"> and </w:t>
      </w:r>
      <w:r>
        <w:rPr>
          <w:rFonts w:ascii="TimesNewRomanPSMT" w:hAnsi="TimesNewRomanPSMT" w:cs="TimesNewRomanPSMT"/>
          <w:sz w:val="24"/>
          <w:szCs w:val="24"/>
        </w:rPr>
        <w:t xml:space="preserve">the following passage from the seminal decision of </w:t>
      </w:r>
      <w:r w:rsidRPr="001E3523">
        <w:rPr>
          <w:rFonts w:ascii="TimesNewRomanPS-BoldMT" w:hAnsi="TimesNewRomanPS-BoldMT" w:cs="TimesNewRomanPS-BoldMT"/>
          <w:i/>
          <w:iCs/>
          <w:sz w:val="24"/>
          <w:szCs w:val="24"/>
        </w:rPr>
        <w:t>Nan Brooker v Mudhanda &amp; Anor</w:t>
      </w:r>
      <w:r w:rsidRPr="001E3523">
        <w:rPr>
          <w:rFonts w:ascii="TimesNewRomanPS-BoldMT" w:hAnsi="TimesNewRomanPS-BoldMT" w:cs="TimesNewRomanPS-BoldMT"/>
          <w:sz w:val="24"/>
          <w:szCs w:val="24"/>
        </w:rPr>
        <w:t xml:space="preserve"> 2018 (1) ZLR 33 (S)</w:t>
      </w:r>
      <w:r>
        <w:rPr>
          <w:rFonts w:ascii="TimesNewRomanPS-BoldMT" w:hAnsi="TimesNewRomanPS-BoldMT" w:cs="TimesNewRomanPS-BoldMT"/>
          <w:b/>
          <w:bCs/>
          <w:sz w:val="24"/>
          <w:szCs w:val="24"/>
        </w:rPr>
        <w:t xml:space="preserve"> </w:t>
      </w:r>
      <w:r>
        <w:rPr>
          <w:rFonts w:ascii="TimesNewRomanPSMT" w:hAnsi="TimesNewRomanPSMT" w:cs="TimesNewRomanPSMT"/>
          <w:sz w:val="24"/>
          <w:szCs w:val="24"/>
        </w:rPr>
        <w:t>at 35G-36A wherein the court remarked that:</w:t>
      </w:r>
    </w:p>
    <w:p w14:paraId="247A57A3" w14:textId="77777777" w:rsidR="00BA0CDB" w:rsidRDefault="00BA0CDB" w:rsidP="00BA0CDB">
      <w:pPr>
        <w:autoSpaceDE w:val="0"/>
        <w:autoSpaceDN w:val="0"/>
        <w:adjustRightInd w:val="0"/>
        <w:spacing w:after="0" w:line="240" w:lineRule="auto"/>
        <w:rPr>
          <w:rFonts w:ascii="TimesNewRomanPSMT" w:hAnsi="TimesNewRomanPSMT" w:cs="TimesNewRomanPSMT"/>
          <w:sz w:val="24"/>
          <w:szCs w:val="24"/>
        </w:rPr>
      </w:pPr>
    </w:p>
    <w:p w14:paraId="6705EE8A" w14:textId="3A5544FF" w:rsidR="00BA0CDB" w:rsidRPr="001E3523" w:rsidRDefault="00BA0CDB" w:rsidP="001E3523">
      <w:pPr>
        <w:autoSpaceDE w:val="0"/>
        <w:autoSpaceDN w:val="0"/>
        <w:adjustRightInd w:val="0"/>
        <w:spacing w:after="0" w:line="360" w:lineRule="auto"/>
        <w:ind w:left="851"/>
        <w:jc w:val="both"/>
        <w:rPr>
          <w:rFonts w:ascii="TimesNewRomanPS-ItalicMT" w:hAnsi="TimesNewRomanPS-ItalicMT" w:cs="TimesNewRomanPS-ItalicMT"/>
        </w:rPr>
      </w:pPr>
      <w:r w:rsidRPr="001E3523">
        <w:rPr>
          <w:rFonts w:ascii="TimesNewRomanPS-ItalicMT" w:hAnsi="TimesNewRomanPS-ItalicMT" w:cs="TimesNewRomanPS-ItalicMT"/>
        </w:rPr>
        <w:t xml:space="preserve">“In order to determine the question of prescription the court first had to make a finding on the cause of action upon which the respondent’s claim was premised and when specifically, the cause of action arose. What constitutes a cause of action was described in </w:t>
      </w:r>
      <w:r w:rsidRPr="006A21A9">
        <w:rPr>
          <w:rFonts w:ascii="TimesNewRomanPS-ItalicMT" w:hAnsi="TimesNewRomanPS-ItalicMT" w:cs="TimesNewRomanPS-ItalicMT"/>
          <w:i/>
          <w:iCs/>
        </w:rPr>
        <w:t>Abrahams &amp; Sons v SA Railway &amp; Harbours</w:t>
      </w:r>
      <w:r w:rsidRPr="001E3523">
        <w:rPr>
          <w:rFonts w:ascii="TimesNewRomanPS-ItalicMT" w:hAnsi="TimesNewRomanPS-ItalicMT" w:cs="TimesNewRomanPS-ItalicMT"/>
        </w:rPr>
        <w:t xml:space="preserve"> 1933 CPD 626 at 637 where WATERMAYER J stated:</w:t>
      </w:r>
    </w:p>
    <w:p w14:paraId="2058DD05" w14:textId="1F30AA4C" w:rsidR="00BA0CDB" w:rsidRDefault="00BA0CDB" w:rsidP="00163AE5">
      <w:pPr>
        <w:autoSpaceDE w:val="0"/>
        <w:autoSpaceDN w:val="0"/>
        <w:adjustRightInd w:val="0"/>
        <w:spacing w:after="0" w:line="360" w:lineRule="auto"/>
        <w:ind w:left="851"/>
        <w:jc w:val="both"/>
        <w:rPr>
          <w:rFonts w:ascii="TimesNewRomanPSMT" w:hAnsi="TimesNewRomanPSMT" w:cs="TimesNewRomanPSMT"/>
          <w:sz w:val="24"/>
          <w:szCs w:val="24"/>
        </w:rPr>
      </w:pPr>
      <w:r w:rsidRPr="001E3523">
        <w:rPr>
          <w:rFonts w:ascii="TimesNewRomanPS-ItalicMT" w:hAnsi="TimesNewRomanPS-ItalicMT" w:cs="TimesNewRomanPS-ItalicMT"/>
        </w:rPr>
        <w:t>‘The proper meaning of the expression ‘cause of action’ is the entire set of facts which give rise to an enforceable claim and includes every act which is material to be proved to entitle a plaintiff to succeed in his claim. It includes all that a plaintiff must set out in his declaration in order to disclose a cause of action.’</w:t>
      </w:r>
      <w:r w:rsidRPr="001E3523">
        <w:rPr>
          <w:rFonts w:ascii="TimesNewRomanPS-ItalicMT" w:hAnsi="TimesNewRomanPS-ItalicMT" w:cs="TimesNewRomanPS-ItalicMT"/>
          <w:i/>
          <w:iCs/>
          <w:sz w:val="24"/>
          <w:szCs w:val="24"/>
        </w:rPr>
        <w:t>”</w:t>
      </w:r>
    </w:p>
    <w:p w14:paraId="54DE19AE" w14:textId="77777777" w:rsidR="00BA0CDB" w:rsidRDefault="00BA0CDB" w:rsidP="00753948">
      <w:pPr>
        <w:autoSpaceDE w:val="0"/>
        <w:autoSpaceDN w:val="0"/>
        <w:adjustRightInd w:val="0"/>
        <w:spacing w:after="0" w:line="360" w:lineRule="auto"/>
        <w:jc w:val="both"/>
        <w:rPr>
          <w:rFonts w:ascii="TimesNewRomanPSMT" w:hAnsi="TimesNewRomanPSMT" w:cs="TimesNewRomanPSMT"/>
          <w:sz w:val="24"/>
          <w:szCs w:val="24"/>
        </w:rPr>
      </w:pPr>
    </w:p>
    <w:p w14:paraId="242E0435" w14:textId="0B38A077" w:rsidR="00EE08D7" w:rsidRDefault="001E3523" w:rsidP="0075394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[11] </w:t>
      </w:r>
      <w:r w:rsidR="00753948">
        <w:rPr>
          <w:rFonts w:ascii="TimesNewRomanPSMT" w:hAnsi="TimesNewRomanPSMT" w:cs="TimesNewRomanPSMT"/>
          <w:sz w:val="24"/>
          <w:szCs w:val="24"/>
        </w:rPr>
        <w:t>Gauthleza’ s re</w:t>
      </w:r>
      <w:r w:rsidR="00EE08D7">
        <w:rPr>
          <w:rFonts w:ascii="TimesNewRomanPSMT" w:hAnsi="TimesNewRomanPSMT" w:cs="TimesNewRomanPSMT"/>
          <w:sz w:val="24"/>
          <w:szCs w:val="24"/>
        </w:rPr>
        <w:t>plicated thus to the</w:t>
      </w:r>
      <w:r>
        <w:rPr>
          <w:rFonts w:ascii="TimesNewRomanPSMT" w:hAnsi="TimesNewRomanPSMT" w:cs="TimesNewRomanPSMT"/>
          <w:sz w:val="24"/>
          <w:szCs w:val="24"/>
        </w:rPr>
        <w:t xml:space="preserve"> averments in paragraph 3 of the special </w:t>
      </w:r>
      <w:r w:rsidR="00B7528D">
        <w:rPr>
          <w:rFonts w:ascii="TimesNewRomanPSMT" w:hAnsi="TimesNewRomanPSMT" w:cs="TimesNewRomanPSMT"/>
          <w:sz w:val="24"/>
          <w:szCs w:val="24"/>
        </w:rPr>
        <w:t>plea; -</w:t>
      </w:r>
    </w:p>
    <w:p w14:paraId="474F320F" w14:textId="77777777" w:rsidR="0099148B" w:rsidRDefault="0099148B" w:rsidP="00753948">
      <w:pPr>
        <w:autoSpaceDE w:val="0"/>
        <w:autoSpaceDN w:val="0"/>
        <w:adjustRightInd w:val="0"/>
        <w:spacing w:after="0" w:line="360" w:lineRule="auto"/>
        <w:jc w:val="both"/>
        <w:rPr>
          <w:rFonts w:ascii="TimesNewRomanPSMT" w:hAnsi="TimesNewRomanPSMT" w:cs="TimesNewRomanPSMT"/>
          <w:sz w:val="24"/>
          <w:szCs w:val="24"/>
        </w:rPr>
      </w:pPr>
    </w:p>
    <w:p w14:paraId="17B3E7C9" w14:textId="2929BCF0" w:rsidR="00EE08D7" w:rsidRPr="0099148B" w:rsidRDefault="0099148B" w:rsidP="0099148B">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 xml:space="preserve">“8. </w:t>
      </w:r>
      <w:r w:rsidR="00EE08D7" w:rsidRPr="0099148B">
        <w:rPr>
          <w:rFonts w:ascii="TimesNewRomanPSMT" w:hAnsi="TimesNewRomanPSMT" w:cs="TimesNewRomanPSMT"/>
        </w:rPr>
        <w:t>This paragraph is misleading.</w:t>
      </w:r>
    </w:p>
    <w:p w14:paraId="3CBCE367" w14:textId="067FF4EB" w:rsidR="00EE08D7" w:rsidRPr="0099148B" w:rsidRDefault="0099148B" w:rsidP="0099148B">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9.</w:t>
      </w:r>
      <w:r w:rsidR="00EE08D7" w:rsidRPr="0099148B">
        <w:rPr>
          <w:rFonts w:ascii="TimesNewRomanPSMT" w:hAnsi="TimesNewRomanPSMT" w:cs="TimesNewRomanPSMT"/>
        </w:rPr>
        <w:t>The Plaintiff did not seek the resolution of this dispute already in 2022 (sic) in accordance with the Mines and Minerals Act. It was the first defendant that objected to the resolution of the dispute by the Provincial Mining Director.</w:t>
      </w:r>
    </w:p>
    <w:p w14:paraId="7AED99B0" w14:textId="0745B72A" w:rsidR="00EE08D7" w:rsidRPr="0099148B" w:rsidRDefault="0099148B" w:rsidP="0099148B">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10.</w:t>
      </w:r>
      <w:r w:rsidR="00EE08D7" w:rsidRPr="0099148B">
        <w:rPr>
          <w:rFonts w:ascii="TimesNewRomanPSMT" w:hAnsi="TimesNewRomanPSMT" w:cs="TimesNewRomanPSMT"/>
        </w:rPr>
        <w:t xml:space="preserve">The Plaintiff then sought resolution of the dispute in the High Court.It was the First Defendant that objected to the resolution of the dispute by the High Court by raising a number of </w:t>
      </w:r>
      <w:r w:rsidRPr="0099148B">
        <w:rPr>
          <w:rFonts w:ascii="TimesNewRomanPSMT" w:hAnsi="TimesNewRomanPSMT" w:cs="TimesNewRomanPSMT"/>
          <w:i/>
          <w:iCs/>
        </w:rPr>
        <w:t>in limine</w:t>
      </w:r>
      <w:r w:rsidRPr="0099148B">
        <w:rPr>
          <w:rFonts w:ascii="TimesNewRomanPSMT" w:hAnsi="TimesNewRomanPSMT" w:cs="TimesNewRomanPSMT"/>
        </w:rPr>
        <w:t xml:space="preserve"> points.</w:t>
      </w:r>
    </w:p>
    <w:p w14:paraId="3CD87ABA" w14:textId="74F3E0B3" w:rsidR="0099148B" w:rsidRPr="0099148B" w:rsidRDefault="0099148B" w:rsidP="0099148B">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 xml:space="preserve">11.The First Defendant lost on all </w:t>
      </w:r>
      <w:r w:rsidRPr="001E3523">
        <w:rPr>
          <w:rFonts w:ascii="TimesNewRomanPSMT" w:hAnsi="TimesNewRomanPSMT" w:cs="TimesNewRomanPSMT"/>
          <w:i/>
          <w:iCs/>
        </w:rPr>
        <w:t>in limine</w:t>
      </w:r>
      <w:r w:rsidRPr="0099148B">
        <w:rPr>
          <w:rFonts w:ascii="TimesNewRomanPSMT" w:hAnsi="TimesNewRomanPSMT" w:cs="TimesNewRomanPSMT"/>
        </w:rPr>
        <w:t xml:space="preserve"> points set out in its Notice of Opposition, but succeeded on an </w:t>
      </w:r>
      <w:r w:rsidR="001E3523" w:rsidRPr="0099148B">
        <w:rPr>
          <w:rFonts w:ascii="TimesNewRomanPSMT" w:hAnsi="TimesNewRomanPSMT" w:cs="TimesNewRomanPSMT"/>
          <w:i/>
          <w:iCs/>
        </w:rPr>
        <w:t>in-limine</w:t>
      </w:r>
      <w:r w:rsidRPr="0099148B">
        <w:rPr>
          <w:rFonts w:ascii="TimesNewRomanPSMT" w:hAnsi="TimesNewRomanPSMT" w:cs="TimesNewRomanPSMT"/>
        </w:rPr>
        <w:t xml:space="preserve"> point that was taken, for the first time, at the hearing of the matter.</w:t>
      </w:r>
    </w:p>
    <w:p w14:paraId="3E6CAEA6" w14:textId="24309AA0" w:rsidR="00325FD8" w:rsidRDefault="0099148B" w:rsidP="001E3523">
      <w:pPr>
        <w:autoSpaceDE w:val="0"/>
        <w:autoSpaceDN w:val="0"/>
        <w:adjustRightInd w:val="0"/>
        <w:spacing w:after="0" w:line="360" w:lineRule="auto"/>
        <w:ind w:left="851"/>
        <w:jc w:val="both"/>
        <w:rPr>
          <w:rFonts w:ascii="TimesNewRomanPSMT" w:hAnsi="TimesNewRomanPSMT" w:cs="TimesNewRomanPSMT"/>
        </w:rPr>
      </w:pPr>
      <w:r w:rsidRPr="0099148B">
        <w:rPr>
          <w:rFonts w:ascii="TimesNewRomanPSMT" w:hAnsi="TimesNewRomanPSMT" w:cs="TimesNewRomanPSMT"/>
        </w:rPr>
        <w:t>The First Defendant now wishes to raise a point on prescription, once again, to prevent the final resolution of the dispute.”</w:t>
      </w:r>
    </w:p>
    <w:p w14:paraId="1CB494F6" w14:textId="77777777" w:rsidR="001E3523" w:rsidRPr="004D3320" w:rsidRDefault="001E3523" w:rsidP="001E3523">
      <w:pPr>
        <w:autoSpaceDE w:val="0"/>
        <w:autoSpaceDN w:val="0"/>
        <w:adjustRightInd w:val="0"/>
        <w:spacing w:after="0" w:line="360" w:lineRule="auto"/>
        <w:ind w:left="851"/>
        <w:jc w:val="both"/>
        <w:rPr>
          <w:rFonts w:ascii="Times New Roman" w:hAnsi="Times New Roman" w:cs="Times New Roman"/>
          <w:sz w:val="24"/>
          <w:szCs w:val="24"/>
        </w:rPr>
      </w:pPr>
    </w:p>
    <w:p w14:paraId="2447AACB" w14:textId="3BA8E2F4" w:rsidR="0007358F" w:rsidRPr="00FD35E6" w:rsidRDefault="004D3320" w:rsidP="004D3320">
      <w:pPr>
        <w:spacing w:line="360" w:lineRule="auto"/>
        <w:jc w:val="both"/>
        <w:rPr>
          <w:rFonts w:ascii="Times New Roman" w:hAnsi="Times New Roman" w:cs="Times New Roman"/>
        </w:rPr>
      </w:pPr>
      <w:r w:rsidRPr="00FD35E6">
        <w:rPr>
          <w:rFonts w:ascii="Times New Roman" w:hAnsi="Times New Roman" w:cs="Times New Roman"/>
        </w:rPr>
        <w:t xml:space="preserve">THE </w:t>
      </w:r>
      <w:r w:rsidR="00FD35E6">
        <w:rPr>
          <w:rFonts w:ascii="Times New Roman" w:hAnsi="Times New Roman" w:cs="Times New Roman"/>
        </w:rPr>
        <w:t>EVIDENTIARY POSITION.</w:t>
      </w:r>
      <w:r w:rsidRPr="00FD35E6">
        <w:rPr>
          <w:rFonts w:ascii="Times New Roman" w:hAnsi="Times New Roman" w:cs="Times New Roman"/>
        </w:rPr>
        <w:t xml:space="preserve"> </w:t>
      </w:r>
    </w:p>
    <w:p w14:paraId="20BA78D9" w14:textId="0A2F9098" w:rsidR="0007358F" w:rsidRDefault="00B7528D"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At commencement of the oral submissions by counsel, I inquired how the parties intended to address the evidentiary requirements </w:t>
      </w:r>
      <w:r w:rsidR="004E0C75">
        <w:rPr>
          <w:rFonts w:ascii="Times New Roman" w:hAnsi="Times New Roman" w:cs="Times New Roman"/>
          <w:sz w:val="24"/>
          <w:szCs w:val="24"/>
        </w:rPr>
        <w:t>attendant upon</w:t>
      </w:r>
      <w:r>
        <w:rPr>
          <w:rFonts w:ascii="Times New Roman" w:hAnsi="Times New Roman" w:cs="Times New Roman"/>
          <w:sz w:val="24"/>
          <w:szCs w:val="24"/>
        </w:rPr>
        <w:t xml:space="preserve"> a special plea. What had been placed before me was the special plea, a commentary on it in the form of a replication, and then the heads of arguments. My query received firm assurances from both counsel that the factual issues were common cause. They were not.</w:t>
      </w:r>
    </w:p>
    <w:p w14:paraId="5486CBD3" w14:textId="1DEFF340" w:rsidR="00B7528D" w:rsidRDefault="00B7528D"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In fact, I repeated this query mid-point into the oral arguments. At one point, I permitted both counsel to consult-in between submissions, on the same point. Learned counsel reverted with the same consensus. There was no need to lead evidence. The subsequent arguments, including the proposition by Mr </w:t>
      </w:r>
      <w:r w:rsidRPr="003E397F">
        <w:rPr>
          <w:rFonts w:ascii="Times New Roman" w:hAnsi="Times New Roman" w:cs="Times New Roman"/>
          <w:i/>
          <w:iCs/>
          <w:sz w:val="24"/>
          <w:szCs w:val="24"/>
        </w:rPr>
        <w:t>Tivadar</w:t>
      </w:r>
      <w:r>
        <w:rPr>
          <w:rFonts w:ascii="Times New Roman" w:hAnsi="Times New Roman" w:cs="Times New Roman"/>
          <w:sz w:val="24"/>
          <w:szCs w:val="24"/>
        </w:rPr>
        <w:t xml:space="preserve"> </w:t>
      </w:r>
      <w:r w:rsidR="003E397F">
        <w:rPr>
          <w:rFonts w:ascii="Times New Roman" w:hAnsi="Times New Roman" w:cs="Times New Roman"/>
          <w:sz w:val="24"/>
          <w:szCs w:val="24"/>
        </w:rPr>
        <w:t xml:space="preserve">(for plaintiff) </w:t>
      </w:r>
      <w:r>
        <w:rPr>
          <w:rFonts w:ascii="Times New Roman" w:hAnsi="Times New Roman" w:cs="Times New Roman"/>
          <w:sz w:val="24"/>
          <w:szCs w:val="24"/>
        </w:rPr>
        <w:t>on public and private declaratur (leading to the opening quote to this ruling) betrayed counsel`s judgment on the issue of evidence.</w:t>
      </w:r>
    </w:p>
    <w:p w14:paraId="40505C4A" w14:textId="69397687" w:rsidR="00B7528D" w:rsidRDefault="00B7528D"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Liberal reference was made </w:t>
      </w:r>
      <w:r w:rsidR="003E397F">
        <w:rPr>
          <w:rFonts w:ascii="Times New Roman" w:hAnsi="Times New Roman" w:cs="Times New Roman"/>
          <w:sz w:val="24"/>
          <w:szCs w:val="24"/>
        </w:rPr>
        <w:t xml:space="preserve">by counsel </w:t>
      </w:r>
      <w:r>
        <w:rPr>
          <w:rFonts w:ascii="Times New Roman" w:hAnsi="Times New Roman" w:cs="Times New Roman"/>
          <w:sz w:val="24"/>
          <w:szCs w:val="24"/>
        </w:rPr>
        <w:t xml:space="preserve">to papers in each party`s respective bundles in support of </w:t>
      </w:r>
      <w:r w:rsidR="00F41C77">
        <w:rPr>
          <w:rFonts w:ascii="Times New Roman" w:hAnsi="Times New Roman" w:cs="Times New Roman"/>
          <w:sz w:val="24"/>
          <w:szCs w:val="24"/>
        </w:rPr>
        <w:t xml:space="preserve">their </w:t>
      </w:r>
      <w:r>
        <w:rPr>
          <w:rFonts w:ascii="Times New Roman" w:hAnsi="Times New Roman" w:cs="Times New Roman"/>
          <w:sz w:val="24"/>
          <w:szCs w:val="24"/>
        </w:rPr>
        <w:t xml:space="preserve">argument. Yet the position was that the bundles were not yet evidence before the court. See </w:t>
      </w:r>
      <w:r w:rsidR="003E397F" w:rsidRPr="003E397F">
        <w:rPr>
          <w:rFonts w:ascii="Times New Roman" w:hAnsi="Times New Roman" w:cs="Times New Roman"/>
          <w:i/>
          <w:iCs/>
          <w:sz w:val="24"/>
          <w:szCs w:val="24"/>
        </w:rPr>
        <w:t>Inebriant Cache &amp; Anor v French Smith t/a Customs Services</w:t>
      </w:r>
      <w:r w:rsidR="003E397F">
        <w:rPr>
          <w:rFonts w:ascii="Times New Roman" w:hAnsi="Times New Roman" w:cs="Times New Roman"/>
          <w:sz w:val="24"/>
          <w:szCs w:val="24"/>
        </w:rPr>
        <w:t xml:space="preserve"> SC 89-24 where </w:t>
      </w:r>
      <w:r w:rsidR="003E397F" w:rsidRPr="003E397F">
        <w:rPr>
          <w:rFonts w:ascii="Times New Roman" w:hAnsi="Times New Roman" w:cs="Times New Roman"/>
        </w:rPr>
        <w:t>MAVANGIRA JA</w:t>
      </w:r>
      <w:r w:rsidR="003E397F">
        <w:rPr>
          <w:rFonts w:ascii="Times New Roman" w:hAnsi="Times New Roman" w:cs="Times New Roman"/>
          <w:sz w:val="24"/>
          <w:szCs w:val="24"/>
        </w:rPr>
        <w:t xml:space="preserve"> held as follows at 21; -</w:t>
      </w:r>
    </w:p>
    <w:p w14:paraId="35E34194" w14:textId="79C9FFBF" w:rsidR="003E397F" w:rsidRPr="003E397F" w:rsidRDefault="003E397F" w:rsidP="003E397F">
      <w:pPr>
        <w:spacing w:line="360" w:lineRule="auto"/>
        <w:ind w:left="851"/>
        <w:jc w:val="both"/>
        <w:rPr>
          <w:rFonts w:ascii="Times New Roman" w:eastAsia="Calibri" w:hAnsi="Times New Roman" w:cs="Times New Roman"/>
        </w:rPr>
      </w:pPr>
      <w:r w:rsidRPr="003E397F">
        <w:rPr>
          <w:rFonts w:ascii="Times New Roman" w:hAnsi="Times New Roman" w:cs="Times New Roman"/>
        </w:rPr>
        <w:lastRenderedPageBreak/>
        <w:t>“21.A</w:t>
      </w:r>
      <w:r w:rsidRPr="003E397F">
        <w:rPr>
          <w:rFonts w:ascii="Times New Roman" w:eastAsia="Calibri" w:hAnsi="Times New Roman" w:cs="Times New Roman"/>
        </w:rPr>
        <w:t xml:space="preserve"> perusal of the judgment of the court </w:t>
      </w:r>
      <w:r w:rsidRPr="003E397F">
        <w:rPr>
          <w:rFonts w:ascii="Times New Roman" w:eastAsia="Calibri" w:hAnsi="Times New Roman" w:cs="Times New Roman"/>
          <w:i/>
          <w:iCs/>
        </w:rPr>
        <w:t>a quo</w:t>
      </w:r>
      <w:r w:rsidRPr="003E397F">
        <w:rPr>
          <w:rFonts w:ascii="Times New Roman" w:eastAsia="Calibri" w:hAnsi="Times New Roman" w:cs="Times New Roman"/>
        </w:rPr>
        <w:t xml:space="preserve"> also reveals that the determination of the merits was purportedly justified by the learned judge on what can only be said to be allegations or averments by the respective parties as at the case management meeting stage. No evidence was led or adduced. The learned judge appears to have elevated the submissions and engagements with counsel as well as the documents, to the same level as evidence that had been properly adduced and placed before the court. “</w:t>
      </w:r>
    </w:p>
    <w:p w14:paraId="76CA47D9" w14:textId="77777777" w:rsidR="000E1E58" w:rsidRDefault="00FD35E6"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[15] The special plea was improperly motivated in the absence of evidence to support and contest it. See Nan Brooker v Mudhanda (supra). Plenteous were the matters in contention. Including the adjectival jousts that occurred in case number HC 2740/23. </w:t>
      </w:r>
    </w:p>
    <w:p w14:paraId="46B3DB61" w14:textId="5DCAD508" w:rsidR="000E1E58" w:rsidRDefault="000E1E58"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00FD35E6">
        <w:rPr>
          <w:rFonts w:ascii="Times New Roman" w:hAnsi="Times New Roman" w:cs="Times New Roman"/>
          <w:sz w:val="24"/>
          <w:szCs w:val="24"/>
        </w:rPr>
        <w:t xml:space="preserve">Not even the </w:t>
      </w:r>
      <w:r w:rsidR="003B0F4B">
        <w:rPr>
          <w:rFonts w:ascii="Times New Roman" w:hAnsi="Times New Roman" w:cs="Times New Roman"/>
          <w:sz w:val="24"/>
          <w:szCs w:val="24"/>
        </w:rPr>
        <w:t>procedure recognised</w:t>
      </w:r>
      <w:r w:rsidR="00FD35E6">
        <w:rPr>
          <w:rFonts w:ascii="Times New Roman" w:hAnsi="Times New Roman" w:cs="Times New Roman"/>
          <w:sz w:val="24"/>
          <w:szCs w:val="24"/>
        </w:rPr>
        <w:t xml:space="preserve"> in </w:t>
      </w:r>
      <w:r w:rsidR="00FD35E6" w:rsidRPr="00FD35E6">
        <w:rPr>
          <w:rFonts w:ascii="Times New Roman" w:hAnsi="Times New Roman" w:cs="Times New Roman"/>
          <w:i/>
          <w:iCs/>
          <w:sz w:val="24"/>
          <w:szCs w:val="24"/>
        </w:rPr>
        <w:t>Mhungu v Mtindi</w:t>
      </w:r>
      <w:r w:rsidR="00FD35E6">
        <w:rPr>
          <w:rFonts w:ascii="Times New Roman" w:hAnsi="Times New Roman" w:cs="Times New Roman"/>
          <w:sz w:val="24"/>
          <w:szCs w:val="24"/>
        </w:rPr>
        <w:t xml:space="preserve"> </w:t>
      </w:r>
      <w:r w:rsidR="00FD35E6" w:rsidRPr="00FD35E6">
        <w:rPr>
          <w:rFonts w:ascii="Times New Roman" w:eastAsia="Calibri" w:hAnsi="Times New Roman" w:cs="Times New Roman"/>
          <w:sz w:val="24"/>
          <w:szCs w:val="24"/>
        </w:rPr>
        <w:t>1986 (2) ZLR 171</w:t>
      </w:r>
      <w:r w:rsidR="00FD35E6">
        <w:rPr>
          <w:rFonts w:ascii="Times New Roman" w:eastAsia="Calibri" w:hAnsi="Times New Roman" w:cs="Times New Roman"/>
          <w:sz w:val="24"/>
          <w:szCs w:val="24"/>
        </w:rPr>
        <w:t xml:space="preserve"> </w:t>
      </w:r>
      <w:r w:rsidR="00FD35E6">
        <w:rPr>
          <w:rFonts w:ascii="Times New Roman" w:hAnsi="Times New Roman" w:cs="Times New Roman"/>
          <w:sz w:val="24"/>
          <w:szCs w:val="24"/>
        </w:rPr>
        <w:t xml:space="preserve">can extend a reprieve to the parties for there are limitations to its </w:t>
      </w:r>
      <w:r>
        <w:rPr>
          <w:rFonts w:ascii="Times New Roman" w:hAnsi="Times New Roman" w:cs="Times New Roman"/>
          <w:sz w:val="24"/>
          <w:szCs w:val="24"/>
        </w:rPr>
        <w:t>application. See</w:t>
      </w:r>
      <w:r w:rsidR="00FD35E6">
        <w:rPr>
          <w:rFonts w:ascii="Times New Roman" w:hAnsi="Times New Roman" w:cs="Times New Roman"/>
          <w:sz w:val="24"/>
          <w:szCs w:val="24"/>
        </w:rPr>
        <w:t xml:space="preserve"> </w:t>
      </w:r>
      <w:r>
        <w:rPr>
          <w:rFonts w:ascii="Times New Roman" w:hAnsi="Times New Roman" w:cs="Times New Roman"/>
          <w:sz w:val="24"/>
          <w:szCs w:val="24"/>
        </w:rPr>
        <w:t>Doves Funeral Assurance (Pvt) Ltd v Harare Motorways (Pvt) Ltd &amp; 3 Ors SC 64-23;</w:t>
      </w:r>
      <w:r w:rsidRPr="000E1E58">
        <w:rPr>
          <w:rFonts w:ascii="Times New Roman" w:hAnsi="Times New Roman" w:cs="Times New Roman"/>
          <w:i/>
          <w:iCs/>
          <w:sz w:val="24"/>
          <w:szCs w:val="24"/>
        </w:rPr>
        <w:t xml:space="preserve"> Chimanikire</w:t>
      </w:r>
      <w:r w:rsidR="00FD35E6" w:rsidRPr="000E1E58">
        <w:rPr>
          <w:rFonts w:ascii="Times New Roman" w:hAnsi="Times New Roman" w:cs="Times New Roman"/>
          <w:i/>
          <w:iCs/>
          <w:sz w:val="24"/>
          <w:szCs w:val="24"/>
        </w:rPr>
        <w:t xml:space="preserve"> v Doves Funeral Assurance (Pvt) Ltd &amp; 2 Ors</w:t>
      </w:r>
      <w:r w:rsidR="00FD35E6">
        <w:rPr>
          <w:rFonts w:ascii="Times New Roman" w:hAnsi="Times New Roman" w:cs="Times New Roman"/>
          <w:sz w:val="24"/>
          <w:szCs w:val="24"/>
        </w:rPr>
        <w:t xml:space="preserve"> HH 699-</w:t>
      </w:r>
      <w:r>
        <w:rPr>
          <w:rFonts w:ascii="Times New Roman" w:hAnsi="Times New Roman" w:cs="Times New Roman"/>
          <w:sz w:val="24"/>
          <w:szCs w:val="24"/>
        </w:rPr>
        <w:t xml:space="preserve">22 and </w:t>
      </w:r>
      <w:r w:rsidRPr="000E1E58">
        <w:rPr>
          <w:rFonts w:ascii="Times New Roman" w:hAnsi="Times New Roman" w:cs="Times New Roman"/>
          <w:i/>
          <w:iCs/>
          <w:sz w:val="24"/>
          <w:szCs w:val="24"/>
        </w:rPr>
        <w:t>Tapvice Enterprises &amp; Ors v Tetrad Investment Bank Ltd</w:t>
      </w:r>
      <w:r>
        <w:rPr>
          <w:rFonts w:ascii="Times New Roman" w:hAnsi="Times New Roman" w:cs="Times New Roman"/>
          <w:sz w:val="24"/>
          <w:szCs w:val="24"/>
        </w:rPr>
        <w:t xml:space="preserve"> HH 220-20.</w:t>
      </w:r>
    </w:p>
    <w:p w14:paraId="0F6477D6" w14:textId="716E2A47" w:rsidR="003E397F" w:rsidRPr="008011A2" w:rsidRDefault="000E1E58" w:rsidP="004D3320">
      <w:pPr>
        <w:spacing w:line="360" w:lineRule="auto"/>
        <w:jc w:val="both"/>
        <w:rPr>
          <w:rFonts w:ascii="Times New Roman" w:hAnsi="Times New Roman" w:cs="Times New Roman"/>
        </w:rPr>
      </w:pPr>
      <w:r w:rsidRPr="008011A2">
        <w:rPr>
          <w:rFonts w:ascii="Times New Roman" w:hAnsi="Times New Roman" w:cs="Times New Roman"/>
        </w:rPr>
        <w:t xml:space="preserve">DISPOSITION </w:t>
      </w:r>
    </w:p>
    <w:p w14:paraId="241C6469" w14:textId="4C38DF1B" w:rsidR="000E1E58" w:rsidRDefault="000E1E58" w:rsidP="004D332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008011A2">
        <w:rPr>
          <w:rFonts w:ascii="Times New Roman" w:hAnsi="Times New Roman" w:cs="Times New Roman"/>
          <w:sz w:val="24"/>
          <w:szCs w:val="24"/>
        </w:rPr>
        <w:t>The above conclusion on the evidentiary pre-requisite to special pleas makes it unnecessary to delve into the arguments presented on the merits. In the circumstances, I issue the following order; -</w:t>
      </w:r>
    </w:p>
    <w:p w14:paraId="3C48B64E" w14:textId="4B62CCE7" w:rsidR="008011A2" w:rsidRPr="008011A2" w:rsidRDefault="008011A2" w:rsidP="008011A2">
      <w:pPr>
        <w:pStyle w:val="ListParagraph"/>
        <w:numPr>
          <w:ilvl w:val="0"/>
          <w:numId w:val="3"/>
        </w:numPr>
        <w:spacing w:line="360" w:lineRule="auto"/>
        <w:jc w:val="both"/>
        <w:rPr>
          <w:rFonts w:ascii="Times New Roman" w:hAnsi="Times New Roman" w:cs="Times New Roman"/>
          <w:sz w:val="24"/>
          <w:szCs w:val="24"/>
        </w:rPr>
      </w:pPr>
      <w:r w:rsidRPr="008011A2">
        <w:rPr>
          <w:rFonts w:ascii="Times New Roman" w:hAnsi="Times New Roman" w:cs="Times New Roman"/>
          <w:sz w:val="24"/>
          <w:szCs w:val="24"/>
        </w:rPr>
        <w:t>The first defendant`s special plea of prescription be and is hereby struck off.</w:t>
      </w:r>
    </w:p>
    <w:p w14:paraId="5D378006" w14:textId="0BB98E6C" w:rsidR="008011A2" w:rsidRDefault="008011A2" w:rsidP="008011A2">
      <w:pPr>
        <w:pStyle w:val="ListParagraph"/>
        <w:numPr>
          <w:ilvl w:val="0"/>
          <w:numId w:val="3"/>
        </w:numPr>
        <w:spacing w:line="360" w:lineRule="auto"/>
        <w:jc w:val="both"/>
        <w:rPr>
          <w:rFonts w:ascii="Times New Roman" w:hAnsi="Times New Roman" w:cs="Times New Roman"/>
          <w:sz w:val="24"/>
          <w:szCs w:val="24"/>
        </w:rPr>
      </w:pPr>
      <w:r w:rsidRPr="008011A2">
        <w:rPr>
          <w:rFonts w:ascii="Times New Roman" w:hAnsi="Times New Roman" w:cs="Times New Roman"/>
          <w:sz w:val="24"/>
          <w:szCs w:val="24"/>
        </w:rPr>
        <w:t>The first defendant to bear the plaintiff`s costs of suit.</w:t>
      </w:r>
    </w:p>
    <w:p w14:paraId="10E21F1E" w14:textId="77777777" w:rsidR="008011A2" w:rsidRDefault="008011A2" w:rsidP="008011A2">
      <w:pPr>
        <w:spacing w:line="360" w:lineRule="auto"/>
        <w:jc w:val="both"/>
        <w:rPr>
          <w:rFonts w:ascii="Times New Roman" w:hAnsi="Times New Roman" w:cs="Times New Roman"/>
          <w:sz w:val="24"/>
          <w:szCs w:val="24"/>
        </w:rPr>
      </w:pPr>
    </w:p>
    <w:p w14:paraId="110464A1" w14:textId="159CB4B6" w:rsidR="008011A2" w:rsidRPr="008011A2" w:rsidRDefault="008011A2" w:rsidP="008011A2">
      <w:pPr>
        <w:pStyle w:val="NoSpacing"/>
        <w:rPr>
          <w:rFonts w:ascii="Times New Roman" w:hAnsi="Times New Roman" w:cs="Times New Roman"/>
          <w:sz w:val="24"/>
          <w:szCs w:val="24"/>
        </w:rPr>
      </w:pPr>
      <w:r w:rsidRPr="008011A2">
        <w:rPr>
          <w:rFonts w:ascii="Times New Roman" w:hAnsi="Times New Roman" w:cs="Times New Roman"/>
          <w:i/>
          <w:iCs/>
          <w:sz w:val="24"/>
          <w:szCs w:val="24"/>
        </w:rPr>
        <w:t>Masiya-Sheshe and Associates</w:t>
      </w:r>
      <w:r w:rsidRPr="008011A2">
        <w:rPr>
          <w:rFonts w:ascii="Times New Roman" w:hAnsi="Times New Roman" w:cs="Times New Roman"/>
          <w:sz w:val="24"/>
          <w:szCs w:val="24"/>
        </w:rPr>
        <w:t>-plaintiff`s legal practitioners</w:t>
      </w:r>
    </w:p>
    <w:p w14:paraId="5F947EF9" w14:textId="4C854BD7" w:rsidR="008011A2" w:rsidRPr="008011A2" w:rsidRDefault="008011A2" w:rsidP="008011A2">
      <w:pPr>
        <w:pStyle w:val="NoSpacing"/>
        <w:rPr>
          <w:rFonts w:ascii="Times New Roman" w:hAnsi="Times New Roman" w:cs="Times New Roman"/>
          <w:sz w:val="24"/>
          <w:szCs w:val="24"/>
        </w:rPr>
      </w:pPr>
      <w:r w:rsidRPr="008011A2">
        <w:rPr>
          <w:rFonts w:ascii="Times New Roman" w:hAnsi="Times New Roman" w:cs="Times New Roman"/>
          <w:i/>
          <w:iCs/>
          <w:sz w:val="24"/>
          <w:szCs w:val="24"/>
        </w:rPr>
        <w:t>MawereSibanda</w:t>
      </w:r>
      <w:r w:rsidRPr="008011A2">
        <w:rPr>
          <w:rFonts w:ascii="Times New Roman" w:hAnsi="Times New Roman" w:cs="Times New Roman"/>
          <w:sz w:val="24"/>
          <w:szCs w:val="24"/>
        </w:rPr>
        <w:t>-first defendant`s legal practitioners</w:t>
      </w:r>
    </w:p>
    <w:p w14:paraId="1BBE755E" w14:textId="3CA7D59B" w:rsidR="008011A2" w:rsidRPr="008011A2" w:rsidRDefault="008011A2" w:rsidP="008011A2">
      <w:pPr>
        <w:spacing w:line="360" w:lineRule="auto"/>
        <w:jc w:val="both"/>
        <w:rPr>
          <w:rFonts w:ascii="Times New Roman" w:hAnsi="Times New Roman" w:cs="Times New Roman"/>
          <w:b/>
          <w:bCs/>
          <w:sz w:val="16"/>
          <w:szCs w:val="16"/>
        </w:rPr>
      </w:pPr>
      <w:r>
        <w:rPr>
          <w:rFonts w:ascii="Times New Roman" w:hAnsi="Times New Roman" w:cs="Times New Roman"/>
          <w:sz w:val="24"/>
          <w:szCs w:val="24"/>
        </w:rPr>
        <w:t xml:space="preserve">                                                                                                  </w:t>
      </w:r>
      <w:r w:rsidRPr="008011A2">
        <w:rPr>
          <w:rFonts w:ascii="Times New Roman" w:hAnsi="Times New Roman" w:cs="Times New Roman"/>
          <w:b/>
          <w:bCs/>
          <w:sz w:val="16"/>
          <w:szCs w:val="16"/>
        </w:rPr>
        <w:t>[CHILIMBE J____</w:t>
      </w:r>
      <w:r w:rsidR="00163AE5">
        <w:rPr>
          <w:rFonts w:ascii="Times New Roman" w:hAnsi="Times New Roman" w:cs="Times New Roman"/>
          <w:b/>
          <w:bCs/>
          <w:sz w:val="16"/>
          <w:szCs w:val="16"/>
        </w:rPr>
        <w:t>10</w:t>
      </w:r>
      <w:r w:rsidRPr="008011A2">
        <w:rPr>
          <w:rFonts w:ascii="Times New Roman" w:hAnsi="Times New Roman" w:cs="Times New Roman"/>
          <w:b/>
          <w:bCs/>
          <w:sz w:val="16"/>
          <w:szCs w:val="16"/>
        </w:rPr>
        <w:t>/6/26]</w:t>
      </w:r>
    </w:p>
    <w:p w14:paraId="6909DED2" w14:textId="77777777" w:rsidR="0007358F" w:rsidRPr="004D3320" w:rsidRDefault="0007358F" w:rsidP="004D3320">
      <w:pPr>
        <w:spacing w:line="360" w:lineRule="auto"/>
        <w:jc w:val="both"/>
        <w:rPr>
          <w:rFonts w:ascii="Times New Roman" w:hAnsi="Times New Roman" w:cs="Times New Roman"/>
          <w:sz w:val="24"/>
          <w:szCs w:val="24"/>
        </w:rPr>
      </w:pPr>
    </w:p>
    <w:p w14:paraId="73670B5D" w14:textId="77777777" w:rsidR="0007358F" w:rsidRPr="004D3320" w:rsidRDefault="0007358F" w:rsidP="004D3320">
      <w:pPr>
        <w:spacing w:line="360" w:lineRule="auto"/>
        <w:jc w:val="both"/>
        <w:rPr>
          <w:rFonts w:ascii="Times New Roman" w:hAnsi="Times New Roman" w:cs="Times New Roman"/>
          <w:sz w:val="24"/>
          <w:szCs w:val="24"/>
        </w:rPr>
      </w:pPr>
    </w:p>
    <w:sectPr w:rsidR="0007358F" w:rsidRPr="004D332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93952" w14:textId="77777777" w:rsidR="003C70DC" w:rsidRDefault="003C70DC" w:rsidP="00325FD8">
      <w:pPr>
        <w:spacing w:after="0" w:line="240" w:lineRule="auto"/>
      </w:pPr>
      <w:r>
        <w:separator/>
      </w:r>
    </w:p>
  </w:endnote>
  <w:endnote w:type="continuationSeparator" w:id="0">
    <w:p w14:paraId="0BFD1F9E" w14:textId="77777777" w:rsidR="003C70DC" w:rsidRDefault="003C70DC" w:rsidP="0032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EC629" w14:textId="77777777" w:rsidR="003C70DC" w:rsidRDefault="003C70DC" w:rsidP="00325FD8">
      <w:pPr>
        <w:spacing w:after="0" w:line="240" w:lineRule="auto"/>
      </w:pPr>
      <w:r>
        <w:separator/>
      </w:r>
    </w:p>
  </w:footnote>
  <w:footnote w:type="continuationSeparator" w:id="0">
    <w:p w14:paraId="6AC1EA98" w14:textId="77777777" w:rsidR="003C70DC" w:rsidRDefault="003C70DC" w:rsidP="00325FD8">
      <w:pPr>
        <w:spacing w:after="0" w:line="240" w:lineRule="auto"/>
      </w:pPr>
      <w:r>
        <w:continuationSeparator/>
      </w:r>
    </w:p>
  </w:footnote>
  <w:footnote w:id="1">
    <w:p w14:paraId="5FB88546" w14:textId="72CC93E7" w:rsidR="00325FD8" w:rsidRPr="004D3320" w:rsidRDefault="00325FD8">
      <w:pPr>
        <w:pStyle w:val="FootnoteText"/>
        <w:rPr>
          <w:sz w:val="18"/>
          <w:szCs w:val="18"/>
        </w:rPr>
      </w:pPr>
      <w:r>
        <w:rPr>
          <w:rStyle w:val="FootnoteReference"/>
        </w:rPr>
        <w:footnoteRef/>
      </w:r>
      <w:r>
        <w:t xml:space="preserve"> </w:t>
      </w:r>
      <w:r w:rsidRPr="004D3320">
        <w:rPr>
          <w:sz w:val="18"/>
          <w:szCs w:val="18"/>
        </w:rPr>
        <w:t>Paragraph 10 of the plaintiff`s heads of argument at page 490 of the record.</w:t>
      </w:r>
    </w:p>
  </w:footnote>
  <w:footnote w:id="2">
    <w:p w14:paraId="17FD0604" w14:textId="06C9630D" w:rsidR="00753948" w:rsidRDefault="00753948">
      <w:pPr>
        <w:pStyle w:val="FootnoteText"/>
      </w:pPr>
      <w:r>
        <w:rPr>
          <w:rStyle w:val="FootnoteReference"/>
        </w:rPr>
        <w:footnoteRef/>
      </w:r>
      <w:r>
        <w:t xml:space="preserve"> Of the special plea at record page 253.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b/>
        <w:bCs/>
        <w:sz w:val="20"/>
        <w:szCs w:val="20"/>
      </w:rPr>
      <w:id w:val="1764338001"/>
      <w:docPartObj>
        <w:docPartGallery w:val="Page Numbers (Top of Page)"/>
        <w:docPartUnique/>
      </w:docPartObj>
    </w:sdtPr>
    <w:sdtEndPr>
      <w:rPr>
        <w:noProof/>
      </w:rPr>
    </w:sdtEndPr>
    <w:sdtContent>
      <w:p w14:paraId="4B1C9E82" w14:textId="77777777" w:rsidR="00B7528D" w:rsidRPr="001B5A5C" w:rsidRDefault="00B7528D" w:rsidP="003A02A6">
        <w:pPr>
          <w:pStyle w:val="Header"/>
          <w:jc w:val="right"/>
          <w:rPr>
            <w:rFonts w:cstheme="minorHAnsi"/>
            <w:b/>
            <w:bCs/>
            <w:noProof/>
            <w:sz w:val="20"/>
            <w:szCs w:val="20"/>
          </w:rPr>
        </w:pPr>
        <w:r w:rsidRPr="001B5A5C">
          <w:rPr>
            <w:rFonts w:cstheme="minorHAnsi"/>
            <w:b/>
            <w:bCs/>
            <w:sz w:val="20"/>
            <w:szCs w:val="20"/>
          </w:rPr>
          <w:fldChar w:fldCharType="begin"/>
        </w:r>
        <w:r w:rsidRPr="001B5A5C">
          <w:rPr>
            <w:rFonts w:cstheme="minorHAnsi"/>
            <w:b/>
            <w:bCs/>
            <w:sz w:val="20"/>
            <w:szCs w:val="20"/>
          </w:rPr>
          <w:instrText xml:space="preserve"> PAGE   \* MERGEFORMAT </w:instrText>
        </w:r>
        <w:r w:rsidRPr="001B5A5C">
          <w:rPr>
            <w:rFonts w:cstheme="minorHAnsi"/>
            <w:b/>
            <w:bCs/>
            <w:sz w:val="20"/>
            <w:szCs w:val="20"/>
          </w:rPr>
          <w:fldChar w:fldCharType="separate"/>
        </w:r>
        <w:r w:rsidR="003A02A6">
          <w:rPr>
            <w:rFonts w:cstheme="minorHAnsi"/>
            <w:b/>
            <w:bCs/>
            <w:noProof/>
            <w:sz w:val="20"/>
            <w:szCs w:val="20"/>
          </w:rPr>
          <w:t>5</w:t>
        </w:r>
        <w:r w:rsidRPr="001B5A5C">
          <w:rPr>
            <w:rFonts w:cstheme="minorHAnsi"/>
            <w:b/>
            <w:bCs/>
            <w:noProof/>
            <w:sz w:val="20"/>
            <w:szCs w:val="20"/>
          </w:rPr>
          <w:fldChar w:fldCharType="end"/>
        </w:r>
      </w:p>
      <w:p w14:paraId="0D1AFE8D" w14:textId="722BA0E1" w:rsidR="00B7528D" w:rsidRPr="001B5A5C" w:rsidRDefault="00B7528D" w:rsidP="003A02A6">
        <w:pPr>
          <w:pStyle w:val="Header"/>
          <w:jc w:val="right"/>
          <w:rPr>
            <w:rFonts w:cstheme="minorHAnsi"/>
            <w:b/>
            <w:bCs/>
            <w:noProof/>
            <w:sz w:val="20"/>
            <w:szCs w:val="20"/>
          </w:rPr>
        </w:pPr>
        <w:r w:rsidRPr="001B5A5C">
          <w:rPr>
            <w:rFonts w:cstheme="minorHAnsi"/>
            <w:b/>
            <w:bCs/>
            <w:noProof/>
            <w:sz w:val="20"/>
            <w:szCs w:val="20"/>
          </w:rPr>
          <w:t>HH</w:t>
        </w:r>
        <w:r w:rsidR="001B5A5C" w:rsidRPr="001B5A5C">
          <w:rPr>
            <w:rFonts w:cstheme="minorHAnsi"/>
            <w:b/>
            <w:bCs/>
            <w:noProof/>
            <w:sz w:val="20"/>
            <w:szCs w:val="20"/>
          </w:rPr>
          <w:t xml:space="preserve"> </w:t>
        </w:r>
        <w:r w:rsidR="001B5A5C" w:rsidRPr="001B5A5C">
          <w:rPr>
            <w:rFonts w:cstheme="minorHAnsi"/>
            <w:b/>
            <w:bCs/>
            <w:color w:val="222222"/>
            <w:sz w:val="20"/>
            <w:szCs w:val="20"/>
            <w:shd w:val="clear" w:color="auto" w:fill="FFFFFF"/>
          </w:rPr>
          <w:t>422-26</w:t>
        </w:r>
      </w:p>
      <w:p w14:paraId="33BEF4A5" w14:textId="51D17083" w:rsidR="00B7528D" w:rsidRPr="001B5A5C" w:rsidRDefault="00B7528D" w:rsidP="003A02A6">
        <w:pPr>
          <w:pStyle w:val="Header"/>
          <w:jc w:val="right"/>
          <w:rPr>
            <w:rFonts w:cstheme="minorHAnsi"/>
            <w:b/>
            <w:bCs/>
            <w:sz w:val="20"/>
            <w:szCs w:val="20"/>
          </w:rPr>
        </w:pPr>
        <w:r w:rsidRPr="001B5A5C">
          <w:rPr>
            <w:rFonts w:cstheme="minorHAnsi"/>
            <w:b/>
            <w:bCs/>
            <w:noProof/>
            <w:sz w:val="20"/>
            <w:szCs w:val="20"/>
          </w:rPr>
          <w:t>HCHC</w:t>
        </w:r>
        <w:r w:rsidR="006A21A9" w:rsidRPr="001B5A5C">
          <w:rPr>
            <w:rFonts w:cstheme="minorHAnsi"/>
            <w:b/>
            <w:bCs/>
            <w:noProof/>
            <w:sz w:val="20"/>
            <w:szCs w:val="20"/>
          </w:rPr>
          <w:t xml:space="preserve"> 554/25</w:t>
        </w:r>
      </w:p>
    </w:sdtContent>
  </w:sdt>
  <w:p w14:paraId="1EAF59EB" w14:textId="77777777" w:rsidR="00B7528D" w:rsidRDefault="00B752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A08DA"/>
    <w:multiLevelType w:val="hybridMultilevel"/>
    <w:tmpl w:val="89A863C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D78649F"/>
    <w:multiLevelType w:val="hybridMultilevel"/>
    <w:tmpl w:val="FF36758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A8F75F0"/>
    <w:multiLevelType w:val="hybridMultilevel"/>
    <w:tmpl w:val="26201164"/>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922"/>
    <w:rsid w:val="0007358F"/>
    <w:rsid w:val="000E1E58"/>
    <w:rsid w:val="00112621"/>
    <w:rsid w:val="00113AA5"/>
    <w:rsid w:val="00163AE5"/>
    <w:rsid w:val="001743C3"/>
    <w:rsid w:val="001B1D0E"/>
    <w:rsid w:val="001B5A5C"/>
    <w:rsid w:val="001D34CE"/>
    <w:rsid w:val="001E3523"/>
    <w:rsid w:val="00286A17"/>
    <w:rsid w:val="002D3509"/>
    <w:rsid w:val="00325FD8"/>
    <w:rsid w:val="003471E5"/>
    <w:rsid w:val="003A02A6"/>
    <w:rsid w:val="003B0F4B"/>
    <w:rsid w:val="003C70DC"/>
    <w:rsid w:val="003E397F"/>
    <w:rsid w:val="00404331"/>
    <w:rsid w:val="00413BEC"/>
    <w:rsid w:val="00422922"/>
    <w:rsid w:val="004277A0"/>
    <w:rsid w:val="004C0AAA"/>
    <w:rsid w:val="004D3320"/>
    <w:rsid w:val="004E0C75"/>
    <w:rsid w:val="00530A91"/>
    <w:rsid w:val="005922EC"/>
    <w:rsid w:val="005C1BE5"/>
    <w:rsid w:val="00600AE1"/>
    <w:rsid w:val="00636255"/>
    <w:rsid w:val="006374E8"/>
    <w:rsid w:val="006779F9"/>
    <w:rsid w:val="006A21A9"/>
    <w:rsid w:val="007376E0"/>
    <w:rsid w:val="00753948"/>
    <w:rsid w:val="00764773"/>
    <w:rsid w:val="007F49DC"/>
    <w:rsid w:val="008011A2"/>
    <w:rsid w:val="008478D0"/>
    <w:rsid w:val="008B2C1F"/>
    <w:rsid w:val="008C5489"/>
    <w:rsid w:val="008E1F24"/>
    <w:rsid w:val="009062A4"/>
    <w:rsid w:val="009072AA"/>
    <w:rsid w:val="0099148B"/>
    <w:rsid w:val="00A6302C"/>
    <w:rsid w:val="00A75F8C"/>
    <w:rsid w:val="00AC341A"/>
    <w:rsid w:val="00B3466C"/>
    <w:rsid w:val="00B5282E"/>
    <w:rsid w:val="00B7528D"/>
    <w:rsid w:val="00BA0CDB"/>
    <w:rsid w:val="00BC33AC"/>
    <w:rsid w:val="00C32E81"/>
    <w:rsid w:val="00C51620"/>
    <w:rsid w:val="00C54D7F"/>
    <w:rsid w:val="00CE09C8"/>
    <w:rsid w:val="00D41F9C"/>
    <w:rsid w:val="00D97888"/>
    <w:rsid w:val="00D97F95"/>
    <w:rsid w:val="00E405B5"/>
    <w:rsid w:val="00E53A53"/>
    <w:rsid w:val="00EE08D7"/>
    <w:rsid w:val="00F271DC"/>
    <w:rsid w:val="00F41C77"/>
    <w:rsid w:val="00F425F4"/>
    <w:rsid w:val="00F45FD4"/>
    <w:rsid w:val="00FA708B"/>
    <w:rsid w:val="00FD35E6"/>
    <w:rsid w:val="00FD711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4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66C"/>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FootnoteText">
    <w:name w:val="footnote text"/>
    <w:basedOn w:val="Normal"/>
    <w:link w:val="FootnoteTextChar"/>
    <w:uiPriority w:val="99"/>
    <w:semiHidden/>
    <w:unhideWhenUsed/>
    <w:rsid w:val="00325F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5FD8"/>
    <w:rPr>
      <w:sz w:val="20"/>
      <w:szCs w:val="20"/>
    </w:rPr>
  </w:style>
  <w:style w:type="character" w:styleId="FootnoteReference">
    <w:name w:val="footnote reference"/>
    <w:basedOn w:val="DefaultParagraphFont"/>
    <w:uiPriority w:val="99"/>
    <w:semiHidden/>
    <w:unhideWhenUsed/>
    <w:rsid w:val="00325FD8"/>
    <w:rPr>
      <w:vertAlign w:val="superscript"/>
    </w:rPr>
  </w:style>
  <w:style w:type="paragraph" w:styleId="NoSpacing">
    <w:name w:val="No Spacing"/>
    <w:uiPriority w:val="1"/>
    <w:qFormat/>
    <w:rsid w:val="004D3320"/>
    <w:pPr>
      <w:spacing w:after="0" w:line="240" w:lineRule="auto"/>
    </w:pPr>
  </w:style>
  <w:style w:type="paragraph" w:styleId="ListParagraph">
    <w:name w:val="List Paragraph"/>
    <w:basedOn w:val="Normal"/>
    <w:uiPriority w:val="34"/>
    <w:qFormat/>
    <w:rsid w:val="004D3320"/>
    <w:pPr>
      <w:ind w:left="720"/>
      <w:contextualSpacing/>
    </w:pPr>
  </w:style>
  <w:style w:type="paragraph" w:styleId="Header">
    <w:name w:val="header"/>
    <w:basedOn w:val="Normal"/>
    <w:link w:val="HeaderChar"/>
    <w:uiPriority w:val="99"/>
    <w:unhideWhenUsed/>
    <w:rsid w:val="00B75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28D"/>
  </w:style>
  <w:style w:type="paragraph" w:styleId="Footer">
    <w:name w:val="footer"/>
    <w:basedOn w:val="Normal"/>
    <w:link w:val="FooterChar"/>
    <w:uiPriority w:val="99"/>
    <w:unhideWhenUsed/>
    <w:rsid w:val="00B75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28D"/>
  </w:style>
  <w:style w:type="paragraph" w:styleId="Revision">
    <w:name w:val="Revision"/>
    <w:hidden/>
    <w:uiPriority w:val="99"/>
    <w:semiHidden/>
    <w:rsid w:val="00D97F9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66C"/>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FootnoteText">
    <w:name w:val="footnote text"/>
    <w:basedOn w:val="Normal"/>
    <w:link w:val="FootnoteTextChar"/>
    <w:uiPriority w:val="99"/>
    <w:semiHidden/>
    <w:unhideWhenUsed/>
    <w:rsid w:val="00325F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5FD8"/>
    <w:rPr>
      <w:sz w:val="20"/>
      <w:szCs w:val="20"/>
    </w:rPr>
  </w:style>
  <w:style w:type="character" w:styleId="FootnoteReference">
    <w:name w:val="footnote reference"/>
    <w:basedOn w:val="DefaultParagraphFont"/>
    <w:uiPriority w:val="99"/>
    <w:semiHidden/>
    <w:unhideWhenUsed/>
    <w:rsid w:val="00325FD8"/>
    <w:rPr>
      <w:vertAlign w:val="superscript"/>
    </w:rPr>
  </w:style>
  <w:style w:type="paragraph" w:styleId="NoSpacing">
    <w:name w:val="No Spacing"/>
    <w:uiPriority w:val="1"/>
    <w:qFormat/>
    <w:rsid w:val="004D3320"/>
    <w:pPr>
      <w:spacing w:after="0" w:line="240" w:lineRule="auto"/>
    </w:pPr>
  </w:style>
  <w:style w:type="paragraph" w:styleId="ListParagraph">
    <w:name w:val="List Paragraph"/>
    <w:basedOn w:val="Normal"/>
    <w:uiPriority w:val="34"/>
    <w:qFormat/>
    <w:rsid w:val="004D3320"/>
    <w:pPr>
      <w:ind w:left="720"/>
      <w:contextualSpacing/>
    </w:pPr>
  </w:style>
  <w:style w:type="paragraph" w:styleId="Header">
    <w:name w:val="header"/>
    <w:basedOn w:val="Normal"/>
    <w:link w:val="HeaderChar"/>
    <w:uiPriority w:val="99"/>
    <w:unhideWhenUsed/>
    <w:rsid w:val="00B75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28D"/>
  </w:style>
  <w:style w:type="paragraph" w:styleId="Footer">
    <w:name w:val="footer"/>
    <w:basedOn w:val="Normal"/>
    <w:link w:val="FooterChar"/>
    <w:uiPriority w:val="99"/>
    <w:unhideWhenUsed/>
    <w:rsid w:val="00B75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28D"/>
  </w:style>
  <w:style w:type="paragraph" w:styleId="Revision">
    <w:name w:val="Revision"/>
    <w:hidden/>
    <w:uiPriority w:val="99"/>
    <w:semiHidden/>
    <w:rsid w:val="00D97F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18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4090E-356F-42D4-927D-CA12EF1F1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IECMS</dc:creator>
  <cp:lastModifiedBy>JSC</cp:lastModifiedBy>
  <cp:revision>2</cp:revision>
  <cp:lastPrinted>2026-06-10T13:16:00Z</cp:lastPrinted>
  <dcterms:created xsi:type="dcterms:W3CDTF">2026-06-11T12:43:00Z</dcterms:created>
  <dcterms:modified xsi:type="dcterms:W3CDTF">2026-06-11T12:43:00Z</dcterms:modified>
</cp:coreProperties>
</file>