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2C17C0" w14:textId="4AD26A80" w:rsidR="00016DFE" w:rsidRPr="00016DFE" w:rsidRDefault="00394AF8" w:rsidP="00016DFE">
      <w:pPr>
        <w:spacing w:before="100" w:beforeAutospacing="1" w:after="100" w:afterAutospacing="1" w:line="360" w:lineRule="auto"/>
        <w:rPr>
          <w:rFonts w:ascii="Times New Roman" w:eastAsia="Times New Roman" w:hAnsi="Times New Roman" w:cs="Times New Roman"/>
          <w:kern w:val="0"/>
          <w:lang w:eastAsia="en-ZW"/>
          <w14:ligatures w14:val="none"/>
        </w:rPr>
      </w:pPr>
      <w:bookmarkStart w:id="0" w:name="_GoBack"/>
      <w:bookmarkEnd w:id="0"/>
      <w:r>
        <w:rPr>
          <w:rFonts w:ascii="Times New Roman" w:eastAsia="Times New Roman" w:hAnsi="Times New Roman" w:cs="Times New Roman"/>
          <w:b/>
          <w:bCs/>
          <w:kern w:val="0"/>
          <w:lang w:eastAsia="en-ZW"/>
          <w14:ligatures w14:val="none"/>
        </w:rPr>
        <w:t xml:space="preserve"> </w:t>
      </w:r>
    </w:p>
    <w:p w14:paraId="1197E46A" w14:textId="6624691A" w:rsidR="00016DFE" w:rsidRPr="00394AF8" w:rsidRDefault="00016DFE" w:rsidP="00394AF8">
      <w:pPr>
        <w:pStyle w:val="NoSpacing"/>
        <w:rPr>
          <w:rFonts w:ascii="Times New Roman" w:hAnsi="Times New Roman" w:cs="Times New Roman"/>
          <w:lang w:eastAsia="en-ZW"/>
        </w:rPr>
      </w:pPr>
      <w:r w:rsidRPr="00394AF8">
        <w:rPr>
          <w:rFonts w:ascii="Times New Roman" w:hAnsi="Times New Roman" w:cs="Times New Roman"/>
          <w:lang w:eastAsia="en-ZW"/>
        </w:rPr>
        <w:t>SUPER GIANTS (PVT) LTD</w:t>
      </w:r>
      <w:r w:rsidR="00394AF8" w:rsidRPr="00394AF8">
        <w:rPr>
          <w:rFonts w:ascii="Times New Roman" w:hAnsi="Times New Roman" w:cs="Times New Roman"/>
          <w:lang w:eastAsia="en-ZW"/>
        </w:rPr>
        <w:t xml:space="preserve"> </w:t>
      </w:r>
    </w:p>
    <w:p w14:paraId="0B226AD0" w14:textId="6F9D1562" w:rsidR="00016DFE" w:rsidRPr="00394AF8" w:rsidRDefault="00394AF8" w:rsidP="00394AF8">
      <w:pPr>
        <w:pStyle w:val="NoSpacing"/>
        <w:rPr>
          <w:rFonts w:ascii="Times New Roman" w:hAnsi="Times New Roman" w:cs="Times New Roman"/>
          <w:lang w:eastAsia="en-ZW"/>
        </w:rPr>
      </w:pPr>
      <w:r w:rsidRPr="00394AF8">
        <w:rPr>
          <w:rFonts w:ascii="Times New Roman" w:hAnsi="Times New Roman" w:cs="Times New Roman"/>
          <w:lang w:eastAsia="en-ZW"/>
        </w:rPr>
        <w:t>versus</w:t>
      </w:r>
    </w:p>
    <w:p w14:paraId="38235C88" w14:textId="1840B1A9" w:rsidR="00016DFE" w:rsidRDefault="00394AF8" w:rsidP="00394AF8">
      <w:pPr>
        <w:pStyle w:val="NoSpacing"/>
        <w:rPr>
          <w:rFonts w:ascii="Times New Roman" w:hAnsi="Times New Roman" w:cs="Times New Roman"/>
          <w:lang w:eastAsia="en-ZW"/>
        </w:rPr>
      </w:pPr>
      <w:r w:rsidRPr="00394AF8">
        <w:rPr>
          <w:rFonts w:ascii="Times New Roman" w:hAnsi="Times New Roman" w:cs="Times New Roman"/>
          <w:lang w:eastAsia="en-ZW"/>
        </w:rPr>
        <w:t xml:space="preserve">ZIMBABWE REVENUE AUTHORITY </w:t>
      </w:r>
    </w:p>
    <w:p w14:paraId="6D86C98C" w14:textId="77777777" w:rsidR="00394AF8" w:rsidRDefault="00394AF8" w:rsidP="00394AF8">
      <w:pPr>
        <w:pStyle w:val="NoSpacing"/>
        <w:rPr>
          <w:rFonts w:ascii="Times New Roman" w:hAnsi="Times New Roman" w:cs="Times New Roman"/>
          <w:lang w:eastAsia="en-ZW"/>
        </w:rPr>
      </w:pPr>
    </w:p>
    <w:p w14:paraId="2FF3FECB" w14:textId="77777777" w:rsidR="00394AF8" w:rsidRDefault="00394AF8" w:rsidP="00394AF8">
      <w:pPr>
        <w:pStyle w:val="NoSpacing"/>
        <w:rPr>
          <w:rFonts w:ascii="Times New Roman" w:hAnsi="Times New Roman" w:cs="Times New Roman"/>
          <w:lang w:eastAsia="en-ZW"/>
        </w:rPr>
      </w:pPr>
    </w:p>
    <w:p w14:paraId="77613452" w14:textId="3BCF7F7C" w:rsidR="00394AF8" w:rsidRDefault="00394AF8" w:rsidP="00394AF8">
      <w:pPr>
        <w:pStyle w:val="NoSpacing"/>
        <w:rPr>
          <w:rFonts w:ascii="Times New Roman" w:hAnsi="Times New Roman" w:cs="Times New Roman"/>
          <w:lang w:eastAsia="en-ZW"/>
        </w:rPr>
      </w:pPr>
      <w:r>
        <w:rPr>
          <w:rFonts w:ascii="Times New Roman" w:hAnsi="Times New Roman" w:cs="Times New Roman"/>
          <w:lang w:eastAsia="en-ZW"/>
        </w:rPr>
        <w:t>HIGH COURT OF ZIMBABWE</w:t>
      </w:r>
    </w:p>
    <w:p w14:paraId="08509AFE" w14:textId="55505934" w:rsidR="00394AF8" w:rsidRPr="00394AF8" w:rsidRDefault="00394AF8" w:rsidP="00394AF8">
      <w:pPr>
        <w:pStyle w:val="NoSpacing"/>
        <w:rPr>
          <w:rFonts w:ascii="Times New Roman" w:hAnsi="Times New Roman" w:cs="Times New Roman"/>
          <w:b/>
          <w:bCs/>
          <w:lang w:eastAsia="en-ZW"/>
        </w:rPr>
      </w:pPr>
      <w:r w:rsidRPr="00394AF8">
        <w:rPr>
          <w:rFonts w:ascii="Times New Roman" w:hAnsi="Times New Roman" w:cs="Times New Roman"/>
          <w:b/>
          <w:bCs/>
          <w:lang w:eastAsia="en-ZW"/>
        </w:rPr>
        <w:t>KATIYO J</w:t>
      </w:r>
    </w:p>
    <w:p w14:paraId="38CDD575" w14:textId="6C257EB8" w:rsidR="00394AF8" w:rsidRDefault="00394AF8" w:rsidP="00394AF8">
      <w:pPr>
        <w:pStyle w:val="NoSpacing"/>
        <w:rPr>
          <w:rFonts w:ascii="Times New Roman" w:hAnsi="Times New Roman" w:cs="Times New Roman"/>
          <w:lang w:eastAsia="en-ZW"/>
        </w:rPr>
      </w:pPr>
      <w:r>
        <w:rPr>
          <w:rFonts w:ascii="Times New Roman" w:hAnsi="Times New Roman" w:cs="Times New Roman"/>
          <w:lang w:eastAsia="en-ZW"/>
        </w:rPr>
        <w:t>HARARE; 24 February 2026</w:t>
      </w:r>
      <w:r w:rsidR="00D80B11">
        <w:rPr>
          <w:rFonts w:ascii="Times New Roman" w:hAnsi="Times New Roman" w:cs="Times New Roman"/>
          <w:lang w:eastAsia="en-ZW"/>
        </w:rPr>
        <w:t xml:space="preserve"> &amp; 16 March 2026</w:t>
      </w:r>
    </w:p>
    <w:p w14:paraId="14306FDE" w14:textId="77777777" w:rsidR="00394AF8" w:rsidRDefault="00394AF8" w:rsidP="00394AF8">
      <w:pPr>
        <w:pStyle w:val="NoSpacing"/>
        <w:rPr>
          <w:rFonts w:ascii="Times New Roman" w:hAnsi="Times New Roman" w:cs="Times New Roman"/>
          <w:lang w:eastAsia="en-ZW"/>
        </w:rPr>
      </w:pPr>
    </w:p>
    <w:p w14:paraId="51DDC885" w14:textId="77777777" w:rsidR="00394AF8" w:rsidRDefault="00394AF8" w:rsidP="00394AF8">
      <w:pPr>
        <w:pStyle w:val="NoSpacing"/>
        <w:rPr>
          <w:rFonts w:ascii="Times New Roman" w:hAnsi="Times New Roman" w:cs="Times New Roman"/>
          <w:lang w:eastAsia="en-ZW"/>
        </w:rPr>
      </w:pPr>
    </w:p>
    <w:p w14:paraId="3AFEF741" w14:textId="79166758" w:rsidR="00394AF8" w:rsidRDefault="00394AF8" w:rsidP="00394AF8">
      <w:pPr>
        <w:pStyle w:val="NoSpacing"/>
        <w:rPr>
          <w:rFonts w:ascii="Times New Roman" w:hAnsi="Times New Roman" w:cs="Times New Roman"/>
          <w:b/>
          <w:bCs/>
          <w:i/>
          <w:iCs/>
          <w:lang w:eastAsia="en-ZW"/>
        </w:rPr>
      </w:pPr>
      <w:r w:rsidRPr="00394AF8">
        <w:rPr>
          <w:rFonts w:ascii="Times New Roman" w:hAnsi="Times New Roman" w:cs="Times New Roman"/>
          <w:b/>
          <w:bCs/>
          <w:i/>
          <w:iCs/>
          <w:lang w:eastAsia="en-ZW"/>
        </w:rPr>
        <w:t>Urgent C</w:t>
      </w:r>
      <w:r w:rsidR="00DF4C42">
        <w:rPr>
          <w:rFonts w:ascii="Times New Roman" w:hAnsi="Times New Roman" w:cs="Times New Roman"/>
          <w:b/>
          <w:bCs/>
          <w:i/>
          <w:iCs/>
          <w:lang w:eastAsia="en-ZW"/>
        </w:rPr>
        <w:t>hamber</w:t>
      </w:r>
      <w:r w:rsidRPr="00394AF8">
        <w:rPr>
          <w:rFonts w:ascii="Times New Roman" w:hAnsi="Times New Roman" w:cs="Times New Roman"/>
          <w:b/>
          <w:bCs/>
          <w:i/>
          <w:iCs/>
          <w:lang w:eastAsia="en-ZW"/>
        </w:rPr>
        <w:t xml:space="preserve"> Application</w:t>
      </w:r>
    </w:p>
    <w:p w14:paraId="2662F1EB" w14:textId="77777777" w:rsidR="00673848" w:rsidRDefault="00673848" w:rsidP="00394AF8">
      <w:pPr>
        <w:pStyle w:val="NoSpacing"/>
        <w:rPr>
          <w:rFonts w:ascii="Times New Roman" w:hAnsi="Times New Roman" w:cs="Times New Roman"/>
          <w:b/>
          <w:bCs/>
          <w:i/>
          <w:iCs/>
          <w:lang w:eastAsia="en-ZW"/>
        </w:rPr>
      </w:pPr>
    </w:p>
    <w:p w14:paraId="5EEAFE1A" w14:textId="77777777" w:rsidR="00673848" w:rsidRDefault="00673848" w:rsidP="00394AF8">
      <w:pPr>
        <w:pStyle w:val="NoSpacing"/>
        <w:rPr>
          <w:rFonts w:ascii="Times New Roman" w:hAnsi="Times New Roman" w:cs="Times New Roman"/>
          <w:b/>
          <w:bCs/>
          <w:i/>
          <w:iCs/>
          <w:lang w:eastAsia="en-ZW"/>
        </w:rPr>
      </w:pPr>
    </w:p>
    <w:p w14:paraId="7BA7D7D9" w14:textId="63EE275F" w:rsidR="00673848" w:rsidRPr="00673848" w:rsidRDefault="00673848" w:rsidP="00673848">
      <w:pPr>
        <w:pStyle w:val="NoSpacing"/>
        <w:rPr>
          <w:rFonts w:ascii="Times New Roman" w:hAnsi="Times New Roman" w:cs="Times New Roman"/>
        </w:rPr>
      </w:pPr>
      <w:r w:rsidRPr="00673848">
        <w:rPr>
          <w:rFonts w:ascii="Times New Roman" w:hAnsi="Times New Roman" w:cs="Times New Roman"/>
          <w:i/>
          <w:iCs/>
        </w:rPr>
        <w:t>S Chirorwe</w:t>
      </w:r>
      <w:r w:rsidRPr="00673848">
        <w:rPr>
          <w:rFonts w:ascii="Times New Roman" w:hAnsi="Times New Roman" w:cs="Times New Roman"/>
        </w:rPr>
        <w:t>, for the applicant</w:t>
      </w:r>
    </w:p>
    <w:p w14:paraId="22407467" w14:textId="452F0AA9" w:rsidR="00673848" w:rsidRPr="00673848" w:rsidRDefault="00673848" w:rsidP="00673848">
      <w:pPr>
        <w:pStyle w:val="NoSpacing"/>
        <w:rPr>
          <w:rFonts w:ascii="Times New Roman" w:hAnsi="Times New Roman" w:cs="Times New Roman"/>
        </w:rPr>
      </w:pPr>
      <w:r w:rsidRPr="00673848">
        <w:rPr>
          <w:rFonts w:ascii="Times New Roman" w:hAnsi="Times New Roman" w:cs="Times New Roman"/>
          <w:i/>
          <w:iCs/>
        </w:rPr>
        <w:t>T L Marange</w:t>
      </w:r>
      <w:r w:rsidRPr="00673848">
        <w:rPr>
          <w:rFonts w:ascii="Times New Roman" w:hAnsi="Times New Roman" w:cs="Times New Roman"/>
        </w:rPr>
        <w:t>, for the respondent</w:t>
      </w:r>
    </w:p>
    <w:p w14:paraId="1027CF31" w14:textId="77777777" w:rsidR="00394AF8" w:rsidRPr="00394AF8" w:rsidRDefault="00394AF8" w:rsidP="00394AF8">
      <w:pPr>
        <w:pStyle w:val="NoSpacing"/>
        <w:rPr>
          <w:rFonts w:ascii="Times New Roman" w:hAnsi="Times New Roman" w:cs="Times New Roman"/>
          <w:b/>
          <w:bCs/>
          <w:i/>
          <w:iCs/>
          <w:lang w:eastAsia="en-ZW"/>
        </w:rPr>
      </w:pPr>
    </w:p>
    <w:p w14:paraId="3FA19FC1" w14:textId="77777777" w:rsidR="00016DFE" w:rsidRPr="00016DFE" w:rsidRDefault="00016DFE" w:rsidP="00016DFE">
      <w:pPr>
        <w:spacing w:before="100" w:beforeAutospacing="1" w:after="100" w:afterAutospacing="1" w:line="360" w:lineRule="auto"/>
        <w:jc w:val="both"/>
        <w:outlineLvl w:val="1"/>
        <w:rPr>
          <w:rFonts w:ascii="Times New Roman" w:eastAsia="Times New Roman" w:hAnsi="Times New Roman" w:cs="Times New Roman"/>
          <w:b/>
          <w:bCs/>
          <w:kern w:val="0"/>
          <w:lang w:eastAsia="en-ZW"/>
          <w14:ligatures w14:val="none"/>
        </w:rPr>
      </w:pPr>
      <w:r w:rsidRPr="00016DFE">
        <w:rPr>
          <w:rFonts w:ascii="Times New Roman" w:eastAsia="Times New Roman" w:hAnsi="Times New Roman" w:cs="Times New Roman"/>
          <w:b/>
          <w:bCs/>
          <w:kern w:val="0"/>
          <w:lang w:eastAsia="en-ZW"/>
          <w14:ligatures w14:val="none"/>
        </w:rPr>
        <w:t>INTRODUCTION</w:t>
      </w:r>
    </w:p>
    <w:p w14:paraId="1B014215" w14:textId="77777777" w:rsidR="00394AF8" w:rsidRDefault="00016DFE" w:rsidP="00394AF8">
      <w:pPr>
        <w:spacing w:before="100" w:beforeAutospacing="1"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 xml:space="preserve">This is an Urgent Court Application filed by the Applicant seeking relief against the Respondent arising from the detention of its trucks and related property. The Respondent entered opposition and raised points </w:t>
      </w:r>
      <w:r w:rsidRPr="00016DFE">
        <w:rPr>
          <w:rFonts w:ascii="Times New Roman" w:eastAsia="Times New Roman" w:hAnsi="Times New Roman" w:cs="Times New Roman"/>
          <w:i/>
          <w:iCs/>
          <w:kern w:val="0"/>
          <w:lang w:eastAsia="en-ZW"/>
          <w14:ligatures w14:val="none"/>
        </w:rPr>
        <w:t>in limine</w:t>
      </w:r>
      <w:r w:rsidRPr="00016DFE">
        <w:rPr>
          <w:rFonts w:ascii="Times New Roman" w:eastAsia="Times New Roman" w:hAnsi="Times New Roman" w:cs="Times New Roman"/>
          <w:kern w:val="0"/>
          <w:lang w:eastAsia="en-ZW"/>
          <w14:ligatures w14:val="none"/>
        </w:rPr>
        <w:t xml:space="preserve"> challenging the procedural validity of the application.</w:t>
      </w:r>
    </w:p>
    <w:p w14:paraId="13BA0346" w14:textId="55B1A484" w:rsidR="00016DFE" w:rsidRPr="00016DFE" w:rsidRDefault="00016DFE" w:rsidP="00394AF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At the commencement of proceedings, the Respondent indicated that it would argue the preliminary objections first, and that should the Court uphold them, the matter ought not to proceed to the merits.</w:t>
      </w:r>
    </w:p>
    <w:p w14:paraId="7624113B" w14:textId="61626BDE" w:rsidR="00016DFE" w:rsidRPr="00016DFE" w:rsidRDefault="00E448D7" w:rsidP="00394AF8">
      <w:pPr>
        <w:spacing w:after="0" w:line="360" w:lineRule="auto"/>
        <w:ind w:firstLine="720"/>
        <w:jc w:val="both"/>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 xml:space="preserve">It is from that thesis </w:t>
      </w:r>
      <w:r w:rsidR="00394AF8">
        <w:rPr>
          <w:rFonts w:ascii="Times New Roman" w:eastAsia="Times New Roman" w:hAnsi="Times New Roman" w:cs="Times New Roman"/>
          <w:kern w:val="0"/>
          <w:lang w:eastAsia="en-ZW"/>
          <w14:ligatures w14:val="none"/>
        </w:rPr>
        <w:t xml:space="preserve">that this </w:t>
      </w:r>
      <w:r w:rsidR="00394AF8" w:rsidRPr="00016DFE">
        <w:rPr>
          <w:rFonts w:ascii="Times New Roman" w:eastAsia="Times New Roman" w:hAnsi="Times New Roman" w:cs="Times New Roman"/>
          <w:kern w:val="0"/>
          <w:lang w:eastAsia="en-ZW"/>
          <w14:ligatures w14:val="none"/>
        </w:rPr>
        <w:t>judgment</w:t>
      </w:r>
      <w:r w:rsidR="00016DFE" w:rsidRPr="00016DFE">
        <w:rPr>
          <w:rFonts w:ascii="Times New Roman" w:eastAsia="Times New Roman" w:hAnsi="Times New Roman" w:cs="Times New Roman"/>
          <w:kern w:val="0"/>
          <w:lang w:eastAsia="en-ZW"/>
          <w14:ligatures w14:val="none"/>
        </w:rPr>
        <w:t xml:space="preserve"> therefore concerns itself </w:t>
      </w:r>
      <w:r w:rsidR="00016DFE" w:rsidRPr="00394AF8">
        <w:rPr>
          <w:rFonts w:ascii="Times New Roman" w:eastAsia="Times New Roman" w:hAnsi="Times New Roman" w:cs="Times New Roman"/>
          <w:kern w:val="0"/>
          <w:lang w:eastAsia="en-ZW"/>
          <w14:ligatures w14:val="none"/>
        </w:rPr>
        <w:t>strictly and exclusively</w:t>
      </w:r>
      <w:r w:rsidR="00016DFE" w:rsidRPr="00016DFE">
        <w:rPr>
          <w:rFonts w:ascii="Times New Roman" w:eastAsia="Times New Roman" w:hAnsi="Times New Roman" w:cs="Times New Roman"/>
          <w:kern w:val="0"/>
          <w:lang w:eastAsia="en-ZW"/>
          <w14:ligatures w14:val="none"/>
        </w:rPr>
        <w:t xml:space="preserve"> with the points </w:t>
      </w:r>
      <w:r w:rsidR="00016DFE" w:rsidRPr="00016DFE">
        <w:rPr>
          <w:rFonts w:ascii="Times New Roman" w:eastAsia="Times New Roman" w:hAnsi="Times New Roman" w:cs="Times New Roman"/>
          <w:i/>
          <w:iCs/>
          <w:kern w:val="0"/>
          <w:lang w:eastAsia="en-ZW"/>
          <w14:ligatures w14:val="none"/>
        </w:rPr>
        <w:t>in limine</w:t>
      </w:r>
      <w:r w:rsidR="00016DFE" w:rsidRPr="00016DFE">
        <w:rPr>
          <w:rFonts w:ascii="Times New Roman" w:eastAsia="Times New Roman" w:hAnsi="Times New Roman" w:cs="Times New Roman"/>
          <w:kern w:val="0"/>
          <w:lang w:eastAsia="en-ZW"/>
          <w14:ligatures w14:val="none"/>
        </w:rPr>
        <w:t xml:space="preserve"> raised by the Respondent. The merits of the dispute are not considered.</w:t>
      </w:r>
    </w:p>
    <w:p w14:paraId="60B5EBAF" w14:textId="77777777" w:rsidR="00016DFE" w:rsidRPr="00016DFE" w:rsidRDefault="00016DFE" w:rsidP="00016DFE">
      <w:pPr>
        <w:spacing w:before="100" w:beforeAutospacing="1" w:after="100" w:afterAutospacing="1" w:line="360" w:lineRule="auto"/>
        <w:jc w:val="both"/>
        <w:outlineLvl w:val="1"/>
        <w:rPr>
          <w:rFonts w:ascii="Times New Roman" w:eastAsia="Times New Roman" w:hAnsi="Times New Roman" w:cs="Times New Roman"/>
          <w:b/>
          <w:bCs/>
          <w:kern w:val="0"/>
          <w:lang w:eastAsia="en-ZW"/>
          <w14:ligatures w14:val="none"/>
        </w:rPr>
      </w:pPr>
      <w:r w:rsidRPr="00016DFE">
        <w:rPr>
          <w:rFonts w:ascii="Times New Roman" w:eastAsia="Times New Roman" w:hAnsi="Times New Roman" w:cs="Times New Roman"/>
          <w:b/>
          <w:bCs/>
          <w:kern w:val="0"/>
          <w:lang w:eastAsia="en-ZW"/>
          <w14:ligatures w14:val="none"/>
        </w:rPr>
        <w:t>BACKGROUND</w:t>
      </w:r>
    </w:p>
    <w:p w14:paraId="3E1F7E1A" w14:textId="77777777" w:rsidR="00016DFE" w:rsidRPr="00016DFE" w:rsidRDefault="00016DFE" w:rsidP="00394AF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Applicant instituted these proceedings under the purported provisions of Rule 59 of the High Court Rules governing urgent chamber applications. The application was accompanied by what was described as a Founding Affidavit and annexures.</w:t>
      </w:r>
    </w:p>
    <w:p w14:paraId="59358A01" w14:textId="77777777" w:rsidR="00016DFE" w:rsidRPr="00016DFE" w:rsidRDefault="00016DFE" w:rsidP="00394AF8">
      <w:pPr>
        <w:spacing w:after="100" w:afterAutospacing="1"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Respondent filed a Notice of Opposition and Opposing Affidavit and subsequently Heads of Argument in which three preliminary objections were raised, namely:</w:t>
      </w:r>
    </w:p>
    <w:p w14:paraId="75FC2B0A" w14:textId="77777777" w:rsidR="00016DFE" w:rsidRPr="00016DFE" w:rsidRDefault="00016DFE" w:rsidP="00016DFE">
      <w:pPr>
        <w:numPr>
          <w:ilvl w:val="0"/>
          <w:numId w:val="1"/>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lastRenderedPageBreak/>
        <w:t>That the application is fatally defective for want of compliance with the prescribed form under Rule 59.</w:t>
      </w:r>
    </w:p>
    <w:p w14:paraId="660C274D" w14:textId="77777777" w:rsidR="00016DFE" w:rsidRPr="00016DFE" w:rsidRDefault="00016DFE" w:rsidP="00016DFE">
      <w:pPr>
        <w:numPr>
          <w:ilvl w:val="0"/>
          <w:numId w:val="1"/>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That there is no valid founding affidavit before the Court.</w:t>
      </w:r>
    </w:p>
    <w:p w14:paraId="7B4C9ACC" w14:textId="77777777" w:rsidR="00016DFE" w:rsidRPr="00016DFE" w:rsidRDefault="00016DFE" w:rsidP="00016DFE">
      <w:pPr>
        <w:numPr>
          <w:ilvl w:val="0"/>
          <w:numId w:val="1"/>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That the procedural defects render the application a nullity incapable of condonation.</w:t>
      </w:r>
    </w:p>
    <w:p w14:paraId="33926CD8" w14:textId="7BF86CF0" w:rsidR="00016DFE" w:rsidRPr="00016DFE" w:rsidRDefault="00016DFE" w:rsidP="00394AF8">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Respondent submitted that the defects are fatal and incurable, and that the matter must be struck off the roll with costs.</w:t>
      </w:r>
    </w:p>
    <w:p w14:paraId="5A5E0554" w14:textId="0478339E" w:rsidR="00016DFE" w:rsidRPr="00394AF8" w:rsidRDefault="00016DFE" w:rsidP="00394AF8">
      <w:pPr>
        <w:spacing w:before="100" w:beforeAutospacing="1" w:after="100" w:afterAutospacing="1" w:line="360" w:lineRule="auto"/>
        <w:jc w:val="both"/>
        <w:outlineLvl w:val="0"/>
        <w:rPr>
          <w:rFonts w:ascii="Times New Roman" w:eastAsia="Times New Roman" w:hAnsi="Times New Roman" w:cs="Times New Roman"/>
          <w:b/>
          <w:bCs/>
          <w:i/>
          <w:iCs/>
          <w:kern w:val="36"/>
          <w:lang w:eastAsia="en-ZW"/>
          <w14:ligatures w14:val="none"/>
        </w:rPr>
      </w:pPr>
      <w:r w:rsidRPr="00016DFE">
        <w:rPr>
          <w:rFonts w:ascii="Times New Roman" w:eastAsia="Times New Roman" w:hAnsi="Times New Roman" w:cs="Times New Roman"/>
          <w:b/>
          <w:bCs/>
          <w:kern w:val="36"/>
          <w:lang w:eastAsia="en-ZW"/>
          <w14:ligatures w14:val="none"/>
        </w:rPr>
        <w:t xml:space="preserve">POINTS </w:t>
      </w:r>
      <w:r w:rsidRPr="00394AF8">
        <w:rPr>
          <w:rFonts w:ascii="Times New Roman" w:eastAsia="Times New Roman" w:hAnsi="Times New Roman" w:cs="Times New Roman"/>
          <w:b/>
          <w:bCs/>
          <w:i/>
          <w:iCs/>
          <w:kern w:val="36"/>
          <w:lang w:eastAsia="en-ZW"/>
          <w14:ligatures w14:val="none"/>
        </w:rPr>
        <w:t>IN LIMINE</w:t>
      </w:r>
    </w:p>
    <w:p w14:paraId="63FF5D00" w14:textId="77777777" w:rsidR="00016DFE" w:rsidRPr="00016DFE" w:rsidRDefault="00016DFE" w:rsidP="00016DFE">
      <w:pPr>
        <w:spacing w:before="100" w:beforeAutospacing="1" w:after="100" w:afterAutospacing="1" w:line="360" w:lineRule="auto"/>
        <w:jc w:val="both"/>
        <w:outlineLvl w:val="1"/>
        <w:rPr>
          <w:rFonts w:ascii="Times New Roman" w:eastAsia="Times New Roman" w:hAnsi="Times New Roman" w:cs="Times New Roman"/>
          <w:b/>
          <w:bCs/>
          <w:kern w:val="0"/>
          <w:lang w:eastAsia="en-ZW"/>
          <w14:ligatures w14:val="none"/>
        </w:rPr>
      </w:pPr>
      <w:r w:rsidRPr="00016DFE">
        <w:rPr>
          <w:rFonts w:ascii="Times New Roman" w:eastAsia="Times New Roman" w:hAnsi="Times New Roman" w:cs="Times New Roman"/>
          <w:b/>
          <w:bCs/>
          <w:kern w:val="0"/>
          <w:lang w:eastAsia="en-ZW"/>
          <w14:ligatures w14:val="none"/>
        </w:rPr>
        <w:t>1. DEFECTIVE FORM OF APPLICATION</w:t>
      </w:r>
    </w:p>
    <w:p w14:paraId="569FC202" w14:textId="77777777" w:rsidR="00016DFE" w:rsidRPr="00016DFE" w:rsidRDefault="00016DFE" w:rsidP="00016DFE">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Respondent submits that the application does not comply with Rule 59(1) of the High Court Rules, which provides:</w:t>
      </w:r>
    </w:p>
    <w:p w14:paraId="49E2ADFA" w14:textId="77777777" w:rsidR="00016DFE" w:rsidRPr="00394AF8" w:rsidRDefault="00016DFE" w:rsidP="00394AF8">
      <w:pPr>
        <w:spacing w:before="100" w:beforeAutospacing="1" w:after="100" w:afterAutospacing="1" w:line="240" w:lineRule="auto"/>
        <w:ind w:left="720"/>
        <w:jc w:val="both"/>
        <w:rPr>
          <w:rFonts w:ascii="Times New Roman" w:eastAsia="Times New Roman" w:hAnsi="Times New Roman" w:cs="Times New Roman"/>
          <w:kern w:val="0"/>
          <w:sz w:val="22"/>
          <w:szCs w:val="22"/>
          <w:lang w:eastAsia="en-ZW"/>
          <w14:ligatures w14:val="none"/>
        </w:rPr>
      </w:pPr>
      <w:r w:rsidRPr="00394AF8">
        <w:rPr>
          <w:rFonts w:ascii="Times New Roman" w:eastAsia="Times New Roman" w:hAnsi="Times New Roman" w:cs="Times New Roman"/>
          <w:kern w:val="0"/>
          <w:sz w:val="22"/>
          <w:szCs w:val="22"/>
          <w:lang w:eastAsia="en-ZW"/>
          <w14:ligatures w14:val="none"/>
        </w:rPr>
        <w:t>“A court application shall be in Form No. 23 and shall be supported by one or more affidavits setting out the facts upon which the applicant relies…”</w:t>
      </w:r>
    </w:p>
    <w:p w14:paraId="18393533" w14:textId="77777777" w:rsidR="00016DFE" w:rsidRPr="00016DFE" w:rsidRDefault="00016DFE" w:rsidP="00394AF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An examination of Form No. 23 shows that it is not a mere technical template but a document containing essential procedural safeguards. It specifically informs the respondent:</w:t>
      </w:r>
    </w:p>
    <w:p w14:paraId="65BAB626" w14:textId="77777777" w:rsidR="00016DFE" w:rsidRPr="00016DFE" w:rsidRDefault="00016DFE" w:rsidP="00394AF8">
      <w:pPr>
        <w:numPr>
          <w:ilvl w:val="0"/>
          <w:numId w:val="2"/>
        </w:numPr>
        <w:spacing w:after="0"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where to file the Notice of Opposition;</w:t>
      </w:r>
    </w:p>
    <w:p w14:paraId="46EABABA" w14:textId="77777777" w:rsidR="00016DFE" w:rsidRPr="00016DFE" w:rsidRDefault="00016DFE" w:rsidP="00016DFE">
      <w:pPr>
        <w:numPr>
          <w:ilvl w:val="0"/>
          <w:numId w:val="2"/>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at which seat of the High Court;</w:t>
      </w:r>
    </w:p>
    <w:p w14:paraId="360A5321" w14:textId="77777777" w:rsidR="00016DFE" w:rsidRPr="00016DFE" w:rsidRDefault="00016DFE" w:rsidP="00394AF8">
      <w:pPr>
        <w:numPr>
          <w:ilvl w:val="0"/>
          <w:numId w:val="2"/>
        </w:numPr>
        <w:spacing w:after="0"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within what time frame.</w:t>
      </w:r>
    </w:p>
    <w:p w14:paraId="4523DF7F" w14:textId="77777777" w:rsidR="00016DFE" w:rsidRPr="00016DFE" w:rsidRDefault="00016DFE" w:rsidP="00394AF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Applicant’s process fails to indicate at which seat of the High Court the Notice of Opposition was to be filed.</w:t>
      </w:r>
    </w:p>
    <w:p w14:paraId="0C41E20F" w14:textId="77777777" w:rsidR="00016DFE" w:rsidRPr="00016DFE" w:rsidRDefault="00016DFE" w:rsidP="00394AF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This omission is not cosmetic. It goes to the procedural rights of the Respondent.</w:t>
      </w:r>
    </w:p>
    <w:p w14:paraId="568A0189" w14:textId="77777777" w:rsidR="00016DFE" w:rsidRPr="00016DFE" w:rsidRDefault="00016DFE" w:rsidP="00394AF8">
      <w:pPr>
        <w:spacing w:after="0"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principle governing defective notices of motion is well established.</w:t>
      </w:r>
    </w:p>
    <w:p w14:paraId="0769C56E" w14:textId="77777777" w:rsidR="00016DFE" w:rsidRPr="00016DFE" w:rsidRDefault="00016DFE" w:rsidP="00394AF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 xml:space="preserve">In </w:t>
      </w:r>
      <w:r w:rsidRPr="00394AF8">
        <w:rPr>
          <w:rFonts w:ascii="Times New Roman" w:eastAsia="Times New Roman" w:hAnsi="Times New Roman" w:cs="Times New Roman"/>
          <w:i/>
          <w:iCs/>
          <w:kern w:val="0"/>
          <w:lang w:eastAsia="en-ZW"/>
          <w14:ligatures w14:val="none"/>
        </w:rPr>
        <w:t>Marick Trading (Pvt) Ltd</w:t>
      </w:r>
      <w:r w:rsidRPr="00394AF8">
        <w:rPr>
          <w:rFonts w:ascii="Times New Roman" w:eastAsia="Times New Roman" w:hAnsi="Times New Roman" w:cs="Times New Roman"/>
          <w:kern w:val="0"/>
          <w:lang w:eastAsia="en-ZW"/>
          <w14:ligatures w14:val="none"/>
        </w:rPr>
        <w:t xml:space="preserve"> v </w:t>
      </w:r>
      <w:r w:rsidRPr="00394AF8">
        <w:rPr>
          <w:rFonts w:ascii="Times New Roman" w:eastAsia="Times New Roman" w:hAnsi="Times New Roman" w:cs="Times New Roman"/>
          <w:i/>
          <w:iCs/>
          <w:kern w:val="0"/>
          <w:lang w:eastAsia="en-ZW"/>
          <w14:ligatures w14:val="none"/>
        </w:rPr>
        <w:t>Old Mutual Life Assurance Company and Another</w:t>
      </w:r>
      <w:r w:rsidRPr="00394AF8">
        <w:rPr>
          <w:rFonts w:ascii="Times New Roman" w:eastAsia="Times New Roman" w:hAnsi="Times New Roman" w:cs="Times New Roman"/>
          <w:kern w:val="0"/>
          <w:lang w:eastAsia="en-ZW"/>
          <w14:ligatures w14:val="none"/>
        </w:rPr>
        <w:t xml:space="preserve"> HH 667/15, the Court emphasized that litigants must comply strictly with the Rules of Court and</w:t>
      </w:r>
      <w:r w:rsidRPr="00016DFE">
        <w:rPr>
          <w:rFonts w:ascii="Times New Roman" w:eastAsia="Times New Roman" w:hAnsi="Times New Roman" w:cs="Times New Roman"/>
          <w:kern w:val="0"/>
          <w:lang w:eastAsia="en-ZW"/>
          <w14:ligatures w14:val="none"/>
        </w:rPr>
        <w:t xml:space="preserve"> that failure to do so impedes proper adjudication.</w:t>
      </w:r>
    </w:p>
    <w:p w14:paraId="7FC7CC92" w14:textId="77777777" w:rsidR="00016DFE" w:rsidRPr="00016DFE" w:rsidRDefault="00016DFE" w:rsidP="00394AF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 xml:space="preserve">The position is even more emphatically stated in </w:t>
      </w:r>
      <w:r w:rsidRPr="00394AF8">
        <w:rPr>
          <w:rFonts w:ascii="Times New Roman" w:eastAsia="Times New Roman" w:hAnsi="Times New Roman" w:cs="Times New Roman"/>
          <w:i/>
          <w:iCs/>
          <w:kern w:val="0"/>
          <w:lang w:eastAsia="en-ZW"/>
          <w14:ligatures w14:val="none"/>
        </w:rPr>
        <w:t>Simross Vintners (Pty) Ltd</w:t>
      </w:r>
      <w:r w:rsidRPr="00394AF8">
        <w:rPr>
          <w:rFonts w:ascii="Times New Roman" w:eastAsia="Times New Roman" w:hAnsi="Times New Roman" w:cs="Times New Roman"/>
          <w:kern w:val="0"/>
          <w:lang w:eastAsia="en-ZW"/>
          <w14:ligatures w14:val="none"/>
        </w:rPr>
        <w:t xml:space="preserve"> v </w:t>
      </w:r>
      <w:r w:rsidRPr="00394AF8">
        <w:rPr>
          <w:rFonts w:ascii="Times New Roman" w:eastAsia="Times New Roman" w:hAnsi="Times New Roman" w:cs="Times New Roman"/>
          <w:i/>
          <w:iCs/>
          <w:kern w:val="0"/>
          <w:lang w:eastAsia="en-ZW"/>
          <w14:ligatures w14:val="none"/>
        </w:rPr>
        <w:t>Vermeulen</w:t>
      </w:r>
      <w:r w:rsidRPr="00394AF8">
        <w:rPr>
          <w:rFonts w:ascii="Times New Roman" w:eastAsia="Times New Roman" w:hAnsi="Times New Roman" w:cs="Times New Roman"/>
          <w:kern w:val="0"/>
          <w:lang w:eastAsia="en-ZW"/>
          <w14:ligatures w14:val="none"/>
        </w:rPr>
        <w:t xml:space="preserve">; </w:t>
      </w:r>
      <w:r w:rsidRPr="00394AF8">
        <w:rPr>
          <w:rFonts w:ascii="Times New Roman" w:eastAsia="Times New Roman" w:hAnsi="Times New Roman" w:cs="Times New Roman"/>
          <w:i/>
          <w:iCs/>
          <w:kern w:val="0"/>
          <w:lang w:eastAsia="en-ZW"/>
          <w14:ligatures w14:val="none"/>
        </w:rPr>
        <w:t>VRG Africa (Pty) Ltd</w:t>
      </w:r>
      <w:r w:rsidRPr="00394AF8">
        <w:rPr>
          <w:rFonts w:ascii="Times New Roman" w:eastAsia="Times New Roman" w:hAnsi="Times New Roman" w:cs="Times New Roman"/>
          <w:kern w:val="0"/>
          <w:lang w:eastAsia="en-ZW"/>
          <w14:ligatures w14:val="none"/>
        </w:rPr>
        <w:t xml:space="preserve"> v </w:t>
      </w:r>
      <w:r w:rsidRPr="00394AF8">
        <w:rPr>
          <w:rFonts w:ascii="Times New Roman" w:eastAsia="Times New Roman" w:hAnsi="Times New Roman" w:cs="Times New Roman"/>
          <w:i/>
          <w:iCs/>
          <w:kern w:val="0"/>
          <w:lang w:eastAsia="en-ZW"/>
          <w14:ligatures w14:val="none"/>
        </w:rPr>
        <w:t>Walters t/a Trend Litho; Consolidated Credit</w:t>
      </w:r>
      <w:r w:rsidRPr="00394AF8">
        <w:rPr>
          <w:rFonts w:ascii="Times New Roman" w:eastAsia="Times New Roman" w:hAnsi="Times New Roman" w:cs="Times New Roman"/>
          <w:kern w:val="0"/>
          <w:lang w:eastAsia="en-ZW"/>
          <w14:ligatures w14:val="none"/>
        </w:rPr>
        <w:t xml:space="preserve"> </w:t>
      </w:r>
      <w:r w:rsidRPr="00394AF8">
        <w:rPr>
          <w:rFonts w:ascii="Times New Roman" w:eastAsia="Times New Roman" w:hAnsi="Times New Roman" w:cs="Times New Roman"/>
          <w:i/>
          <w:iCs/>
          <w:kern w:val="0"/>
          <w:lang w:eastAsia="en-ZW"/>
          <w14:ligatures w14:val="none"/>
        </w:rPr>
        <w:t>Corporation (Pty) Ltd</w:t>
      </w:r>
      <w:r w:rsidRPr="00394AF8">
        <w:rPr>
          <w:rFonts w:ascii="Times New Roman" w:eastAsia="Times New Roman" w:hAnsi="Times New Roman" w:cs="Times New Roman"/>
          <w:kern w:val="0"/>
          <w:lang w:eastAsia="en-ZW"/>
          <w14:ligatures w14:val="none"/>
        </w:rPr>
        <w:t xml:space="preserve"> v </w:t>
      </w:r>
      <w:r w:rsidRPr="00394AF8">
        <w:rPr>
          <w:rFonts w:ascii="Times New Roman" w:eastAsia="Times New Roman" w:hAnsi="Times New Roman" w:cs="Times New Roman"/>
          <w:i/>
          <w:iCs/>
          <w:kern w:val="0"/>
          <w:lang w:eastAsia="en-ZW"/>
          <w14:ligatures w14:val="none"/>
        </w:rPr>
        <w:t>Van der Westhuizen 1978 (1) SA 779</w:t>
      </w:r>
      <w:r w:rsidRPr="00394AF8">
        <w:rPr>
          <w:rFonts w:ascii="Times New Roman" w:eastAsia="Times New Roman" w:hAnsi="Times New Roman" w:cs="Times New Roman"/>
          <w:kern w:val="0"/>
          <w:lang w:eastAsia="en-ZW"/>
          <w14:ligatures w14:val="none"/>
        </w:rPr>
        <w:t>, where it was held that the use</w:t>
      </w:r>
      <w:r w:rsidRPr="00016DFE">
        <w:rPr>
          <w:rFonts w:ascii="Times New Roman" w:eastAsia="Times New Roman" w:hAnsi="Times New Roman" w:cs="Times New Roman"/>
          <w:kern w:val="0"/>
          <w:lang w:eastAsia="en-ZW"/>
          <w14:ligatures w14:val="none"/>
        </w:rPr>
        <w:t xml:space="preserve"> of an incorrect notice of motion in non–ex parte proceedings rendered the application a </w:t>
      </w:r>
      <w:r w:rsidRPr="00016DFE">
        <w:rPr>
          <w:rFonts w:ascii="Times New Roman" w:eastAsia="Times New Roman" w:hAnsi="Times New Roman" w:cs="Times New Roman"/>
          <w:kern w:val="0"/>
          <w:lang w:eastAsia="en-ZW"/>
          <w14:ligatures w14:val="none"/>
        </w:rPr>
        <w:lastRenderedPageBreak/>
        <w:t>nullity and incapable of condonation. The Court stated that a nullity carries within it “all the elements of irreparability”.</w:t>
      </w:r>
    </w:p>
    <w:p w14:paraId="2F000569" w14:textId="77777777" w:rsidR="00016DFE" w:rsidRPr="00016DFE" w:rsidRDefault="00016DFE" w:rsidP="00394AF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reasoning is compelling. Where a process abrogates or obscures the procedural rights of a respondent, the Court cannot repair the defect retrospectively.</w:t>
      </w:r>
    </w:p>
    <w:p w14:paraId="2EDC571A" w14:textId="77777777" w:rsidR="00016DFE" w:rsidRPr="00016DFE" w:rsidRDefault="00016DFE" w:rsidP="00394AF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 xml:space="preserve">Similarly, in </w:t>
      </w:r>
      <w:r w:rsidRPr="00394AF8">
        <w:rPr>
          <w:rFonts w:ascii="Times New Roman" w:eastAsia="Times New Roman" w:hAnsi="Times New Roman" w:cs="Times New Roman"/>
          <w:i/>
          <w:iCs/>
          <w:kern w:val="0"/>
          <w:lang w:eastAsia="en-ZW"/>
          <w14:ligatures w14:val="none"/>
        </w:rPr>
        <w:t>Hattingh</w:t>
      </w:r>
      <w:r w:rsidRPr="00394AF8">
        <w:rPr>
          <w:rFonts w:ascii="Times New Roman" w:eastAsia="Times New Roman" w:hAnsi="Times New Roman" w:cs="Times New Roman"/>
          <w:kern w:val="0"/>
          <w:lang w:eastAsia="en-ZW"/>
          <w14:ligatures w14:val="none"/>
        </w:rPr>
        <w:t xml:space="preserve"> v </w:t>
      </w:r>
      <w:r w:rsidRPr="00394AF8">
        <w:rPr>
          <w:rFonts w:ascii="Times New Roman" w:eastAsia="Times New Roman" w:hAnsi="Times New Roman" w:cs="Times New Roman"/>
          <w:i/>
          <w:iCs/>
          <w:kern w:val="0"/>
          <w:lang w:eastAsia="en-ZW"/>
          <w14:ligatures w14:val="none"/>
        </w:rPr>
        <w:t>Pienaar 1977</w:t>
      </w:r>
      <w:r w:rsidRPr="00394AF8">
        <w:rPr>
          <w:rFonts w:ascii="Times New Roman" w:eastAsia="Times New Roman" w:hAnsi="Times New Roman" w:cs="Times New Roman"/>
          <w:kern w:val="0"/>
          <w:lang w:eastAsia="en-ZW"/>
          <w14:ligatures w14:val="none"/>
        </w:rPr>
        <w:t xml:space="preserve"> (2) SA 182 (O) it</w:t>
      </w:r>
      <w:r w:rsidRPr="00016DFE">
        <w:rPr>
          <w:rFonts w:ascii="Times New Roman" w:eastAsia="Times New Roman" w:hAnsi="Times New Roman" w:cs="Times New Roman"/>
          <w:kern w:val="0"/>
          <w:lang w:eastAsia="en-ZW"/>
          <w14:ligatures w14:val="none"/>
        </w:rPr>
        <w:t xml:space="preserve"> was held that fatally defective compliance with procedural rules cannot be condoned.</w:t>
      </w:r>
    </w:p>
    <w:p w14:paraId="56063EA3" w14:textId="77777777" w:rsidR="00016DFE" w:rsidRPr="00394AF8" w:rsidRDefault="00016DFE" w:rsidP="00394AF8">
      <w:pPr>
        <w:spacing w:before="100" w:beforeAutospacing="1" w:after="100" w:afterAutospacing="1"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 xml:space="preserve">The Zimbabwean position was clearly articulated in </w:t>
      </w:r>
      <w:r w:rsidRPr="00394AF8">
        <w:rPr>
          <w:rFonts w:ascii="Times New Roman" w:eastAsia="Times New Roman" w:hAnsi="Times New Roman" w:cs="Times New Roman"/>
          <w:i/>
          <w:iCs/>
          <w:kern w:val="0"/>
          <w:lang w:eastAsia="en-ZW"/>
          <w14:ligatures w14:val="none"/>
        </w:rPr>
        <w:t xml:space="preserve">Jensen </w:t>
      </w:r>
      <w:r w:rsidRPr="00394AF8">
        <w:rPr>
          <w:rFonts w:ascii="Times New Roman" w:eastAsia="Times New Roman" w:hAnsi="Times New Roman" w:cs="Times New Roman"/>
          <w:kern w:val="0"/>
          <w:lang w:eastAsia="en-ZW"/>
          <w14:ligatures w14:val="none"/>
        </w:rPr>
        <w:t xml:space="preserve">v </w:t>
      </w:r>
      <w:r w:rsidRPr="00394AF8">
        <w:rPr>
          <w:rFonts w:ascii="Times New Roman" w:eastAsia="Times New Roman" w:hAnsi="Times New Roman" w:cs="Times New Roman"/>
          <w:i/>
          <w:iCs/>
          <w:kern w:val="0"/>
          <w:lang w:eastAsia="en-ZW"/>
          <w14:ligatures w14:val="none"/>
        </w:rPr>
        <w:t>Acavalos</w:t>
      </w:r>
      <w:r w:rsidRPr="00394AF8">
        <w:rPr>
          <w:rFonts w:ascii="Times New Roman" w:eastAsia="Times New Roman" w:hAnsi="Times New Roman" w:cs="Times New Roman"/>
          <w:kern w:val="0"/>
          <w:lang w:eastAsia="en-ZW"/>
          <w14:ligatures w14:val="none"/>
        </w:rPr>
        <w:t xml:space="preserve"> 1993 (1) ZLR 216 (S) at 220A–D where the Supreme Court held:</w:t>
      </w:r>
    </w:p>
    <w:p w14:paraId="489DC3EA" w14:textId="77777777" w:rsidR="00016DFE" w:rsidRPr="00394AF8" w:rsidRDefault="00016DFE" w:rsidP="00394AF8">
      <w:pPr>
        <w:spacing w:before="100" w:beforeAutospacing="1" w:after="100" w:afterAutospacing="1" w:line="240" w:lineRule="auto"/>
        <w:ind w:left="720"/>
        <w:jc w:val="both"/>
        <w:rPr>
          <w:rFonts w:ascii="Times New Roman" w:eastAsia="Times New Roman" w:hAnsi="Times New Roman" w:cs="Times New Roman"/>
          <w:kern w:val="0"/>
          <w:sz w:val="22"/>
          <w:szCs w:val="22"/>
          <w:lang w:eastAsia="en-ZW"/>
          <w14:ligatures w14:val="none"/>
        </w:rPr>
      </w:pPr>
      <w:r w:rsidRPr="00394AF8">
        <w:rPr>
          <w:rFonts w:ascii="Times New Roman" w:eastAsia="Times New Roman" w:hAnsi="Times New Roman" w:cs="Times New Roman"/>
          <w:kern w:val="0"/>
          <w:sz w:val="22"/>
          <w:szCs w:val="22"/>
          <w:lang w:eastAsia="en-ZW"/>
          <w14:ligatures w14:val="none"/>
        </w:rPr>
        <w:t>“A notice of appeal which does not comply with the rules is fatally defective and invalid. That is to say, it is a nullity… and unless the court is prepared to grant condonation… the appeal must be struck off the roll.”</w:t>
      </w:r>
    </w:p>
    <w:p w14:paraId="6771B389" w14:textId="77777777" w:rsidR="00016DFE" w:rsidRPr="00016DFE" w:rsidRDefault="00016DFE" w:rsidP="00394AF8">
      <w:pPr>
        <w:spacing w:after="0"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This Court is bound by that authority.</w:t>
      </w:r>
    </w:p>
    <w:p w14:paraId="10016C35" w14:textId="77777777" w:rsidR="00016DFE" w:rsidRPr="00016DFE" w:rsidRDefault="00016DFE" w:rsidP="00394AF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In the present matter, the omission to specify the seat of filing in an urgent application undermines the procedural clarity required by the Rules. It renders the application non-compliant with Form 23.</w:t>
      </w:r>
    </w:p>
    <w:p w14:paraId="21A0F423" w14:textId="77777777" w:rsidR="00016DFE" w:rsidRPr="00016DFE" w:rsidRDefault="00016DFE" w:rsidP="00016DFE">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I am satisfied that this defect is fatal.</w:t>
      </w:r>
    </w:p>
    <w:p w14:paraId="66D13061" w14:textId="77777777" w:rsidR="00016DFE" w:rsidRPr="00016DFE" w:rsidRDefault="00016DFE" w:rsidP="00016DFE">
      <w:pPr>
        <w:spacing w:before="100" w:beforeAutospacing="1" w:after="100" w:afterAutospacing="1" w:line="360" w:lineRule="auto"/>
        <w:jc w:val="both"/>
        <w:outlineLvl w:val="1"/>
        <w:rPr>
          <w:rFonts w:ascii="Times New Roman" w:eastAsia="Times New Roman" w:hAnsi="Times New Roman" w:cs="Times New Roman"/>
          <w:b/>
          <w:bCs/>
          <w:kern w:val="0"/>
          <w:lang w:eastAsia="en-ZW"/>
          <w14:ligatures w14:val="none"/>
        </w:rPr>
      </w:pPr>
      <w:r w:rsidRPr="00016DFE">
        <w:rPr>
          <w:rFonts w:ascii="Times New Roman" w:eastAsia="Times New Roman" w:hAnsi="Times New Roman" w:cs="Times New Roman"/>
          <w:b/>
          <w:bCs/>
          <w:kern w:val="0"/>
          <w:lang w:eastAsia="en-ZW"/>
          <w14:ligatures w14:val="none"/>
        </w:rPr>
        <w:t>2. ABSENCE OF A VALID FOUNDING AFFIDAVIT</w:t>
      </w:r>
    </w:p>
    <w:p w14:paraId="0239DBC6" w14:textId="77777777" w:rsidR="00016DFE" w:rsidRPr="00016DFE" w:rsidRDefault="00016DFE" w:rsidP="00016DFE">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second and more fundamental objection relates to the founding affidavit.</w:t>
      </w:r>
    </w:p>
    <w:p w14:paraId="00B0E8F1" w14:textId="77777777" w:rsidR="00016DFE" w:rsidRPr="00016DFE" w:rsidRDefault="00016DFE" w:rsidP="00016DFE">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document purporting to be an affidavit merely states:</w:t>
      </w:r>
    </w:p>
    <w:p w14:paraId="1DE506E6" w14:textId="77777777" w:rsidR="00016DFE" w:rsidRPr="00016DFE" w:rsidRDefault="00016DFE" w:rsidP="00016DFE">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“DATED AT HARARE THIS 16TH DAY OF JANUARY 2026”</w:t>
      </w:r>
    </w:p>
    <w:p w14:paraId="76466981" w14:textId="77777777" w:rsidR="00016DFE" w:rsidRPr="00016DFE" w:rsidRDefault="00016DFE" w:rsidP="00016DFE">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There is no attestation clause indicating that the document was sworn to or affirmed before a Commissioner of Oaths.</w:t>
      </w:r>
    </w:p>
    <w:p w14:paraId="064A839F" w14:textId="77777777" w:rsidR="00016DFE" w:rsidRPr="00016DFE" w:rsidRDefault="00016DFE" w:rsidP="00016DFE">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law on what constitutes a valid affidavit is settled.</w:t>
      </w:r>
    </w:p>
    <w:p w14:paraId="73A82F78" w14:textId="77777777" w:rsidR="00016DFE" w:rsidRPr="00394AF8" w:rsidRDefault="00016DFE" w:rsidP="00016DFE">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 xml:space="preserve">In </w:t>
      </w:r>
      <w:r w:rsidRPr="00394AF8">
        <w:rPr>
          <w:rFonts w:ascii="Times New Roman" w:eastAsia="Times New Roman" w:hAnsi="Times New Roman" w:cs="Times New Roman"/>
          <w:i/>
          <w:iCs/>
          <w:kern w:val="0"/>
          <w:lang w:eastAsia="en-ZW"/>
          <w14:ligatures w14:val="none"/>
        </w:rPr>
        <w:t>Prosecutor General</w:t>
      </w:r>
      <w:r w:rsidRPr="00394AF8">
        <w:rPr>
          <w:rFonts w:ascii="Times New Roman" w:eastAsia="Times New Roman" w:hAnsi="Times New Roman" w:cs="Times New Roman"/>
          <w:kern w:val="0"/>
          <w:lang w:eastAsia="en-ZW"/>
          <w14:ligatures w14:val="none"/>
        </w:rPr>
        <w:t xml:space="preserve"> v </w:t>
      </w:r>
      <w:r w:rsidRPr="00394AF8">
        <w:rPr>
          <w:rFonts w:ascii="Times New Roman" w:eastAsia="Times New Roman" w:hAnsi="Times New Roman" w:cs="Times New Roman"/>
          <w:i/>
          <w:iCs/>
          <w:kern w:val="0"/>
          <w:lang w:eastAsia="en-ZW"/>
          <w14:ligatures w14:val="none"/>
        </w:rPr>
        <w:t>Makarichi and Two Others</w:t>
      </w:r>
      <w:r w:rsidRPr="00394AF8">
        <w:rPr>
          <w:rFonts w:ascii="Times New Roman" w:eastAsia="Times New Roman" w:hAnsi="Times New Roman" w:cs="Times New Roman"/>
          <w:kern w:val="0"/>
          <w:lang w:eastAsia="en-ZW"/>
          <w14:ligatures w14:val="none"/>
        </w:rPr>
        <w:t xml:space="preserve"> HH 502/23, the Court defined an affidavit as:</w:t>
      </w:r>
    </w:p>
    <w:p w14:paraId="1631FE17" w14:textId="77777777" w:rsidR="00016DFE" w:rsidRPr="00016DFE" w:rsidRDefault="00016DFE" w:rsidP="00016DFE">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“a statement, in documentary form, sworn to before a commissioner of oaths…”</w:t>
      </w:r>
    </w:p>
    <w:p w14:paraId="16ED76A0" w14:textId="77777777" w:rsidR="00016DFE" w:rsidRPr="00016DFE" w:rsidRDefault="00016DFE" w:rsidP="00016DFE">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lastRenderedPageBreak/>
        <w:t>The Court emphasized that:</w:t>
      </w:r>
    </w:p>
    <w:p w14:paraId="2EEC896E" w14:textId="77777777" w:rsidR="00016DFE" w:rsidRPr="00016DFE" w:rsidRDefault="00016DFE" w:rsidP="00016DFE">
      <w:pPr>
        <w:numPr>
          <w:ilvl w:val="0"/>
          <w:numId w:val="3"/>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deponent must swear to the statement;</w:t>
      </w:r>
    </w:p>
    <w:p w14:paraId="4361085E" w14:textId="77777777" w:rsidR="00016DFE" w:rsidRPr="00016DFE" w:rsidRDefault="00016DFE" w:rsidP="00016DFE">
      <w:pPr>
        <w:numPr>
          <w:ilvl w:val="0"/>
          <w:numId w:val="3"/>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Commissioner must administer the oath;</w:t>
      </w:r>
    </w:p>
    <w:p w14:paraId="7C8ADBF5" w14:textId="77777777" w:rsidR="00016DFE" w:rsidRPr="00016DFE" w:rsidRDefault="00016DFE" w:rsidP="00016DFE">
      <w:pPr>
        <w:numPr>
          <w:ilvl w:val="0"/>
          <w:numId w:val="3"/>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affidavit must reflect that the oath was taken;</w:t>
      </w:r>
    </w:p>
    <w:p w14:paraId="76252FBA" w14:textId="77777777" w:rsidR="00016DFE" w:rsidRPr="00016DFE" w:rsidRDefault="00016DFE" w:rsidP="00016DFE">
      <w:pPr>
        <w:numPr>
          <w:ilvl w:val="0"/>
          <w:numId w:val="3"/>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Commissioner must be identified as such.</w:t>
      </w:r>
    </w:p>
    <w:p w14:paraId="0BA4D7CD" w14:textId="77777777" w:rsidR="00016DFE" w:rsidRPr="00673848" w:rsidRDefault="00016DFE" w:rsidP="0067384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 xml:space="preserve">The Supreme Court </w:t>
      </w:r>
      <w:r w:rsidRPr="00673848">
        <w:rPr>
          <w:rFonts w:ascii="Times New Roman" w:eastAsia="Times New Roman" w:hAnsi="Times New Roman" w:cs="Times New Roman"/>
          <w:kern w:val="0"/>
          <w:lang w:eastAsia="en-ZW"/>
          <w14:ligatures w14:val="none"/>
        </w:rPr>
        <w:t xml:space="preserve">in </w:t>
      </w:r>
      <w:r w:rsidRPr="00673848">
        <w:rPr>
          <w:rFonts w:ascii="Times New Roman" w:eastAsia="Times New Roman" w:hAnsi="Times New Roman" w:cs="Times New Roman"/>
          <w:i/>
          <w:iCs/>
          <w:kern w:val="0"/>
          <w:lang w:eastAsia="en-ZW"/>
          <w14:ligatures w14:val="none"/>
        </w:rPr>
        <w:t>Firstel Cellular (Pvt) Ltd</w:t>
      </w:r>
      <w:r w:rsidRPr="00673848">
        <w:rPr>
          <w:rFonts w:ascii="Times New Roman" w:eastAsia="Times New Roman" w:hAnsi="Times New Roman" w:cs="Times New Roman"/>
          <w:kern w:val="0"/>
          <w:lang w:eastAsia="en-ZW"/>
          <w14:ligatures w14:val="none"/>
        </w:rPr>
        <w:t xml:space="preserve"> v </w:t>
      </w:r>
      <w:r w:rsidRPr="00673848">
        <w:rPr>
          <w:rFonts w:ascii="Times New Roman" w:eastAsia="Times New Roman" w:hAnsi="Times New Roman" w:cs="Times New Roman"/>
          <w:i/>
          <w:iCs/>
          <w:kern w:val="0"/>
          <w:lang w:eastAsia="en-ZW"/>
          <w14:ligatures w14:val="none"/>
        </w:rPr>
        <w:t>NetOne Cellular (Pvt) Ltd 2015</w:t>
      </w:r>
      <w:r w:rsidRPr="00673848">
        <w:rPr>
          <w:rFonts w:ascii="Times New Roman" w:eastAsia="Times New Roman" w:hAnsi="Times New Roman" w:cs="Times New Roman"/>
          <w:kern w:val="0"/>
          <w:lang w:eastAsia="en-ZW"/>
          <w14:ligatures w14:val="none"/>
        </w:rPr>
        <w:t xml:space="preserve"> (1) ZLR 94 (S) underscored the importance of proper commissioning and attestation of affidavits.</w:t>
      </w:r>
    </w:p>
    <w:p w14:paraId="4DF7963C" w14:textId="77777777" w:rsidR="00016DFE" w:rsidRPr="00016DFE" w:rsidRDefault="00016DFE" w:rsidP="0067384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 xml:space="preserve">Likewise, in </w:t>
      </w:r>
      <w:r w:rsidRPr="00673848">
        <w:rPr>
          <w:rFonts w:ascii="Times New Roman" w:eastAsia="Times New Roman" w:hAnsi="Times New Roman" w:cs="Times New Roman"/>
          <w:i/>
          <w:iCs/>
          <w:kern w:val="0"/>
          <w:lang w:eastAsia="en-ZW"/>
          <w14:ligatures w14:val="none"/>
        </w:rPr>
        <w:t>Muzanenhamo</w:t>
      </w:r>
      <w:r w:rsidRPr="00673848">
        <w:rPr>
          <w:rFonts w:ascii="Times New Roman" w:eastAsia="Times New Roman" w:hAnsi="Times New Roman" w:cs="Times New Roman"/>
          <w:kern w:val="0"/>
          <w:lang w:eastAsia="en-ZW"/>
          <w14:ligatures w14:val="none"/>
        </w:rPr>
        <w:t xml:space="preserve"> v </w:t>
      </w:r>
      <w:r w:rsidRPr="00673848">
        <w:rPr>
          <w:rFonts w:ascii="Times New Roman" w:eastAsia="Times New Roman" w:hAnsi="Times New Roman" w:cs="Times New Roman"/>
          <w:i/>
          <w:iCs/>
          <w:kern w:val="0"/>
          <w:lang w:eastAsia="en-ZW"/>
          <w14:ligatures w14:val="none"/>
        </w:rPr>
        <w:t>Gadaga &amp; Ors</w:t>
      </w:r>
      <w:r w:rsidRPr="00673848">
        <w:rPr>
          <w:rFonts w:ascii="Times New Roman" w:eastAsia="Times New Roman" w:hAnsi="Times New Roman" w:cs="Times New Roman"/>
          <w:kern w:val="0"/>
          <w:lang w:eastAsia="en-ZW"/>
          <w14:ligatures w14:val="none"/>
        </w:rPr>
        <w:t xml:space="preserve"> HH 65/2006</w:t>
      </w:r>
      <w:r w:rsidRPr="00016DFE">
        <w:rPr>
          <w:rFonts w:ascii="Times New Roman" w:eastAsia="Times New Roman" w:hAnsi="Times New Roman" w:cs="Times New Roman"/>
          <w:kern w:val="0"/>
          <w:lang w:eastAsia="en-ZW"/>
          <w14:ligatures w14:val="none"/>
        </w:rPr>
        <w:t>, Gowora JA (as she then was) held that where a document does not demonstrate that it was sworn before a competent commissioner of oaths, it is not an affidavit but a mere written statement.</w:t>
      </w:r>
    </w:p>
    <w:p w14:paraId="2E4B4F91" w14:textId="77777777" w:rsidR="00016DFE" w:rsidRPr="00016DFE" w:rsidRDefault="00016DFE" w:rsidP="0067384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 xml:space="preserve">An application stands or falls on its founding affidavit. This principle was restated in </w:t>
      </w:r>
      <w:r w:rsidRPr="00673848">
        <w:rPr>
          <w:rFonts w:ascii="Times New Roman" w:eastAsia="Times New Roman" w:hAnsi="Times New Roman" w:cs="Times New Roman"/>
          <w:i/>
          <w:iCs/>
          <w:kern w:val="0"/>
          <w:lang w:eastAsia="en-ZW"/>
          <w14:ligatures w14:val="none"/>
        </w:rPr>
        <w:t>Milrite Farming (Private) Limited</w:t>
      </w:r>
      <w:r w:rsidRPr="00673848">
        <w:rPr>
          <w:rFonts w:ascii="Times New Roman" w:eastAsia="Times New Roman" w:hAnsi="Times New Roman" w:cs="Times New Roman"/>
          <w:kern w:val="0"/>
          <w:lang w:eastAsia="en-ZW"/>
          <w14:ligatures w14:val="none"/>
        </w:rPr>
        <w:t xml:space="preserve"> v </w:t>
      </w:r>
      <w:r w:rsidRPr="00673848">
        <w:rPr>
          <w:rFonts w:ascii="Times New Roman" w:eastAsia="Times New Roman" w:hAnsi="Times New Roman" w:cs="Times New Roman"/>
          <w:i/>
          <w:iCs/>
          <w:kern w:val="0"/>
          <w:lang w:eastAsia="en-ZW"/>
          <w14:ligatures w14:val="none"/>
        </w:rPr>
        <w:t>Porusingazi and Others</w:t>
      </w:r>
      <w:r w:rsidRPr="00673848">
        <w:rPr>
          <w:rFonts w:ascii="Times New Roman" w:eastAsia="Times New Roman" w:hAnsi="Times New Roman" w:cs="Times New Roman"/>
          <w:kern w:val="0"/>
          <w:lang w:eastAsia="en-ZW"/>
          <w14:ligatures w14:val="none"/>
        </w:rPr>
        <w:t xml:space="preserve"> HH 82/10,</w:t>
      </w:r>
      <w:r w:rsidRPr="00016DFE">
        <w:rPr>
          <w:rFonts w:ascii="Times New Roman" w:eastAsia="Times New Roman" w:hAnsi="Times New Roman" w:cs="Times New Roman"/>
          <w:kern w:val="0"/>
          <w:lang w:eastAsia="en-ZW"/>
          <w14:ligatures w14:val="none"/>
        </w:rPr>
        <w:t xml:space="preserve"> where the Court held:</w:t>
      </w:r>
    </w:p>
    <w:p w14:paraId="1A384A5D" w14:textId="77777777" w:rsidR="00016DFE" w:rsidRPr="00673848" w:rsidRDefault="00016DFE" w:rsidP="00673848">
      <w:pPr>
        <w:spacing w:before="100" w:beforeAutospacing="1" w:after="100" w:afterAutospacing="1" w:line="240" w:lineRule="auto"/>
        <w:ind w:left="720"/>
        <w:jc w:val="both"/>
        <w:rPr>
          <w:rFonts w:ascii="Times New Roman" w:eastAsia="Times New Roman" w:hAnsi="Times New Roman" w:cs="Times New Roman"/>
          <w:kern w:val="0"/>
          <w:sz w:val="22"/>
          <w:szCs w:val="22"/>
          <w:lang w:eastAsia="en-ZW"/>
          <w14:ligatures w14:val="none"/>
        </w:rPr>
      </w:pPr>
      <w:r w:rsidRPr="00673848">
        <w:rPr>
          <w:rFonts w:ascii="Times New Roman" w:eastAsia="Times New Roman" w:hAnsi="Times New Roman" w:cs="Times New Roman"/>
          <w:kern w:val="0"/>
          <w:sz w:val="22"/>
          <w:szCs w:val="22"/>
          <w:lang w:eastAsia="en-ZW"/>
          <w14:ligatures w14:val="none"/>
        </w:rPr>
        <w:t>“The applicant’s case stands or falls on averments made in the founding affidavit and not upon subsequent pleadings.”</w:t>
      </w:r>
    </w:p>
    <w:p w14:paraId="7C899FB5" w14:textId="77777777" w:rsidR="00016DFE" w:rsidRPr="00016DFE" w:rsidRDefault="00016DFE" w:rsidP="00673848">
      <w:pPr>
        <w:spacing w:after="0"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Where there is no valid affidavit, there is no application.</w:t>
      </w:r>
    </w:p>
    <w:p w14:paraId="46C0DF5C" w14:textId="77777777" w:rsidR="00016DFE" w:rsidRPr="00016DFE" w:rsidRDefault="00016DFE" w:rsidP="0067384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absence of the words “Sworn to” or “Thus done and sworn to” is not a trivial defect. It goes to the very existence of the affidavit. An unsworn statement cannot found motion proceedings.</w:t>
      </w:r>
    </w:p>
    <w:p w14:paraId="7045A8F5" w14:textId="77777777" w:rsidR="00016DFE" w:rsidRPr="00016DFE" w:rsidRDefault="00016DFE" w:rsidP="00673848">
      <w:pPr>
        <w:spacing w:after="0"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Motion proceedings are decided on affidavit evidence. Without an affidavit properly commissioned, there is no evidence before the Court.</w:t>
      </w:r>
    </w:p>
    <w:p w14:paraId="452772B1" w14:textId="27214D96" w:rsidR="00016DFE" w:rsidRPr="00016DFE" w:rsidRDefault="00016DFE" w:rsidP="00673848">
      <w:pPr>
        <w:spacing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This defect renders the application a nullity.</w:t>
      </w:r>
    </w:p>
    <w:p w14:paraId="1567D9F4" w14:textId="77777777" w:rsidR="00016DFE" w:rsidRPr="00016DFE" w:rsidRDefault="00016DFE" w:rsidP="00673848">
      <w:pPr>
        <w:spacing w:line="360" w:lineRule="auto"/>
        <w:jc w:val="both"/>
        <w:outlineLvl w:val="0"/>
        <w:rPr>
          <w:rFonts w:ascii="Times New Roman" w:eastAsia="Times New Roman" w:hAnsi="Times New Roman" w:cs="Times New Roman"/>
          <w:b/>
          <w:bCs/>
          <w:kern w:val="36"/>
          <w:lang w:eastAsia="en-ZW"/>
          <w14:ligatures w14:val="none"/>
        </w:rPr>
      </w:pPr>
      <w:r w:rsidRPr="00016DFE">
        <w:rPr>
          <w:rFonts w:ascii="Times New Roman" w:eastAsia="Times New Roman" w:hAnsi="Times New Roman" w:cs="Times New Roman"/>
          <w:b/>
          <w:bCs/>
          <w:kern w:val="36"/>
          <w:lang w:eastAsia="en-ZW"/>
          <w14:ligatures w14:val="none"/>
        </w:rPr>
        <w:t>WHETHER THE DEFECTS ARE CURABLE</w:t>
      </w:r>
    </w:p>
    <w:p w14:paraId="4C211D76" w14:textId="77777777" w:rsidR="00016DFE" w:rsidRPr="00016DFE" w:rsidRDefault="00016DFE" w:rsidP="00673848">
      <w:pPr>
        <w:spacing w:before="100" w:beforeAutospacing="1" w:after="100" w:afterAutospacing="1"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authorities cited above make it abundantly clear that a nullity cannot be repaired by Rule 4C or by condonation.</w:t>
      </w:r>
    </w:p>
    <w:p w14:paraId="2D741E12" w14:textId="77777777" w:rsidR="00016DFE" w:rsidRPr="00016DFE" w:rsidRDefault="00016DFE" w:rsidP="00673848">
      <w:pPr>
        <w:spacing w:before="100" w:beforeAutospacing="1" w:after="100" w:afterAutospacing="1" w:line="360" w:lineRule="auto"/>
        <w:ind w:firstLine="720"/>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 xml:space="preserve">As stated </w:t>
      </w:r>
      <w:r w:rsidRPr="00673848">
        <w:rPr>
          <w:rFonts w:ascii="Times New Roman" w:eastAsia="Times New Roman" w:hAnsi="Times New Roman" w:cs="Times New Roman"/>
          <w:kern w:val="0"/>
          <w:lang w:eastAsia="en-ZW"/>
          <w14:ligatures w14:val="none"/>
        </w:rPr>
        <w:t xml:space="preserve">in </w:t>
      </w:r>
      <w:r w:rsidRPr="00673848">
        <w:rPr>
          <w:rFonts w:ascii="Times New Roman" w:eastAsia="Times New Roman" w:hAnsi="Times New Roman" w:cs="Times New Roman"/>
          <w:i/>
          <w:iCs/>
          <w:kern w:val="0"/>
          <w:lang w:eastAsia="en-ZW"/>
          <w14:ligatures w14:val="none"/>
        </w:rPr>
        <w:t>Simross Vintners (Pty) Ltd</w:t>
      </w:r>
      <w:r w:rsidRPr="00673848">
        <w:rPr>
          <w:rFonts w:ascii="Times New Roman" w:eastAsia="Times New Roman" w:hAnsi="Times New Roman" w:cs="Times New Roman"/>
          <w:kern w:val="0"/>
          <w:lang w:eastAsia="en-ZW"/>
          <w14:ligatures w14:val="none"/>
        </w:rPr>
        <w:t xml:space="preserve"> v </w:t>
      </w:r>
      <w:r w:rsidRPr="00673848">
        <w:rPr>
          <w:rFonts w:ascii="Times New Roman" w:eastAsia="Times New Roman" w:hAnsi="Times New Roman" w:cs="Times New Roman"/>
          <w:i/>
          <w:iCs/>
          <w:kern w:val="0"/>
          <w:lang w:eastAsia="en-ZW"/>
          <w14:ligatures w14:val="none"/>
        </w:rPr>
        <w:t>Vermeulen supra,</w:t>
      </w:r>
      <w:r w:rsidRPr="00673848">
        <w:rPr>
          <w:rFonts w:ascii="Times New Roman" w:eastAsia="Times New Roman" w:hAnsi="Times New Roman" w:cs="Times New Roman"/>
          <w:kern w:val="0"/>
          <w:lang w:eastAsia="en-ZW"/>
          <w14:ligatures w14:val="none"/>
        </w:rPr>
        <w:t xml:space="preserve"> a nullity</w:t>
      </w:r>
      <w:r w:rsidRPr="00016DFE">
        <w:rPr>
          <w:rFonts w:ascii="Times New Roman" w:eastAsia="Times New Roman" w:hAnsi="Times New Roman" w:cs="Times New Roman"/>
          <w:kern w:val="0"/>
          <w:lang w:eastAsia="en-ZW"/>
          <w14:ligatures w14:val="none"/>
        </w:rPr>
        <w:t xml:space="preserve"> carries within it irreparability.</w:t>
      </w:r>
    </w:p>
    <w:p w14:paraId="097654F3" w14:textId="4E689B47" w:rsidR="00016DFE" w:rsidRPr="00016DFE" w:rsidRDefault="00016DFE" w:rsidP="00673848">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lastRenderedPageBreak/>
        <w:t>This Court has no jurisdiction to breathe life into a process that is void ab initio.</w:t>
      </w:r>
    </w:p>
    <w:p w14:paraId="1BA5AD98" w14:textId="77777777" w:rsidR="00016DFE" w:rsidRPr="00673848" w:rsidRDefault="00016DFE" w:rsidP="00016DFE">
      <w:pPr>
        <w:spacing w:before="100" w:beforeAutospacing="1" w:after="100" w:afterAutospacing="1" w:line="360" w:lineRule="auto"/>
        <w:jc w:val="both"/>
        <w:outlineLvl w:val="0"/>
        <w:rPr>
          <w:rFonts w:ascii="Times New Roman" w:eastAsia="Times New Roman" w:hAnsi="Times New Roman" w:cs="Times New Roman"/>
          <w:b/>
          <w:bCs/>
          <w:kern w:val="36"/>
          <w:u w:val="single"/>
          <w:lang w:eastAsia="en-ZW"/>
          <w14:ligatures w14:val="none"/>
        </w:rPr>
      </w:pPr>
      <w:r w:rsidRPr="00673848">
        <w:rPr>
          <w:rFonts w:ascii="Times New Roman" w:eastAsia="Times New Roman" w:hAnsi="Times New Roman" w:cs="Times New Roman"/>
          <w:b/>
          <w:bCs/>
          <w:kern w:val="36"/>
          <w:u w:val="single"/>
          <w:lang w:eastAsia="en-ZW"/>
          <w14:ligatures w14:val="none"/>
        </w:rPr>
        <w:t>DISPOSITION</w:t>
      </w:r>
    </w:p>
    <w:p w14:paraId="3E01665A" w14:textId="77777777" w:rsidR="00016DFE" w:rsidRPr="00016DFE" w:rsidRDefault="00016DFE" w:rsidP="00016DFE">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Having found that:</w:t>
      </w:r>
    </w:p>
    <w:p w14:paraId="56C06522" w14:textId="77777777" w:rsidR="00016DFE" w:rsidRPr="00016DFE" w:rsidRDefault="00016DFE" w:rsidP="00016DFE">
      <w:pPr>
        <w:numPr>
          <w:ilvl w:val="0"/>
          <w:numId w:val="4"/>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application is fatally defective for non-compliance with Form 23; and</w:t>
      </w:r>
    </w:p>
    <w:p w14:paraId="2DF4AC68" w14:textId="77777777" w:rsidR="00016DFE" w:rsidRPr="00016DFE" w:rsidRDefault="00016DFE" w:rsidP="00016DFE">
      <w:pPr>
        <w:numPr>
          <w:ilvl w:val="0"/>
          <w:numId w:val="4"/>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There is no valid founding affidavit before the Court;</w:t>
      </w:r>
    </w:p>
    <w:p w14:paraId="1E86F091" w14:textId="77777777" w:rsidR="00016DFE" w:rsidRPr="00016DFE" w:rsidRDefault="00016DFE" w:rsidP="00016DFE">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It follows that there is no proper application for determination.</w:t>
      </w:r>
    </w:p>
    <w:p w14:paraId="39C7BBE6" w14:textId="77777777" w:rsidR="00016DFE" w:rsidRPr="00016DFE" w:rsidRDefault="00016DFE" w:rsidP="00016DFE">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matter cannot proceed to the merits.</w:t>
      </w:r>
    </w:p>
    <w:p w14:paraId="589DBB16" w14:textId="77777777" w:rsidR="00016DFE" w:rsidRPr="00673848" w:rsidRDefault="00016DFE" w:rsidP="00016DFE">
      <w:pPr>
        <w:spacing w:before="100" w:beforeAutospacing="1" w:after="100" w:afterAutospacing="1" w:line="360" w:lineRule="auto"/>
        <w:jc w:val="both"/>
        <w:outlineLvl w:val="0"/>
        <w:rPr>
          <w:rFonts w:ascii="Times New Roman" w:eastAsia="Times New Roman" w:hAnsi="Times New Roman" w:cs="Times New Roman"/>
          <w:b/>
          <w:bCs/>
          <w:kern w:val="36"/>
          <w:u w:val="single"/>
          <w:lang w:eastAsia="en-ZW"/>
          <w14:ligatures w14:val="none"/>
        </w:rPr>
      </w:pPr>
      <w:r w:rsidRPr="00673848">
        <w:rPr>
          <w:rFonts w:ascii="Times New Roman" w:eastAsia="Times New Roman" w:hAnsi="Times New Roman" w:cs="Times New Roman"/>
          <w:b/>
          <w:bCs/>
          <w:kern w:val="36"/>
          <w:u w:val="single"/>
          <w:lang w:eastAsia="en-ZW"/>
          <w14:ligatures w14:val="none"/>
        </w:rPr>
        <w:t>ORDER</w:t>
      </w:r>
    </w:p>
    <w:p w14:paraId="361F2ADC" w14:textId="77777777" w:rsidR="00016DFE" w:rsidRPr="00016DFE" w:rsidRDefault="00016DFE" w:rsidP="00016DFE">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Accordingly, it is ordered that:</w:t>
      </w:r>
    </w:p>
    <w:p w14:paraId="64BC1B07" w14:textId="77777777" w:rsidR="00016DFE" w:rsidRPr="00016DFE" w:rsidRDefault="00016DFE" w:rsidP="00016DFE">
      <w:pPr>
        <w:numPr>
          <w:ilvl w:val="0"/>
          <w:numId w:val="5"/>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 xml:space="preserve">The points </w:t>
      </w:r>
      <w:r w:rsidRPr="005C6C4A">
        <w:rPr>
          <w:rFonts w:ascii="Times New Roman" w:eastAsia="Times New Roman" w:hAnsi="Times New Roman" w:cs="Times New Roman"/>
          <w:i/>
          <w:iCs/>
          <w:kern w:val="0"/>
          <w:lang w:eastAsia="en-ZW"/>
          <w14:ligatures w14:val="none"/>
        </w:rPr>
        <w:t>in limine</w:t>
      </w:r>
      <w:r w:rsidRPr="00016DFE">
        <w:rPr>
          <w:rFonts w:ascii="Times New Roman" w:eastAsia="Times New Roman" w:hAnsi="Times New Roman" w:cs="Times New Roman"/>
          <w:kern w:val="0"/>
          <w:lang w:eastAsia="en-ZW"/>
          <w14:ligatures w14:val="none"/>
        </w:rPr>
        <w:t xml:space="preserve"> raised by the Respondent be and are hereby upheld.</w:t>
      </w:r>
    </w:p>
    <w:p w14:paraId="1F65C4F8" w14:textId="77777777" w:rsidR="00016DFE" w:rsidRPr="00016DFE" w:rsidRDefault="00016DFE" w:rsidP="00016DFE">
      <w:pPr>
        <w:numPr>
          <w:ilvl w:val="0"/>
          <w:numId w:val="5"/>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The Application be and is hereby struck off the roll.</w:t>
      </w:r>
    </w:p>
    <w:p w14:paraId="1E422760" w14:textId="6F006C1F" w:rsidR="00016DFE" w:rsidRDefault="00016DFE" w:rsidP="00016DFE">
      <w:pPr>
        <w:numPr>
          <w:ilvl w:val="0"/>
          <w:numId w:val="5"/>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016DFE">
        <w:rPr>
          <w:rFonts w:ascii="Times New Roman" w:eastAsia="Times New Roman" w:hAnsi="Times New Roman" w:cs="Times New Roman"/>
          <w:kern w:val="0"/>
          <w:lang w:eastAsia="en-ZW"/>
          <w14:ligatures w14:val="none"/>
        </w:rPr>
        <w:t xml:space="preserve">The Applicant shall pay </w:t>
      </w:r>
      <w:r w:rsidR="00E448D7">
        <w:rPr>
          <w:rFonts w:ascii="Times New Roman" w:eastAsia="Times New Roman" w:hAnsi="Times New Roman" w:cs="Times New Roman"/>
          <w:kern w:val="0"/>
          <w:lang w:eastAsia="en-ZW"/>
          <w14:ligatures w14:val="none"/>
        </w:rPr>
        <w:t xml:space="preserve">costs at an ordinary scale. </w:t>
      </w:r>
    </w:p>
    <w:p w14:paraId="5D14684F" w14:textId="77777777" w:rsidR="00673848" w:rsidRDefault="00673848" w:rsidP="00673848">
      <w:pPr>
        <w:spacing w:before="100" w:beforeAutospacing="1" w:after="100" w:afterAutospacing="1" w:line="360" w:lineRule="auto"/>
        <w:jc w:val="both"/>
        <w:rPr>
          <w:rFonts w:ascii="Times New Roman" w:eastAsia="Times New Roman" w:hAnsi="Times New Roman" w:cs="Times New Roman"/>
          <w:kern w:val="0"/>
          <w:lang w:eastAsia="en-ZW"/>
          <w14:ligatures w14:val="none"/>
        </w:rPr>
      </w:pPr>
    </w:p>
    <w:p w14:paraId="5D76DBBD" w14:textId="6536BAF4" w:rsidR="00673848" w:rsidRDefault="00673848" w:rsidP="00673848">
      <w:pPr>
        <w:spacing w:before="100" w:beforeAutospacing="1" w:after="100" w:afterAutospacing="1" w:line="360" w:lineRule="auto"/>
        <w:jc w:val="both"/>
        <w:rPr>
          <w:rFonts w:ascii="Times New Roman" w:eastAsia="Times New Roman" w:hAnsi="Times New Roman" w:cs="Times New Roman"/>
          <w:b/>
          <w:bCs/>
          <w:smallCaps/>
          <w:kern w:val="0"/>
          <w:lang w:eastAsia="en-ZW"/>
          <w14:ligatures w14:val="none"/>
        </w:rPr>
      </w:pPr>
      <w:r w:rsidRPr="00673848">
        <w:rPr>
          <w:rFonts w:ascii="Times New Roman" w:eastAsia="Times New Roman" w:hAnsi="Times New Roman" w:cs="Times New Roman"/>
          <w:b/>
          <w:bCs/>
          <w:smallCaps/>
          <w:kern w:val="0"/>
          <w:lang w:eastAsia="en-ZW"/>
          <w14:ligatures w14:val="none"/>
        </w:rPr>
        <w:t>Katiyo J:………………………………………..</w:t>
      </w:r>
    </w:p>
    <w:p w14:paraId="0AEDA11E" w14:textId="3387E49D" w:rsidR="003D7247" w:rsidRPr="003D7247" w:rsidRDefault="003D7247" w:rsidP="003D7247">
      <w:pPr>
        <w:spacing w:after="0" w:line="240" w:lineRule="auto"/>
        <w:jc w:val="both"/>
        <w:rPr>
          <w:rFonts w:ascii="Times New Roman" w:eastAsia="Times New Roman" w:hAnsi="Times New Roman" w:cs="Times New Roman"/>
          <w:kern w:val="0"/>
          <w:lang w:eastAsia="en-ZW"/>
          <w14:ligatures w14:val="none"/>
        </w:rPr>
      </w:pPr>
      <w:r w:rsidRPr="003D7247">
        <w:rPr>
          <w:rFonts w:ascii="Times New Roman" w:eastAsia="Times New Roman" w:hAnsi="Times New Roman" w:cs="Times New Roman"/>
          <w:i/>
          <w:iCs/>
          <w:smallCaps/>
          <w:kern w:val="0"/>
          <w:lang w:eastAsia="en-ZW"/>
          <w14:ligatures w14:val="none"/>
        </w:rPr>
        <w:t>C</w:t>
      </w:r>
      <w:r w:rsidRPr="003D7247">
        <w:rPr>
          <w:rFonts w:ascii="Times New Roman" w:eastAsia="Times New Roman" w:hAnsi="Times New Roman" w:cs="Times New Roman"/>
          <w:i/>
          <w:iCs/>
          <w:kern w:val="0"/>
          <w:lang w:eastAsia="en-ZW"/>
          <w14:ligatures w14:val="none"/>
        </w:rPr>
        <w:t>hirorwe and Partners</w:t>
      </w:r>
      <w:r w:rsidRPr="003D7247">
        <w:rPr>
          <w:rFonts w:ascii="Times New Roman" w:eastAsia="Times New Roman" w:hAnsi="Times New Roman" w:cs="Times New Roman"/>
          <w:kern w:val="0"/>
          <w:lang w:eastAsia="en-ZW"/>
          <w14:ligatures w14:val="none"/>
        </w:rPr>
        <w:t>, Applicant’s Legal Practitioners</w:t>
      </w:r>
    </w:p>
    <w:p w14:paraId="43D91978" w14:textId="51B21AE0" w:rsidR="003D7247" w:rsidRPr="003D7247" w:rsidRDefault="003D7247" w:rsidP="003D7247">
      <w:pPr>
        <w:spacing w:after="0" w:line="240" w:lineRule="auto"/>
        <w:jc w:val="both"/>
        <w:rPr>
          <w:rFonts w:ascii="Times New Roman" w:eastAsia="Times New Roman" w:hAnsi="Times New Roman" w:cs="Times New Roman"/>
          <w:kern w:val="0"/>
          <w:lang w:eastAsia="en-ZW"/>
          <w14:ligatures w14:val="none"/>
        </w:rPr>
      </w:pPr>
      <w:r w:rsidRPr="003D7247">
        <w:rPr>
          <w:rFonts w:ascii="Times New Roman" w:eastAsia="Times New Roman" w:hAnsi="Times New Roman" w:cs="Times New Roman"/>
          <w:i/>
          <w:iCs/>
          <w:kern w:val="0"/>
          <w:lang w:eastAsia="en-ZW"/>
          <w14:ligatures w14:val="none"/>
        </w:rPr>
        <w:t>ZIMRA Legal Service</w:t>
      </w:r>
      <w:r w:rsidRPr="003D7247">
        <w:rPr>
          <w:rFonts w:ascii="Times New Roman" w:eastAsia="Times New Roman" w:hAnsi="Times New Roman" w:cs="Times New Roman"/>
          <w:kern w:val="0"/>
          <w:lang w:eastAsia="en-ZW"/>
          <w14:ligatures w14:val="none"/>
        </w:rPr>
        <w:t>, Respondent’s Legal Practitioners</w:t>
      </w:r>
    </w:p>
    <w:p w14:paraId="0C01B4D4" w14:textId="77777777" w:rsidR="003D7247" w:rsidRPr="003D7247" w:rsidRDefault="003D7247" w:rsidP="00673848">
      <w:pPr>
        <w:spacing w:before="100" w:beforeAutospacing="1" w:after="100" w:afterAutospacing="1" w:line="360" w:lineRule="auto"/>
        <w:jc w:val="both"/>
        <w:rPr>
          <w:rFonts w:ascii="Times New Roman" w:eastAsia="Times New Roman" w:hAnsi="Times New Roman" w:cs="Times New Roman"/>
          <w:kern w:val="0"/>
          <w:lang w:eastAsia="en-ZW"/>
          <w14:ligatures w14:val="none"/>
        </w:rPr>
      </w:pPr>
    </w:p>
    <w:p w14:paraId="7824E5A9" w14:textId="77777777" w:rsidR="00016DFE" w:rsidRPr="00016DFE" w:rsidRDefault="00016DFE" w:rsidP="00016DFE">
      <w:pPr>
        <w:spacing w:line="360" w:lineRule="auto"/>
        <w:jc w:val="both"/>
        <w:rPr>
          <w:rFonts w:ascii="Times New Roman" w:hAnsi="Times New Roman" w:cs="Times New Roman"/>
        </w:rPr>
      </w:pPr>
    </w:p>
    <w:sectPr w:rsidR="00016DFE" w:rsidRPr="00016DF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0D7145" w14:textId="77777777" w:rsidR="008D390B" w:rsidRDefault="008D390B" w:rsidP="00394AF8">
      <w:pPr>
        <w:spacing w:after="0" w:line="240" w:lineRule="auto"/>
      </w:pPr>
      <w:r>
        <w:separator/>
      </w:r>
    </w:p>
  </w:endnote>
  <w:endnote w:type="continuationSeparator" w:id="0">
    <w:p w14:paraId="46BFE118" w14:textId="77777777" w:rsidR="008D390B" w:rsidRDefault="008D390B" w:rsidP="00394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6CC99A" w14:textId="77777777" w:rsidR="008D390B" w:rsidRDefault="008D390B" w:rsidP="00394AF8">
      <w:pPr>
        <w:spacing w:after="0" w:line="240" w:lineRule="auto"/>
      </w:pPr>
      <w:r>
        <w:separator/>
      </w:r>
    </w:p>
  </w:footnote>
  <w:footnote w:type="continuationSeparator" w:id="0">
    <w:p w14:paraId="2988B979" w14:textId="77777777" w:rsidR="008D390B" w:rsidRDefault="008D390B" w:rsidP="00394A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2791668"/>
      <w:docPartObj>
        <w:docPartGallery w:val="Page Numbers (Top of Page)"/>
        <w:docPartUnique/>
      </w:docPartObj>
    </w:sdtPr>
    <w:sdtEndPr>
      <w:rPr>
        <w:noProof/>
      </w:rPr>
    </w:sdtEndPr>
    <w:sdtContent>
      <w:p w14:paraId="5F8176E8" w14:textId="5359FD90" w:rsidR="00394AF8" w:rsidRDefault="00394AF8">
        <w:pPr>
          <w:pStyle w:val="Header"/>
          <w:jc w:val="right"/>
          <w:rPr>
            <w:noProof/>
          </w:rPr>
        </w:pPr>
        <w:r>
          <w:fldChar w:fldCharType="begin"/>
        </w:r>
        <w:r>
          <w:instrText xml:space="preserve"> PAGE   \* MERGEFORMAT </w:instrText>
        </w:r>
        <w:r>
          <w:fldChar w:fldCharType="separate"/>
        </w:r>
        <w:r w:rsidR="00FB40F6">
          <w:rPr>
            <w:noProof/>
          </w:rPr>
          <w:t>1</w:t>
        </w:r>
        <w:r>
          <w:rPr>
            <w:noProof/>
          </w:rPr>
          <w:fldChar w:fldCharType="end"/>
        </w:r>
      </w:p>
      <w:p w14:paraId="20E32941" w14:textId="66931633" w:rsidR="00D80B11" w:rsidRDefault="00D80B11">
        <w:pPr>
          <w:pStyle w:val="Header"/>
          <w:jc w:val="right"/>
          <w:rPr>
            <w:noProof/>
          </w:rPr>
        </w:pPr>
        <w:r>
          <w:rPr>
            <w:noProof/>
          </w:rPr>
          <w:t>HH 244-26</w:t>
        </w:r>
      </w:p>
      <w:p w14:paraId="389D0F7A" w14:textId="0B839EAC" w:rsidR="00394AF8" w:rsidRDefault="00394AF8">
        <w:pPr>
          <w:pStyle w:val="Header"/>
          <w:jc w:val="right"/>
        </w:pPr>
        <w:r>
          <w:rPr>
            <w:noProof/>
          </w:rPr>
          <w:t>HCH 306/26</w:t>
        </w:r>
      </w:p>
    </w:sdtContent>
  </w:sdt>
  <w:p w14:paraId="115183A1" w14:textId="77777777" w:rsidR="00394AF8" w:rsidRDefault="00394A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5012F"/>
    <w:multiLevelType w:val="multilevel"/>
    <w:tmpl w:val="2BC21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8C501C"/>
    <w:multiLevelType w:val="multilevel"/>
    <w:tmpl w:val="0BC28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1233C42"/>
    <w:multiLevelType w:val="multilevel"/>
    <w:tmpl w:val="FC92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F735600"/>
    <w:multiLevelType w:val="multilevel"/>
    <w:tmpl w:val="FB929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B0E1814"/>
    <w:multiLevelType w:val="multilevel"/>
    <w:tmpl w:val="C4849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DFE"/>
    <w:rsid w:val="00016DFE"/>
    <w:rsid w:val="00090D6A"/>
    <w:rsid w:val="00263AB2"/>
    <w:rsid w:val="003010F1"/>
    <w:rsid w:val="00394AF8"/>
    <w:rsid w:val="003D7247"/>
    <w:rsid w:val="00481E18"/>
    <w:rsid w:val="005C6C4A"/>
    <w:rsid w:val="005D0BDC"/>
    <w:rsid w:val="005E7F26"/>
    <w:rsid w:val="00670D18"/>
    <w:rsid w:val="00673848"/>
    <w:rsid w:val="008C5087"/>
    <w:rsid w:val="008D390B"/>
    <w:rsid w:val="00BD7186"/>
    <w:rsid w:val="00D80B11"/>
    <w:rsid w:val="00DF4C42"/>
    <w:rsid w:val="00E448D7"/>
    <w:rsid w:val="00FB40F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68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16D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6D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6D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6D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6D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6D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D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D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D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D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6D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6D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6D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6D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6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6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DFE"/>
    <w:rPr>
      <w:rFonts w:eastAsiaTheme="majorEastAsia" w:cstheme="majorBidi"/>
      <w:color w:val="272727" w:themeColor="text1" w:themeTint="D8"/>
    </w:rPr>
  </w:style>
  <w:style w:type="paragraph" w:styleId="Title">
    <w:name w:val="Title"/>
    <w:basedOn w:val="Normal"/>
    <w:next w:val="Normal"/>
    <w:link w:val="TitleChar"/>
    <w:uiPriority w:val="10"/>
    <w:qFormat/>
    <w:rsid w:val="00016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6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6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6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6DFE"/>
    <w:pPr>
      <w:spacing w:before="160"/>
      <w:jc w:val="center"/>
    </w:pPr>
    <w:rPr>
      <w:i/>
      <w:iCs/>
      <w:color w:val="404040" w:themeColor="text1" w:themeTint="BF"/>
    </w:rPr>
  </w:style>
  <w:style w:type="character" w:customStyle="1" w:styleId="QuoteChar">
    <w:name w:val="Quote Char"/>
    <w:basedOn w:val="DefaultParagraphFont"/>
    <w:link w:val="Quote"/>
    <w:uiPriority w:val="29"/>
    <w:rsid w:val="00016DFE"/>
    <w:rPr>
      <w:i/>
      <w:iCs/>
      <w:color w:val="404040" w:themeColor="text1" w:themeTint="BF"/>
    </w:rPr>
  </w:style>
  <w:style w:type="paragraph" w:styleId="ListParagraph">
    <w:name w:val="List Paragraph"/>
    <w:basedOn w:val="Normal"/>
    <w:uiPriority w:val="34"/>
    <w:qFormat/>
    <w:rsid w:val="00016DFE"/>
    <w:pPr>
      <w:ind w:left="720"/>
      <w:contextualSpacing/>
    </w:pPr>
  </w:style>
  <w:style w:type="character" w:styleId="IntenseEmphasis">
    <w:name w:val="Intense Emphasis"/>
    <w:basedOn w:val="DefaultParagraphFont"/>
    <w:uiPriority w:val="21"/>
    <w:qFormat/>
    <w:rsid w:val="00016DFE"/>
    <w:rPr>
      <w:i/>
      <w:iCs/>
      <w:color w:val="2F5496" w:themeColor="accent1" w:themeShade="BF"/>
    </w:rPr>
  </w:style>
  <w:style w:type="paragraph" w:styleId="IntenseQuote">
    <w:name w:val="Intense Quote"/>
    <w:basedOn w:val="Normal"/>
    <w:next w:val="Normal"/>
    <w:link w:val="IntenseQuoteChar"/>
    <w:uiPriority w:val="30"/>
    <w:qFormat/>
    <w:rsid w:val="00016D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6DFE"/>
    <w:rPr>
      <w:i/>
      <w:iCs/>
      <w:color w:val="2F5496" w:themeColor="accent1" w:themeShade="BF"/>
    </w:rPr>
  </w:style>
  <w:style w:type="character" w:styleId="IntenseReference">
    <w:name w:val="Intense Reference"/>
    <w:basedOn w:val="DefaultParagraphFont"/>
    <w:uiPriority w:val="32"/>
    <w:qFormat/>
    <w:rsid w:val="00016DFE"/>
    <w:rPr>
      <w:b/>
      <w:bCs/>
      <w:smallCaps/>
      <w:color w:val="2F5496" w:themeColor="accent1" w:themeShade="BF"/>
      <w:spacing w:val="5"/>
    </w:rPr>
  </w:style>
  <w:style w:type="paragraph" w:styleId="Header">
    <w:name w:val="header"/>
    <w:basedOn w:val="Normal"/>
    <w:link w:val="HeaderChar"/>
    <w:uiPriority w:val="99"/>
    <w:unhideWhenUsed/>
    <w:rsid w:val="00394A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4AF8"/>
  </w:style>
  <w:style w:type="paragraph" w:styleId="Footer">
    <w:name w:val="footer"/>
    <w:basedOn w:val="Normal"/>
    <w:link w:val="FooterChar"/>
    <w:uiPriority w:val="99"/>
    <w:unhideWhenUsed/>
    <w:rsid w:val="00394A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4AF8"/>
  </w:style>
  <w:style w:type="paragraph" w:styleId="NoSpacing">
    <w:name w:val="No Spacing"/>
    <w:uiPriority w:val="1"/>
    <w:qFormat/>
    <w:rsid w:val="00394AF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16D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6D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6D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6D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6D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6D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D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D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D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D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6D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6D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6D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6D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6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6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DFE"/>
    <w:rPr>
      <w:rFonts w:eastAsiaTheme="majorEastAsia" w:cstheme="majorBidi"/>
      <w:color w:val="272727" w:themeColor="text1" w:themeTint="D8"/>
    </w:rPr>
  </w:style>
  <w:style w:type="paragraph" w:styleId="Title">
    <w:name w:val="Title"/>
    <w:basedOn w:val="Normal"/>
    <w:next w:val="Normal"/>
    <w:link w:val="TitleChar"/>
    <w:uiPriority w:val="10"/>
    <w:qFormat/>
    <w:rsid w:val="00016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6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6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6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6DFE"/>
    <w:pPr>
      <w:spacing w:before="160"/>
      <w:jc w:val="center"/>
    </w:pPr>
    <w:rPr>
      <w:i/>
      <w:iCs/>
      <w:color w:val="404040" w:themeColor="text1" w:themeTint="BF"/>
    </w:rPr>
  </w:style>
  <w:style w:type="character" w:customStyle="1" w:styleId="QuoteChar">
    <w:name w:val="Quote Char"/>
    <w:basedOn w:val="DefaultParagraphFont"/>
    <w:link w:val="Quote"/>
    <w:uiPriority w:val="29"/>
    <w:rsid w:val="00016DFE"/>
    <w:rPr>
      <w:i/>
      <w:iCs/>
      <w:color w:val="404040" w:themeColor="text1" w:themeTint="BF"/>
    </w:rPr>
  </w:style>
  <w:style w:type="paragraph" w:styleId="ListParagraph">
    <w:name w:val="List Paragraph"/>
    <w:basedOn w:val="Normal"/>
    <w:uiPriority w:val="34"/>
    <w:qFormat/>
    <w:rsid w:val="00016DFE"/>
    <w:pPr>
      <w:ind w:left="720"/>
      <w:contextualSpacing/>
    </w:pPr>
  </w:style>
  <w:style w:type="character" w:styleId="IntenseEmphasis">
    <w:name w:val="Intense Emphasis"/>
    <w:basedOn w:val="DefaultParagraphFont"/>
    <w:uiPriority w:val="21"/>
    <w:qFormat/>
    <w:rsid w:val="00016DFE"/>
    <w:rPr>
      <w:i/>
      <w:iCs/>
      <w:color w:val="2F5496" w:themeColor="accent1" w:themeShade="BF"/>
    </w:rPr>
  </w:style>
  <w:style w:type="paragraph" w:styleId="IntenseQuote">
    <w:name w:val="Intense Quote"/>
    <w:basedOn w:val="Normal"/>
    <w:next w:val="Normal"/>
    <w:link w:val="IntenseQuoteChar"/>
    <w:uiPriority w:val="30"/>
    <w:qFormat/>
    <w:rsid w:val="00016D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6DFE"/>
    <w:rPr>
      <w:i/>
      <w:iCs/>
      <w:color w:val="2F5496" w:themeColor="accent1" w:themeShade="BF"/>
    </w:rPr>
  </w:style>
  <w:style w:type="character" w:styleId="IntenseReference">
    <w:name w:val="Intense Reference"/>
    <w:basedOn w:val="DefaultParagraphFont"/>
    <w:uiPriority w:val="32"/>
    <w:qFormat/>
    <w:rsid w:val="00016DFE"/>
    <w:rPr>
      <w:b/>
      <w:bCs/>
      <w:smallCaps/>
      <w:color w:val="2F5496" w:themeColor="accent1" w:themeShade="BF"/>
      <w:spacing w:val="5"/>
    </w:rPr>
  </w:style>
  <w:style w:type="paragraph" w:styleId="Header">
    <w:name w:val="header"/>
    <w:basedOn w:val="Normal"/>
    <w:link w:val="HeaderChar"/>
    <w:uiPriority w:val="99"/>
    <w:unhideWhenUsed/>
    <w:rsid w:val="00394A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4AF8"/>
  </w:style>
  <w:style w:type="paragraph" w:styleId="Footer">
    <w:name w:val="footer"/>
    <w:basedOn w:val="Normal"/>
    <w:link w:val="FooterChar"/>
    <w:uiPriority w:val="99"/>
    <w:unhideWhenUsed/>
    <w:rsid w:val="00394A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4AF8"/>
  </w:style>
  <w:style w:type="paragraph" w:styleId="NoSpacing">
    <w:name w:val="No Spacing"/>
    <w:uiPriority w:val="1"/>
    <w:qFormat/>
    <w:rsid w:val="00394A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68E67-4C74-4A66-97AB-E94F19534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1056</Words>
  <Characters>6023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Kudzai Alufandika</dc:creator>
  <cp:lastModifiedBy>JSC</cp:lastModifiedBy>
  <cp:revision>2</cp:revision>
  <dcterms:created xsi:type="dcterms:W3CDTF">2026-03-27T09:04:00Z</dcterms:created>
  <dcterms:modified xsi:type="dcterms:W3CDTF">2026-03-27T09:04:00Z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36be1d6d-c6d5-497c-8078-57d9b3896c75</vt:lpwstr>
  </property>
</Properties>
</file>