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D0" w:rsidRDefault="00B55010" w:rsidP="00306AD0">
      <w:pPr>
        <w:spacing w:line="360" w:lineRule="auto"/>
        <w:jc w:val="both"/>
        <w:rPr>
          <w:b/>
          <w:sz w:val="28"/>
          <w:szCs w:val="28"/>
        </w:rPr>
      </w:pPr>
      <w:bookmarkStart w:id="0" w:name="_GoBack"/>
      <w:bookmarkEnd w:id="0"/>
      <w:r>
        <w:rPr>
          <w:b/>
          <w:sz w:val="28"/>
          <w:szCs w:val="28"/>
        </w:rPr>
        <w:t>\</w:t>
      </w:r>
      <w:r w:rsidR="00861C18">
        <w:rPr>
          <w:b/>
          <w:sz w:val="28"/>
          <w:szCs w:val="28"/>
        </w:rPr>
        <w:t>I</w:t>
      </w:r>
      <w:r>
        <w:rPr>
          <w:b/>
          <w:sz w:val="28"/>
          <w:szCs w:val="28"/>
        </w:rPr>
        <w:t>N THE LABOUR COURT OF ZIMBABWE</w:t>
      </w:r>
      <w:r>
        <w:rPr>
          <w:b/>
          <w:sz w:val="28"/>
          <w:szCs w:val="28"/>
        </w:rPr>
        <w:tab/>
      </w:r>
      <w:r w:rsidR="00861C18">
        <w:rPr>
          <w:b/>
          <w:sz w:val="28"/>
          <w:szCs w:val="28"/>
        </w:rPr>
        <w:t>JUDGMENT NO LC/H</w:t>
      </w:r>
      <w:r>
        <w:rPr>
          <w:b/>
          <w:sz w:val="28"/>
          <w:szCs w:val="28"/>
        </w:rPr>
        <w:t>/155/</w:t>
      </w:r>
      <w:r w:rsidR="00861C18">
        <w:rPr>
          <w:b/>
          <w:sz w:val="28"/>
          <w:szCs w:val="28"/>
        </w:rPr>
        <w:t>14</w:t>
      </w:r>
    </w:p>
    <w:p w:rsidR="00861C18" w:rsidRDefault="00861C18" w:rsidP="00306AD0">
      <w:pPr>
        <w:spacing w:line="360" w:lineRule="auto"/>
        <w:jc w:val="both"/>
        <w:rPr>
          <w:b/>
          <w:sz w:val="28"/>
          <w:szCs w:val="28"/>
        </w:rPr>
      </w:pPr>
      <w:r>
        <w:rPr>
          <w:b/>
          <w:sz w:val="28"/>
          <w:szCs w:val="28"/>
        </w:rPr>
        <w:t>HELD AT HARARE 11</w:t>
      </w:r>
      <w:r w:rsidRPr="00861C18">
        <w:rPr>
          <w:b/>
          <w:sz w:val="28"/>
          <w:szCs w:val="28"/>
          <w:vertAlign w:val="superscript"/>
        </w:rPr>
        <w:t>TH</w:t>
      </w:r>
      <w:r>
        <w:rPr>
          <w:b/>
          <w:sz w:val="28"/>
          <w:szCs w:val="28"/>
        </w:rPr>
        <w:t xml:space="preserve"> MARCH 2014</w:t>
      </w:r>
      <w:r>
        <w:rPr>
          <w:b/>
          <w:sz w:val="28"/>
          <w:szCs w:val="28"/>
        </w:rPr>
        <w:tab/>
      </w:r>
      <w:r>
        <w:rPr>
          <w:b/>
          <w:sz w:val="28"/>
          <w:szCs w:val="28"/>
        </w:rPr>
        <w:tab/>
      </w:r>
      <w:r>
        <w:rPr>
          <w:b/>
          <w:sz w:val="28"/>
          <w:szCs w:val="28"/>
        </w:rPr>
        <w:tab/>
        <w:t>CASE NO LC/H/519/12</w:t>
      </w:r>
    </w:p>
    <w:p w:rsidR="00EE4924" w:rsidRDefault="00EE4924" w:rsidP="00306AD0">
      <w:pPr>
        <w:spacing w:line="360" w:lineRule="auto"/>
        <w:jc w:val="both"/>
        <w:rPr>
          <w:b/>
          <w:sz w:val="28"/>
          <w:szCs w:val="28"/>
        </w:rPr>
      </w:pPr>
      <w:r>
        <w:rPr>
          <w:b/>
          <w:sz w:val="28"/>
          <w:szCs w:val="28"/>
        </w:rPr>
        <w:t>&amp; 28</w:t>
      </w:r>
      <w:r w:rsidRPr="00EE4924">
        <w:rPr>
          <w:b/>
          <w:sz w:val="28"/>
          <w:szCs w:val="28"/>
          <w:vertAlign w:val="superscript"/>
        </w:rPr>
        <w:t>TH</w:t>
      </w:r>
      <w:r>
        <w:rPr>
          <w:b/>
          <w:sz w:val="28"/>
          <w:szCs w:val="28"/>
        </w:rPr>
        <w:t xml:space="preserve"> MARCH 2014</w:t>
      </w:r>
    </w:p>
    <w:p w:rsidR="00861C18" w:rsidRDefault="00861C18" w:rsidP="00306AD0">
      <w:pPr>
        <w:spacing w:line="360" w:lineRule="auto"/>
        <w:jc w:val="both"/>
        <w:rPr>
          <w:sz w:val="28"/>
          <w:szCs w:val="28"/>
        </w:rPr>
      </w:pPr>
      <w:r>
        <w:rPr>
          <w:sz w:val="28"/>
          <w:szCs w:val="28"/>
        </w:rPr>
        <w:t>In the matter between:-</w:t>
      </w:r>
    </w:p>
    <w:p w:rsidR="00861C18" w:rsidRDefault="00861C18" w:rsidP="00306AD0">
      <w:pPr>
        <w:spacing w:line="360" w:lineRule="auto"/>
        <w:jc w:val="both"/>
        <w:rPr>
          <w:b/>
          <w:sz w:val="28"/>
          <w:szCs w:val="28"/>
        </w:rPr>
      </w:pPr>
      <w:r>
        <w:rPr>
          <w:b/>
          <w:sz w:val="28"/>
          <w:szCs w:val="28"/>
        </w:rPr>
        <w:t>J ROMO</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Appellant</w:t>
      </w:r>
    </w:p>
    <w:p w:rsidR="00861C18" w:rsidRDefault="00861C18" w:rsidP="00306AD0">
      <w:pPr>
        <w:spacing w:line="360" w:lineRule="auto"/>
        <w:jc w:val="both"/>
        <w:rPr>
          <w:b/>
          <w:sz w:val="28"/>
          <w:szCs w:val="28"/>
        </w:rPr>
      </w:pPr>
      <w:r>
        <w:rPr>
          <w:b/>
          <w:sz w:val="28"/>
          <w:szCs w:val="28"/>
        </w:rPr>
        <w:t>And</w:t>
      </w:r>
    </w:p>
    <w:p w:rsidR="00861C18" w:rsidRDefault="00861C18" w:rsidP="00306AD0">
      <w:pPr>
        <w:spacing w:line="360" w:lineRule="auto"/>
        <w:jc w:val="both"/>
        <w:rPr>
          <w:b/>
          <w:sz w:val="28"/>
          <w:szCs w:val="28"/>
        </w:rPr>
      </w:pPr>
      <w:r>
        <w:rPr>
          <w:b/>
          <w:sz w:val="28"/>
          <w:szCs w:val="28"/>
        </w:rPr>
        <w:t>P.G. TIMBERS</w:t>
      </w:r>
      <w:r>
        <w:rPr>
          <w:b/>
          <w:sz w:val="28"/>
          <w:szCs w:val="28"/>
        </w:rPr>
        <w:tab/>
      </w:r>
      <w:r>
        <w:rPr>
          <w:b/>
          <w:sz w:val="28"/>
          <w:szCs w:val="28"/>
        </w:rPr>
        <w:tab/>
      </w:r>
      <w:r>
        <w:rPr>
          <w:b/>
          <w:sz w:val="28"/>
          <w:szCs w:val="28"/>
        </w:rPr>
        <w:tab/>
      </w:r>
      <w:r>
        <w:rPr>
          <w:b/>
          <w:sz w:val="28"/>
          <w:szCs w:val="28"/>
        </w:rPr>
        <w:tab/>
      </w:r>
      <w:r>
        <w:rPr>
          <w:b/>
          <w:sz w:val="28"/>
          <w:szCs w:val="28"/>
        </w:rPr>
        <w:tab/>
        <w:t>Respondent</w:t>
      </w:r>
    </w:p>
    <w:p w:rsidR="00861C18" w:rsidRDefault="00861C18" w:rsidP="00306AD0">
      <w:pPr>
        <w:spacing w:line="360" w:lineRule="auto"/>
        <w:jc w:val="both"/>
        <w:rPr>
          <w:sz w:val="28"/>
          <w:szCs w:val="28"/>
        </w:rPr>
      </w:pPr>
      <w:r>
        <w:rPr>
          <w:sz w:val="28"/>
          <w:szCs w:val="28"/>
        </w:rPr>
        <w:t>Before The Honourable L Kudya, Judge</w:t>
      </w:r>
    </w:p>
    <w:p w:rsidR="00861C18" w:rsidRDefault="00861C18" w:rsidP="00306AD0">
      <w:pPr>
        <w:spacing w:line="360" w:lineRule="auto"/>
        <w:jc w:val="both"/>
        <w:rPr>
          <w:b/>
          <w:sz w:val="28"/>
          <w:szCs w:val="28"/>
        </w:rPr>
      </w:pPr>
      <w:r>
        <w:rPr>
          <w:b/>
          <w:sz w:val="28"/>
          <w:szCs w:val="28"/>
        </w:rPr>
        <w:t>For Appellant</w:t>
      </w:r>
      <w:r>
        <w:rPr>
          <w:b/>
          <w:sz w:val="28"/>
          <w:szCs w:val="28"/>
        </w:rPr>
        <w:tab/>
      </w:r>
      <w:r>
        <w:rPr>
          <w:b/>
          <w:sz w:val="28"/>
          <w:szCs w:val="28"/>
        </w:rPr>
        <w:tab/>
        <w:t>G Madzoka (Legal Practitioner)</w:t>
      </w:r>
    </w:p>
    <w:p w:rsidR="00861C18" w:rsidRDefault="00861C18" w:rsidP="00306AD0">
      <w:pPr>
        <w:spacing w:line="360" w:lineRule="auto"/>
        <w:jc w:val="both"/>
        <w:rPr>
          <w:b/>
          <w:sz w:val="28"/>
          <w:szCs w:val="28"/>
        </w:rPr>
      </w:pPr>
      <w:r>
        <w:rPr>
          <w:b/>
          <w:sz w:val="28"/>
          <w:szCs w:val="28"/>
        </w:rPr>
        <w:t>For Respondent</w:t>
      </w:r>
      <w:r>
        <w:rPr>
          <w:b/>
          <w:sz w:val="28"/>
          <w:szCs w:val="28"/>
        </w:rPr>
        <w:tab/>
      </w:r>
      <w:r>
        <w:rPr>
          <w:b/>
          <w:sz w:val="28"/>
          <w:szCs w:val="28"/>
        </w:rPr>
        <w:tab/>
        <w:t>A.T. Muza (Legal Practitioner)</w:t>
      </w:r>
    </w:p>
    <w:p w:rsidR="00861C18" w:rsidRDefault="00861C18">
      <w:pPr>
        <w:rPr>
          <w:b/>
          <w:sz w:val="28"/>
          <w:szCs w:val="28"/>
        </w:rPr>
      </w:pPr>
    </w:p>
    <w:p w:rsidR="00306AD0" w:rsidRDefault="00306AD0">
      <w:pPr>
        <w:rPr>
          <w:b/>
          <w:sz w:val="28"/>
          <w:szCs w:val="28"/>
        </w:rPr>
      </w:pPr>
      <w:r>
        <w:rPr>
          <w:b/>
          <w:sz w:val="28"/>
          <w:szCs w:val="28"/>
        </w:rPr>
        <w:t>KUDYA, J:</w:t>
      </w:r>
    </w:p>
    <w:p w:rsidR="003359FD" w:rsidRDefault="003359FD">
      <w:pPr>
        <w:rPr>
          <w:b/>
          <w:sz w:val="28"/>
          <w:szCs w:val="28"/>
        </w:rPr>
      </w:pPr>
    </w:p>
    <w:p w:rsidR="00306AD0" w:rsidRDefault="00306AD0" w:rsidP="003359FD">
      <w:pPr>
        <w:spacing w:line="360" w:lineRule="auto"/>
        <w:rPr>
          <w:sz w:val="28"/>
          <w:szCs w:val="28"/>
        </w:rPr>
      </w:pPr>
      <w:r>
        <w:rPr>
          <w:b/>
          <w:sz w:val="28"/>
          <w:szCs w:val="28"/>
        </w:rPr>
        <w:tab/>
      </w:r>
      <w:r w:rsidR="003359FD">
        <w:rPr>
          <w:sz w:val="28"/>
          <w:szCs w:val="28"/>
        </w:rPr>
        <w:t>This judgment addresses the p</w:t>
      </w:r>
      <w:r w:rsidR="00D32460">
        <w:rPr>
          <w:sz w:val="28"/>
          <w:szCs w:val="28"/>
        </w:rPr>
        <w:t>oints</w:t>
      </w:r>
      <w:r w:rsidR="003359FD">
        <w:rPr>
          <w:sz w:val="28"/>
          <w:szCs w:val="28"/>
        </w:rPr>
        <w:t xml:space="preserve"> in limine raised by the appellant and by the respondent at the commencement of the hearing of the main merits of the appeal.</w:t>
      </w:r>
    </w:p>
    <w:p w:rsidR="003359FD" w:rsidRDefault="003359FD" w:rsidP="003359FD">
      <w:pPr>
        <w:spacing w:line="360" w:lineRule="auto"/>
        <w:rPr>
          <w:sz w:val="28"/>
          <w:szCs w:val="28"/>
        </w:rPr>
      </w:pPr>
      <w:r>
        <w:rPr>
          <w:sz w:val="28"/>
          <w:szCs w:val="28"/>
        </w:rPr>
        <w:tab/>
        <w:t>Appellant took</w:t>
      </w:r>
      <w:r w:rsidR="00D32460">
        <w:rPr>
          <w:sz w:val="28"/>
          <w:szCs w:val="28"/>
        </w:rPr>
        <w:t xml:space="preserve"> the poin</w:t>
      </w:r>
      <w:r>
        <w:rPr>
          <w:sz w:val="28"/>
          <w:szCs w:val="28"/>
        </w:rPr>
        <w:t xml:space="preserve">t that it is irregular for the respondent to have filed its Heads of Argument on the matter together with 2 documents styled </w:t>
      </w:r>
      <w:r w:rsidR="00D32460">
        <w:rPr>
          <w:sz w:val="28"/>
          <w:szCs w:val="28"/>
        </w:rPr>
        <w:t>“</w:t>
      </w:r>
      <w:r>
        <w:rPr>
          <w:sz w:val="28"/>
          <w:szCs w:val="28"/>
        </w:rPr>
        <w:t>attachments.</w:t>
      </w:r>
      <w:r w:rsidR="00D32460">
        <w:rPr>
          <w:sz w:val="28"/>
          <w:szCs w:val="28"/>
        </w:rPr>
        <w:t>”</w:t>
      </w:r>
      <w:r>
        <w:rPr>
          <w:sz w:val="28"/>
          <w:szCs w:val="28"/>
        </w:rPr>
        <w:t xml:space="preserve">  In appellant’s view the admission of these documents is tantamount to adducing evidence in the Heads of Argument which is not legally permissible</w:t>
      </w:r>
      <w:r w:rsidR="00D32460">
        <w:rPr>
          <w:sz w:val="28"/>
          <w:szCs w:val="28"/>
        </w:rPr>
        <w:t>.  I</w:t>
      </w:r>
      <w:r>
        <w:rPr>
          <w:sz w:val="28"/>
          <w:szCs w:val="28"/>
        </w:rPr>
        <w:t>n support of his p</w:t>
      </w:r>
      <w:r w:rsidR="00EE4924">
        <w:rPr>
          <w:sz w:val="28"/>
          <w:szCs w:val="28"/>
        </w:rPr>
        <w:t>oin</w:t>
      </w:r>
      <w:r>
        <w:rPr>
          <w:sz w:val="28"/>
          <w:szCs w:val="28"/>
        </w:rPr>
        <w:t xml:space="preserve">t the appellant made reference to </w:t>
      </w:r>
      <w:r>
        <w:rPr>
          <w:sz w:val="28"/>
          <w:szCs w:val="28"/>
        </w:rPr>
        <w:lastRenderedPageBreak/>
        <w:t>Rule 19 (2) of the Labour Court Rules which sets out the format which Heads of Argument should take.</w:t>
      </w:r>
    </w:p>
    <w:p w:rsidR="003359FD" w:rsidRDefault="003359FD" w:rsidP="003359FD">
      <w:pPr>
        <w:spacing w:line="360" w:lineRule="auto"/>
        <w:rPr>
          <w:sz w:val="28"/>
          <w:szCs w:val="28"/>
        </w:rPr>
      </w:pPr>
      <w:r>
        <w:rPr>
          <w:sz w:val="28"/>
          <w:szCs w:val="28"/>
        </w:rPr>
        <w:tab/>
        <w:t xml:space="preserve">Further to that he also relied on the Supreme Court decision in </w:t>
      </w:r>
      <w:r>
        <w:rPr>
          <w:b/>
          <w:sz w:val="28"/>
          <w:szCs w:val="28"/>
        </w:rPr>
        <w:t>Catherine M</w:t>
      </w:r>
      <w:r w:rsidR="00CF6BEA">
        <w:rPr>
          <w:b/>
          <w:sz w:val="28"/>
          <w:szCs w:val="28"/>
        </w:rPr>
        <w:t>up</w:t>
      </w:r>
      <w:r w:rsidR="00EE4924">
        <w:rPr>
          <w:b/>
          <w:sz w:val="28"/>
          <w:szCs w:val="28"/>
        </w:rPr>
        <w:t>otola</w:t>
      </w:r>
      <w:r w:rsidR="00CF6BEA">
        <w:rPr>
          <w:b/>
          <w:sz w:val="28"/>
          <w:szCs w:val="28"/>
        </w:rPr>
        <w:t xml:space="preserve"> v SADC </w:t>
      </w:r>
      <w:r w:rsidR="00CF6BEA">
        <w:rPr>
          <w:sz w:val="28"/>
          <w:szCs w:val="28"/>
        </w:rPr>
        <w:t>SC/6/07 where ZIYAMBI JA held that it was improper for a litigant to seek to place evidence before the appeal court which evidence was not part of the record before the Court aquo.</w:t>
      </w:r>
    </w:p>
    <w:p w:rsidR="00CF6BEA" w:rsidRDefault="00CF6BEA" w:rsidP="003359FD">
      <w:pPr>
        <w:spacing w:line="360" w:lineRule="auto"/>
        <w:rPr>
          <w:sz w:val="28"/>
          <w:szCs w:val="28"/>
        </w:rPr>
      </w:pPr>
      <w:r>
        <w:rPr>
          <w:sz w:val="28"/>
          <w:szCs w:val="28"/>
        </w:rPr>
        <w:tab/>
        <w:t xml:space="preserve">Finally appellant also argued that notwithstanding the fact that Rule 12 </w:t>
      </w:r>
      <w:r w:rsidR="00D32460">
        <w:rPr>
          <w:sz w:val="28"/>
          <w:szCs w:val="28"/>
        </w:rPr>
        <w:t xml:space="preserve">enjoins </w:t>
      </w:r>
      <w:r>
        <w:rPr>
          <w:sz w:val="28"/>
          <w:szCs w:val="28"/>
        </w:rPr>
        <w:t>t</w:t>
      </w:r>
      <w:r w:rsidR="00D32460">
        <w:rPr>
          <w:sz w:val="28"/>
          <w:szCs w:val="28"/>
        </w:rPr>
        <w:t>he Labour Court to avoid formalit</w:t>
      </w:r>
      <w:r>
        <w:rPr>
          <w:sz w:val="28"/>
          <w:szCs w:val="28"/>
        </w:rPr>
        <w:t>y in proceedings where it is just to do so it need be observed that the very fact that the Labour Court rules were crafted to spell out the manner in which matters have to be presented before it means that these rules were intended to be followed.</w:t>
      </w:r>
    </w:p>
    <w:p w:rsidR="00CF6BEA" w:rsidRDefault="00CF6BEA" w:rsidP="003359FD">
      <w:pPr>
        <w:spacing w:line="360" w:lineRule="auto"/>
        <w:rPr>
          <w:sz w:val="28"/>
          <w:szCs w:val="28"/>
        </w:rPr>
      </w:pPr>
      <w:r>
        <w:rPr>
          <w:sz w:val="28"/>
          <w:szCs w:val="28"/>
        </w:rPr>
        <w:tab/>
        <w:t>Appellant also indicated that in the</w:t>
      </w:r>
      <w:r w:rsidR="00254CB3">
        <w:rPr>
          <w:sz w:val="28"/>
          <w:szCs w:val="28"/>
        </w:rPr>
        <w:t xml:space="preserve"> event that the court was persuaded to admit the annexures he would thus </w:t>
      </w:r>
      <w:r w:rsidR="00D32460">
        <w:rPr>
          <w:sz w:val="28"/>
          <w:szCs w:val="28"/>
        </w:rPr>
        <w:t>implore</w:t>
      </w:r>
      <w:r w:rsidR="00254CB3">
        <w:rPr>
          <w:sz w:val="28"/>
          <w:szCs w:val="28"/>
        </w:rPr>
        <w:t xml:space="preserve"> the court to allow him to respond to the</w:t>
      </w:r>
      <w:r w:rsidR="00D32460">
        <w:rPr>
          <w:sz w:val="28"/>
          <w:szCs w:val="28"/>
        </w:rPr>
        <w:t>m</w:t>
      </w:r>
      <w:r w:rsidR="00254CB3">
        <w:rPr>
          <w:sz w:val="28"/>
          <w:szCs w:val="28"/>
        </w:rPr>
        <w:t xml:space="preserve"> appropriately lest he be prejudiced by their irregular admission.</w:t>
      </w:r>
    </w:p>
    <w:p w:rsidR="00254CB3" w:rsidRDefault="00254CB3" w:rsidP="003359FD">
      <w:pPr>
        <w:spacing w:line="360" w:lineRule="auto"/>
        <w:rPr>
          <w:sz w:val="28"/>
          <w:szCs w:val="28"/>
        </w:rPr>
      </w:pPr>
      <w:r>
        <w:rPr>
          <w:sz w:val="28"/>
          <w:szCs w:val="28"/>
        </w:rPr>
        <w:tab/>
        <w:t>Appellant also drew a distinction between the raising of a point of law and the adducing of evidence.  He agreed that indeed a p</w:t>
      </w:r>
      <w:r w:rsidR="00D32460">
        <w:rPr>
          <w:sz w:val="28"/>
          <w:szCs w:val="28"/>
        </w:rPr>
        <w:t>oin</w:t>
      </w:r>
      <w:r>
        <w:rPr>
          <w:sz w:val="28"/>
          <w:szCs w:val="28"/>
        </w:rPr>
        <w:t>t of law can be raised at any stage even in the heads but the leading of evidence at any stage would not be sanctioned by law.</w:t>
      </w:r>
    </w:p>
    <w:p w:rsidR="00254CB3" w:rsidRDefault="00254CB3" w:rsidP="003359FD">
      <w:pPr>
        <w:spacing w:line="360" w:lineRule="auto"/>
        <w:rPr>
          <w:sz w:val="28"/>
          <w:szCs w:val="28"/>
        </w:rPr>
      </w:pPr>
      <w:r>
        <w:rPr>
          <w:sz w:val="28"/>
          <w:szCs w:val="28"/>
        </w:rPr>
        <w:tab/>
        <w:t xml:space="preserve">This is particularly so if one notes that Rule 15 (2) allows a party to attach to his notice of response all attendant documents that </w:t>
      </w:r>
      <w:r w:rsidR="00D32460">
        <w:rPr>
          <w:sz w:val="28"/>
          <w:szCs w:val="28"/>
        </w:rPr>
        <w:t>he/it w</w:t>
      </w:r>
      <w:r>
        <w:rPr>
          <w:sz w:val="28"/>
          <w:szCs w:val="28"/>
        </w:rPr>
        <w:t xml:space="preserve">ishes to rely on in its case.  In the instant case it is the appellant’s argument that </w:t>
      </w:r>
      <w:r w:rsidR="00D32460">
        <w:rPr>
          <w:sz w:val="28"/>
          <w:szCs w:val="28"/>
        </w:rPr>
        <w:t xml:space="preserve">respondent </w:t>
      </w:r>
      <w:r>
        <w:rPr>
          <w:sz w:val="28"/>
          <w:szCs w:val="28"/>
        </w:rPr>
        <w:t>should have done so when it filed its notice of response.  In any event the documents compl</w:t>
      </w:r>
      <w:r w:rsidR="00D32460">
        <w:rPr>
          <w:sz w:val="28"/>
          <w:szCs w:val="28"/>
        </w:rPr>
        <w:t>ained</w:t>
      </w:r>
      <w:r>
        <w:rPr>
          <w:sz w:val="28"/>
          <w:szCs w:val="28"/>
        </w:rPr>
        <w:t xml:space="preserve"> about were not part of the disciplinary </w:t>
      </w:r>
      <w:r>
        <w:rPr>
          <w:sz w:val="28"/>
          <w:szCs w:val="28"/>
        </w:rPr>
        <w:lastRenderedPageBreak/>
        <w:t>proceedings wh</w:t>
      </w:r>
      <w:r w:rsidR="00D32460">
        <w:rPr>
          <w:sz w:val="28"/>
          <w:szCs w:val="28"/>
        </w:rPr>
        <w:t>ich</w:t>
      </w:r>
      <w:r>
        <w:rPr>
          <w:sz w:val="28"/>
          <w:szCs w:val="28"/>
        </w:rPr>
        <w:t xml:space="preserve"> are the subject of appeal hence it would be improper to admit them as they were not tested by the court aquo.</w:t>
      </w:r>
    </w:p>
    <w:p w:rsidR="00254CB3" w:rsidRDefault="00254CB3" w:rsidP="003359FD">
      <w:pPr>
        <w:spacing w:line="360" w:lineRule="auto"/>
        <w:rPr>
          <w:sz w:val="28"/>
          <w:szCs w:val="28"/>
        </w:rPr>
      </w:pPr>
      <w:r>
        <w:rPr>
          <w:sz w:val="28"/>
          <w:szCs w:val="28"/>
        </w:rPr>
        <w:tab/>
        <w:t>In response</w:t>
      </w:r>
      <w:r w:rsidR="00D32460">
        <w:rPr>
          <w:sz w:val="28"/>
          <w:szCs w:val="28"/>
        </w:rPr>
        <w:t>,</w:t>
      </w:r>
      <w:r>
        <w:rPr>
          <w:sz w:val="28"/>
          <w:szCs w:val="28"/>
        </w:rPr>
        <w:t xml:space="preserve"> the respondent was adamant that due to Rul</w:t>
      </w:r>
      <w:r w:rsidR="00D32460">
        <w:rPr>
          <w:sz w:val="28"/>
          <w:szCs w:val="28"/>
        </w:rPr>
        <w:t>e 12 which talks about informalit</w:t>
      </w:r>
      <w:r>
        <w:rPr>
          <w:sz w:val="28"/>
          <w:szCs w:val="28"/>
        </w:rPr>
        <w:t xml:space="preserve">y of proceedings it was its considered </w:t>
      </w:r>
      <w:r w:rsidR="00D32460">
        <w:rPr>
          <w:sz w:val="28"/>
          <w:szCs w:val="28"/>
        </w:rPr>
        <w:t>view</w:t>
      </w:r>
      <w:r w:rsidR="00D30909">
        <w:rPr>
          <w:sz w:val="28"/>
          <w:szCs w:val="28"/>
        </w:rPr>
        <w:t>t</w:t>
      </w:r>
      <w:r>
        <w:rPr>
          <w:sz w:val="28"/>
          <w:szCs w:val="28"/>
        </w:rPr>
        <w:t xml:space="preserve">hat admission of the annexures would not affect the validity of the proceedings neither would they prejudice the appellant’s case in any way.  It also argued that the Labour Court rules do not categorically preclude the admission of evidence with </w:t>
      </w:r>
      <w:r w:rsidR="00D30909">
        <w:rPr>
          <w:sz w:val="28"/>
          <w:szCs w:val="28"/>
        </w:rPr>
        <w:t>the heads especially in its case where the evidence is meant to amplify the p</w:t>
      </w:r>
      <w:r w:rsidR="00D32460">
        <w:rPr>
          <w:sz w:val="28"/>
          <w:szCs w:val="28"/>
        </w:rPr>
        <w:t>oint of law subsequently made i</w:t>
      </w:r>
      <w:r w:rsidR="00D30909">
        <w:rPr>
          <w:sz w:val="28"/>
          <w:szCs w:val="28"/>
        </w:rPr>
        <w:t>n the heads.</w:t>
      </w:r>
    </w:p>
    <w:p w:rsidR="00D32460" w:rsidRDefault="00D30909" w:rsidP="003359FD">
      <w:pPr>
        <w:spacing w:line="360" w:lineRule="auto"/>
        <w:rPr>
          <w:sz w:val="28"/>
          <w:szCs w:val="28"/>
        </w:rPr>
      </w:pPr>
      <w:r>
        <w:rPr>
          <w:sz w:val="28"/>
          <w:szCs w:val="28"/>
        </w:rPr>
        <w:tab/>
        <w:t>As regards this p</w:t>
      </w:r>
      <w:r w:rsidR="00D32460">
        <w:rPr>
          <w:sz w:val="28"/>
          <w:szCs w:val="28"/>
        </w:rPr>
        <w:t>oin</w:t>
      </w:r>
      <w:r>
        <w:rPr>
          <w:sz w:val="28"/>
          <w:szCs w:val="28"/>
        </w:rPr>
        <w:t xml:space="preserve">t it is pertinent to </w:t>
      </w:r>
      <w:r w:rsidR="00D32460">
        <w:rPr>
          <w:sz w:val="28"/>
          <w:szCs w:val="28"/>
        </w:rPr>
        <w:t>note</w:t>
      </w:r>
      <w:r>
        <w:rPr>
          <w:sz w:val="28"/>
          <w:szCs w:val="28"/>
        </w:rPr>
        <w:t xml:space="preserve"> that the law is as clearly explained by the appellant.  Indeed raising a point of law is clearly distinct from leading evidence in a case.  The definition of a p</w:t>
      </w:r>
      <w:r w:rsidR="00D32460">
        <w:rPr>
          <w:sz w:val="28"/>
          <w:szCs w:val="28"/>
        </w:rPr>
        <w:t>oin</w:t>
      </w:r>
      <w:r>
        <w:rPr>
          <w:sz w:val="28"/>
          <w:szCs w:val="28"/>
        </w:rPr>
        <w:t>t of law is well setted</w:t>
      </w:r>
      <w:r w:rsidR="00D32460">
        <w:rPr>
          <w:sz w:val="28"/>
          <w:szCs w:val="28"/>
        </w:rPr>
        <w:t xml:space="preserve">. </w:t>
      </w:r>
      <w:r>
        <w:rPr>
          <w:sz w:val="28"/>
          <w:szCs w:val="28"/>
        </w:rPr>
        <w:t xml:space="preserve"> See </w:t>
      </w:r>
      <w:r w:rsidR="00D32460">
        <w:rPr>
          <w:b/>
          <w:sz w:val="28"/>
          <w:szCs w:val="28"/>
        </w:rPr>
        <w:t xml:space="preserve">Muzuva v United Bottlers </w:t>
      </w:r>
      <w:r w:rsidR="00B55010">
        <w:rPr>
          <w:sz w:val="28"/>
          <w:szCs w:val="28"/>
        </w:rPr>
        <w:t>1994 (1)</w:t>
      </w:r>
      <w:r w:rsidR="00D32460">
        <w:rPr>
          <w:sz w:val="28"/>
          <w:szCs w:val="28"/>
        </w:rPr>
        <w:t xml:space="preserve"> ZLR 217.</w:t>
      </w:r>
      <w:r>
        <w:rPr>
          <w:sz w:val="28"/>
          <w:szCs w:val="28"/>
        </w:rPr>
        <w:t xml:space="preserve">  Arising from the definition in this case the court fails to appreciate how the attachments would fit in to that definition.  </w:t>
      </w:r>
    </w:p>
    <w:p w:rsidR="00D30909" w:rsidRDefault="00D30909" w:rsidP="00D32460">
      <w:pPr>
        <w:spacing w:line="360" w:lineRule="auto"/>
        <w:ind w:firstLine="720"/>
        <w:rPr>
          <w:sz w:val="28"/>
          <w:szCs w:val="28"/>
        </w:rPr>
      </w:pPr>
      <w:r>
        <w:rPr>
          <w:sz w:val="28"/>
          <w:szCs w:val="28"/>
        </w:rPr>
        <w:t xml:space="preserve">An explanation of what the law is would not require any </w:t>
      </w:r>
      <w:r w:rsidR="00D32460">
        <w:rPr>
          <w:sz w:val="28"/>
          <w:szCs w:val="28"/>
        </w:rPr>
        <w:t xml:space="preserve">evidentiary </w:t>
      </w:r>
      <w:r>
        <w:rPr>
          <w:sz w:val="28"/>
          <w:szCs w:val="28"/>
        </w:rPr>
        <w:t>attachments to explain the law at all. In any event</w:t>
      </w:r>
      <w:r w:rsidR="00D32460">
        <w:rPr>
          <w:sz w:val="28"/>
          <w:szCs w:val="28"/>
        </w:rPr>
        <w:t>,</w:t>
      </w:r>
      <w:r>
        <w:rPr>
          <w:sz w:val="28"/>
          <w:szCs w:val="28"/>
        </w:rPr>
        <w:t xml:space="preserve"> as also correctly observed by the appellant the very existence of the rules of the Labour Court speak to a standard which has to be follow in the conduct of the proceeding and that cannot be flouted in the guise of reliance on the informality clause </w:t>
      </w:r>
      <w:r w:rsidR="00D32460">
        <w:rPr>
          <w:sz w:val="28"/>
          <w:szCs w:val="28"/>
        </w:rPr>
        <w:t>in</w:t>
      </w:r>
      <w:r>
        <w:rPr>
          <w:sz w:val="28"/>
          <w:szCs w:val="28"/>
        </w:rPr>
        <w:t xml:space="preserve"> the rules.</w:t>
      </w:r>
    </w:p>
    <w:p w:rsidR="00D30909" w:rsidRDefault="00D30909" w:rsidP="003359FD">
      <w:pPr>
        <w:spacing w:line="360" w:lineRule="auto"/>
        <w:rPr>
          <w:sz w:val="28"/>
          <w:szCs w:val="28"/>
        </w:rPr>
      </w:pPr>
      <w:r>
        <w:rPr>
          <w:sz w:val="28"/>
          <w:szCs w:val="28"/>
        </w:rPr>
        <w:tab/>
        <w:t>The court is satisfied that the p</w:t>
      </w:r>
      <w:r w:rsidR="00D32460">
        <w:rPr>
          <w:sz w:val="28"/>
          <w:szCs w:val="28"/>
        </w:rPr>
        <w:t>oin</w:t>
      </w:r>
      <w:r>
        <w:rPr>
          <w:sz w:val="28"/>
          <w:szCs w:val="28"/>
        </w:rPr>
        <w:t xml:space="preserve">t in limine </w:t>
      </w:r>
      <w:r w:rsidR="00D32460">
        <w:rPr>
          <w:sz w:val="28"/>
          <w:szCs w:val="28"/>
        </w:rPr>
        <w:t>on</w:t>
      </w:r>
      <w:r>
        <w:rPr>
          <w:sz w:val="28"/>
          <w:szCs w:val="28"/>
        </w:rPr>
        <w:t xml:space="preserve"> the attachments to the heads being</w:t>
      </w:r>
      <w:r w:rsidR="00C067B5">
        <w:rPr>
          <w:sz w:val="28"/>
          <w:szCs w:val="28"/>
        </w:rPr>
        <w:t xml:space="preserve"> with merit it be and is hereby upheld.  The a</w:t>
      </w:r>
      <w:r w:rsidR="00D32460">
        <w:rPr>
          <w:sz w:val="28"/>
          <w:szCs w:val="28"/>
        </w:rPr>
        <w:t>ttachments are accordingly expun</w:t>
      </w:r>
      <w:r w:rsidR="00C067B5">
        <w:rPr>
          <w:sz w:val="28"/>
          <w:szCs w:val="28"/>
        </w:rPr>
        <w:t>ged from the record.</w:t>
      </w:r>
    </w:p>
    <w:p w:rsidR="00C067B5" w:rsidRDefault="00C067B5" w:rsidP="003359FD">
      <w:pPr>
        <w:spacing w:line="360" w:lineRule="auto"/>
        <w:rPr>
          <w:sz w:val="28"/>
          <w:szCs w:val="28"/>
        </w:rPr>
      </w:pPr>
      <w:r>
        <w:rPr>
          <w:sz w:val="28"/>
          <w:szCs w:val="28"/>
        </w:rPr>
        <w:tab/>
        <w:t>On the other hand</w:t>
      </w:r>
      <w:r w:rsidR="00D32460">
        <w:rPr>
          <w:sz w:val="28"/>
          <w:szCs w:val="28"/>
        </w:rPr>
        <w:t>,</w:t>
      </w:r>
      <w:r>
        <w:rPr>
          <w:sz w:val="28"/>
          <w:szCs w:val="28"/>
        </w:rPr>
        <w:t xml:space="preserve"> the respondent raised the p</w:t>
      </w:r>
      <w:r w:rsidR="00D32460">
        <w:rPr>
          <w:sz w:val="28"/>
          <w:szCs w:val="28"/>
        </w:rPr>
        <w:t>oin</w:t>
      </w:r>
      <w:r>
        <w:rPr>
          <w:sz w:val="28"/>
          <w:szCs w:val="28"/>
        </w:rPr>
        <w:t xml:space="preserve">t that there is no appeal before the courts.  This is so because in its view the appellant cited the </w:t>
      </w:r>
      <w:r w:rsidR="00D32460">
        <w:rPr>
          <w:sz w:val="28"/>
          <w:szCs w:val="28"/>
        </w:rPr>
        <w:lastRenderedPageBreak/>
        <w:t>wrong</w:t>
      </w:r>
      <w:r>
        <w:rPr>
          <w:sz w:val="28"/>
          <w:szCs w:val="28"/>
        </w:rPr>
        <w:t>party and if an order is gra</w:t>
      </w:r>
      <w:r w:rsidR="00D32460">
        <w:rPr>
          <w:sz w:val="28"/>
          <w:szCs w:val="28"/>
        </w:rPr>
        <w:t>n</w:t>
      </w:r>
      <w:r>
        <w:rPr>
          <w:sz w:val="28"/>
          <w:szCs w:val="28"/>
        </w:rPr>
        <w:t xml:space="preserve">ted it may not be executable as it would be bad in law in that respect.  In particular respondent’s argument is that appellant was in the employ of PG Timbers a subsidiary of PG Industry.  To that extent the disciplinary proceedings were between appellant and PG Timbers which is a separate legal entity from PG Industries.  The respondent argued that such an anomaly is a fatal omission which goes to the </w:t>
      </w:r>
      <w:r w:rsidR="00D32460">
        <w:rPr>
          <w:sz w:val="28"/>
          <w:szCs w:val="28"/>
        </w:rPr>
        <w:t xml:space="preserve">root </w:t>
      </w:r>
      <w:r>
        <w:rPr>
          <w:sz w:val="28"/>
          <w:szCs w:val="28"/>
        </w:rPr>
        <w:t>of the appeal and entitles it to seek that the appeal be dismissed with costs o</w:t>
      </w:r>
      <w:r w:rsidR="00D32460">
        <w:rPr>
          <w:sz w:val="28"/>
          <w:szCs w:val="28"/>
        </w:rPr>
        <w:t>n</w:t>
      </w:r>
      <w:r>
        <w:rPr>
          <w:sz w:val="28"/>
          <w:szCs w:val="28"/>
        </w:rPr>
        <w:t xml:space="preserve"> that basis.</w:t>
      </w:r>
    </w:p>
    <w:p w:rsidR="00C067B5" w:rsidRDefault="00C067B5" w:rsidP="003359FD">
      <w:pPr>
        <w:spacing w:line="360" w:lineRule="auto"/>
        <w:rPr>
          <w:sz w:val="28"/>
          <w:szCs w:val="28"/>
        </w:rPr>
      </w:pPr>
      <w:r>
        <w:rPr>
          <w:sz w:val="28"/>
          <w:szCs w:val="28"/>
        </w:rPr>
        <w:tab/>
        <w:t xml:space="preserve">In response to this point the appellant argued that </w:t>
      </w:r>
      <w:r w:rsidR="00D32460">
        <w:rPr>
          <w:sz w:val="28"/>
          <w:szCs w:val="28"/>
        </w:rPr>
        <w:t>he</w:t>
      </w:r>
      <w:r>
        <w:rPr>
          <w:sz w:val="28"/>
          <w:szCs w:val="28"/>
        </w:rPr>
        <w:t xml:space="preserve"> did not cite the wrong party</w:t>
      </w:r>
      <w:r w:rsidR="00D32460">
        <w:rPr>
          <w:sz w:val="28"/>
          <w:szCs w:val="28"/>
        </w:rPr>
        <w:t>.  H</w:t>
      </w:r>
      <w:r>
        <w:rPr>
          <w:sz w:val="28"/>
          <w:szCs w:val="28"/>
        </w:rPr>
        <w:t>e argued that in his dealings with PG Timbers and PG Industry he was made to believe that they were one and the same body or rather that he was contra</w:t>
      </w:r>
      <w:r w:rsidR="00D32460">
        <w:rPr>
          <w:sz w:val="28"/>
          <w:szCs w:val="28"/>
        </w:rPr>
        <w:t>cting</w:t>
      </w:r>
      <w:r>
        <w:rPr>
          <w:sz w:val="28"/>
          <w:szCs w:val="28"/>
        </w:rPr>
        <w:t xml:space="preserve"> with the same body.  The basis of his argument is that a reading of exhibit </w:t>
      </w:r>
      <w:r w:rsidR="00D32460">
        <w:rPr>
          <w:sz w:val="28"/>
          <w:szCs w:val="28"/>
        </w:rPr>
        <w:t xml:space="preserve">(1) </w:t>
      </w:r>
      <w:r>
        <w:rPr>
          <w:sz w:val="28"/>
          <w:szCs w:val="28"/>
        </w:rPr>
        <w:t xml:space="preserve">his payslip shows that it was issued by PG Industries as his employer with his pay point styled PG Timbers Harare.  In his view if one places reliance on the definition of </w:t>
      </w:r>
      <w:r w:rsidR="00D32460">
        <w:rPr>
          <w:sz w:val="28"/>
          <w:szCs w:val="28"/>
        </w:rPr>
        <w:t>“</w:t>
      </w:r>
      <w:r>
        <w:rPr>
          <w:sz w:val="28"/>
          <w:szCs w:val="28"/>
        </w:rPr>
        <w:t>employer</w:t>
      </w:r>
      <w:r w:rsidR="00D32460">
        <w:rPr>
          <w:sz w:val="28"/>
          <w:szCs w:val="28"/>
        </w:rPr>
        <w:t>”</w:t>
      </w:r>
      <w:r>
        <w:rPr>
          <w:sz w:val="28"/>
          <w:szCs w:val="28"/>
        </w:rPr>
        <w:t xml:space="preserve"> in the Act as being the one who remunerates a party it is his argument that since PG Industries remunerated him it therefore means it was his employer.</w:t>
      </w:r>
    </w:p>
    <w:p w:rsidR="00C067B5" w:rsidRDefault="00C067B5" w:rsidP="003359FD">
      <w:pPr>
        <w:spacing w:line="360" w:lineRule="auto"/>
        <w:rPr>
          <w:sz w:val="28"/>
          <w:szCs w:val="28"/>
        </w:rPr>
      </w:pPr>
      <w:r>
        <w:rPr>
          <w:sz w:val="28"/>
          <w:szCs w:val="28"/>
        </w:rPr>
        <w:tab/>
        <w:t>In that regard he ma</w:t>
      </w:r>
      <w:r w:rsidR="00EE4924">
        <w:rPr>
          <w:sz w:val="28"/>
          <w:szCs w:val="28"/>
        </w:rPr>
        <w:t>i</w:t>
      </w:r>
      <w:r>
        <w:rPr>
          <w:sz w:val="28"/>
          <w:szCs w:val="28"/>
        </w:rPr>
        <w:t>nt</w:t>
      </w:r>
      <w:r w:rsidR="00D32460">
        <w:rPr>
          <w:sz w:val="28"/>
          <w:szCs w:val="28"/>
        </w:rPr>
        <w:t>a</w:t>
      </w:r>
      <w:r w:rsidR="00EE4924">
        <w:rPr>
          <w:sz w:val="28"/>
          <w:szCs w:val="28"/>
        </w:rPr>
        <w:t>i</w:t>
      </w:r>
      <w:r w:rsidR="00D32460">
        <w:rPr>
          <w:sz w:val="28"/>
          <w:szCs w:val="28"/>
        </w:rPr>
        <w:t>ned</w:t>
      </w:r>
      <w:r>
        <w:rPr>
          <w:sz w:val="28"/>
          <w:szCs w:val="28"/>
        </w:rPr>
        <w:t xml:space="preserve"> that he sued out the correct party.  Further to that he relied on his job description which makes reference to PG Industry as his employer</w:t>
      </w:r>
      <w:r w:rsidR="00D32460">
        <w:rPr>
          <w:sz w:val="28"/>
          <w:szCs w:val="28"/>
        </w:rPr>
        <w:t>.   O</w:t>
      </w:r>
      <w:r>
        <w:rPr>
          <w:sz w:val="28"/>
          <w:szCs w:val="28"/>
        </w:rPr>
        <w:t>ver and above that his contract refers to both P</w:t>
      </w:r>
      <w:r w:rsidR="00C10A9C">
        <w:rPr>
          <w:sz w:val="28"/>
          <w:szCs w:val="28"/>
        </w:rPr>
        <w:t xml:space="preserve">G Timbers as well as PG Industries.  He argued that the least that </w:t>
      </w:r>
      <w:r w:rsidR="00D32460">
        <w:rPr>
          <w:sz w:val="28"/>
          <w:szCs w:val="28"/>
        </w:rPr>
        <w:t>can be said</w:t>
      </w:r>
      <w:r w:rsidR="00C10A9C">
        <w:rPr>
          <w:sz w:val="28"/>
          <w:szCs w:val="28"/>
        </w:rPr>
        <w:t xml:space="preserve"> of the citations is that the entities or their dealings with him held out that they are one and the same entity.</w:t>
      </w:r>
    </w:p>
    <w:p w:rsidR="00C10A9C" w:rsidRDefault="00C10A9C" w:rsidP="003359FD">
      <w:pPr>
        <w:spacing w:line="360" w:lineRule="auto"/>
        <w:rPr>
          <w:sz w:val="28"/>
          <w:szCs w:val="28"/>
        </w:rPr>
      </w:pPr>
      <w:r>
        <w:rPr>
          <w:sz w:val="28"/>
          <w:szCs w:val="28"/>
        </w:rPr>
        <w:tab/>
        <w:t xml:space="preserve">The respondent was however adamant that it was clear to appellant that his employer was PG Timbers and he should have proceeded against such.  The references to PG Industries was occasioned by the fact that all the stationery used by PG Timbers emanated from its head office PG Industries hence the </w:t>
      </w:r>
      <w:r>
        <w:rPr>
          <w:sz w:val="28"/>
          <w:szCs w:val="28"/>
        </w:rPr>
        <w:lastRenderedPageBreak/>
        <w:t xml:space="preserve">alleged </w:t>
      </w:r>
      <w:r w:rsidR="00A907E2">
        <w:rPr>
          <w:sz w:val="28"/>
          <w:szCs w:val="28"/>
        </w:rPr>
        <w:t xml:space="preserve">mix up </w:t>
      </w:r>
      <w:r>
        <w:rPr>
          <w:sz w:val="28"/>
          <w:szCs w:val="28"/>
        </w:rPr>
        <w:t xml:space="preserve">where in all documents there ended up being reference to PG Industries as well as PG Timbers in the same context.  It thus </w:t>
      </w:r>
      <w:r w:rsidR="00A907E2">
        <w:rPr>
          <w:sz w:val="28"/>
          <w:szCs w:val="28"/>
        </w:rPr>
        <w:t xml:space="preserve">maintained </w:t>
      </w:r>
      <w:r>
        <w:rPr>
          <w:sz w:val="28"/>
          <w:szCs w:val="28"/>
        </w:rPr>
        <w:t>its sta</w:t>
      </w:r>
      <w:r w:rsidR="00A907E2">
        <w:rPr>
          <w:sz w:val="28"/>
          <w:szCs w:val="28"/>
        </w:rPr>
        <w:t>nic</w:t>
      </w:r>
      <w:r>
        <w:rPr>
          <w:sz w:val="28"/>
          <w:szCs w:val="28"/>
        </w:rPr>
        <w:t xml:space="preserve"> that the appellant ill-cited it and the appeal had to be dismissed on that basis alone.  It also </w:t>
      </w:r>
      <w:r w:rsidR="00A907E2">
        <w:rPr>
          <w:sz w:val="28"/>
          <w:szCs w:val="28"/>
        </w:rPr>
        <w:t>distinguished t</w:t>
      </w:r>
      <w:r>
        <w:rPr>
          <w:sz w:val="28"/>
          <w:szCs w:val="28"/>
        </w:rPr>
        <w:t xml:space="preserve">he facts of the case of </w:t>
      </w:r>
      <w:r w:rsidRPr="00C10A9C">
        <w:rPr>
          <w:b/>
          <w:sz w:val="28"/>
          <w:szCs w:val="28"/>
        </w:rPr>
        <w:t>Bve</w:t>
      </w:r>
      <w:r w:rsidR="00A907E2">
        <w:rPr>
          <w:b/>
          <w:sz w:val="28"/>
          <w:szCs w:val="28"/>
        </w:rPr>
        <w:t>kerwa</w:t>
      </w:r>
      <w:r w:rsidRPr="00C10A9C">
        <w:rPr>
          <w:b/>
          <w:sz w:val="28"/>
          <w:szCs w:val="28"/>
        </w:rPr>
        <w:t xml:space="preserve"> v PG Timbers</w:t>
      </w:r>
      <w:r>
        <w:rPr>
          <w:sz w:val="28"/>
          <w:szCs w:val="28"/>
        </w:rPr>
        <w:t xml:space="preserve">LC/H/340/13 where it argued that in the </w:t>
      </w:r>
      <w:r w:rsidRPr="00C10A9C">
        <w:rPr>
          <w:b/>
          <w:sz w:val="28"/>
          <w:szCs w:val="28"/>
        </w:rPr>
        <w:t>Bve</w:t>
      </w:r>
      <w:r w:rsidR="00A907E2">
        <w:rPr>
          <w:b/>
          <w:sz w:val="28"/>
          <w:szCs w:val="28"/>
        </w:rPr>
        <w:t>kerwa</w:t>
      </w:r>
      <w:r w:rsidR="00A907E2" w:rsidRPr="00A907E2">
        <w:rPr>
          <w:sz w:val="28"/>
          <w:szCs w:val="28"/>
        </w:rPr>
        <w:t>(supra)</w:t>
      </w:r>
      <w:r>
        <w:rPr>
          <w:sz w:val="28"/>
          <w:szCs w:val="28"/>
        </w:rPr>
        <w:t>case the facts differed from facts of instant case</w:t>
      </w:r>
      <w:r w:rsidR="00A907E2">
        <w:rPr>
          <w:sz w:val="28"/>
          <w:szCs w:val="28"/>
        </w:rPr>
        <w:t>.  F</w:t>
      </w:r>
      <w:r>
        <w:rPr>
          <w:sz w:val="28"/>
          <w:szCs w:val="28"/>
        </w:rPr>
        <w:t>urther</w:t>
      </w:r>
      <w:r w:rsidR="00A907E2">
        <w:rPr>
          <w:sz w:val="28"/>
          <w:szCs w:val="28"/>
        </w:rPr>
        <w:t xml:space="preserve"> to</w:t>
      </w:r>
      <w:r>
        <w:rPr>
          <w:sz w:val="28"/>
          <w:szCs w:val="28"/>
        </w:rPr>
        <w:t xml:space="preserve"> that it </w:t>
      </w:r>
      <w:r w:rsidR="00A907E2">
        <w:rPr>
          <w:sz w:val="28"/>
          <w:szCs w:val="28"/>
        </w:rPr>
        <w:t>maintained</w:t>
      </w:r>
      <w:r>
        <w:rPr>
          <w:sz w:val="28"/>
          <w:szCs w:val="28"/>
        </w:rPr>
        <w:t xml:space="preserve"> that the </w:t>
      </w:r>
      <w:r>
        <w:rPr>
          <w:b/>
          <w:sz w:val="28"/>
          <w:szCs w:val="28"/>
        </w:rPr>
        <w:t>Bve</w:t>
      </w:r>
      <w:r w:rsidR="00A907E2">
        <w:rPr>
          <w:b/>
          <w:sz w:val="28"/>
          <w:szCs w:val="28"/>
        </w:rPr>
        <w:t>kerwa</w:t>
      </w:r>
      <w:r w:rsidR="00A907E2">
        <w:rPr>
          <w:sz w:val="28"/>
          <w:szCs w:val="28"/>
        </w:rPr>
        <w:t xml:space="preserve">  case is o</w:t>
      </w:r>
      <w:r>
        <w:rPr>
          <w:sz w:val="28"/>
          <w:szCs w:val="28"/>
        </w:rPr>
        <w:t>n appeal at Supreme Court hence the ruling cannot be relied upon by this court.</w:t>
      </w:r>
    </w:p>
    <w:p w:rsidR="00A907E2" w:rsidRDefault="00C10A9C" w:rsidP="00A907E2">
      <w:pPr>
        <w:spacing w:line="360" w:lineRule="auto"/>
        <w:ind w:firstLine="720"/>
        <w:rPr>
          <w:sz w:val="28"/>
          <w:szCs w:val="28"/>
        </w:rPr>
      </w:pPr>
      <w:r>
        <w:rPr>
          <w:sz w:val="28"/>
          <w:szCs w:val="28"/>
        </w:rPr>
        <w:t>The</w:t>
      </w:r>
      <w:r w:rsidR="00BB4B71">
        <w:rPr>
          <w:sz w:val="28"/>
          <w:szCs w:val="28"/>
        </w:rPr>
        <w:t xml:space="preserve"> law is clear on the citation of parties that if the ill citation goes to the </w:t>
      </w:r>
      <w:r w:rsidR="00A907E2">
        <w:rPr>
          <w:sz w:val="28"/>
          <w:szCs w:val="28"/>
        </w:rPr>
        <w:t>root</w:t>
      </w:r>
      <w:r w:rsidR="00BB4B71">
        <w:rPr>
          <w:sz w:val="28"/>
          <w:szCs w:val="28"/>
        </w:rPr>
        <w:t xml:space="preserve"> of the case and is </w:t>
      </w:r>
      <w:r w:rsidR="00A907E2">
        <w:rPr>
          <w:sz w:val="28"/>
          <w:szCs w:val="28"/>
        </w:rPr>
        <w:t xml:space="preserve">bound </w:t>
      </w:r>
      <w:r w:rsidR="00BB4B71">
        <w:rPr>
          <w:sz w:val="28"/>
          <w:szCs w:val="28"/>
        </w:rPr>
        <w:t>to prejudice the ill cited party then indeed a claim can be dismissed on that account only.  In the same light the law is also clear that a party cannot rely on its mistake to the prejudice of the other party</w:t>
      </w:r>
      <w:r w:rsidR="00A907E2">
        <w:rPr>
          <w:sz w:val="28"/>
          <w:szCs w:val="28"/>
        </w:rPr>
        <w:t>.</w:t>
      </w:r>
    </w:p>
    <w:p w:rsidR="00A907E2" w:rsidRDefault="00BB4B71" w:rsidP="00A907E2">
      <w:pPr>
        <w:spacing w:line="360" w:lineRule="auto"/>
        <w:ind w:firstLine="720"/>
        <w:rPr>
          <w:sz w:val="28"/>
          <w:szCs w:val="28"/>
        </w:rPr>
      </w:pPr>
      <w:r>
        <w:rPr>
          <w:sz w:val="28"/>
          <w:szCs w:val="28"/>
        </w:rPr>
        <w:t xml:space="preserve">Applying the legal principles stated above to the facts of the instant it is worth noting the </w:t>
      </w:r>
      <w:r w:rsidR="00A907E2">
        <w:rPr>
          <w:sz w:val="28"/>
          <w:szCs w:val="28"/>
        </w:rPr>
        <w:t>following.   I</w:t>
      </w:r>
      <w:r>
        <w:rPr>
          <w:sz w:val="28"/>
          <w:szCs w:val="28"/>
        </w:rPr>
        <w:t xml:space="preserve">n the first place all the documents referred </w:t>
      </w:r>
      <w:r w:rsidR="00A907E2">
        <w:rPr>
          <w:sz w:val="28"/>
          <w:szCs w:val="28"/>
        </w:rPr>
        <w:t>to in</w:t>
      </w:r>
      <w:r>
        <w:rPr>
          <w:sz w:val="28"/>
          <w:szCs w:val="28"/>
        </w:rPr>
        <w:t xml:space="preserve"> the instant case  create the impression that there was no clear distinction between PG Industries and PG Timbers.  It would thus not be stretching one’s imagination </w:t>
      </w:r>
      <w:r w:rsidR="00A907E2">
        <w:rPr>
          <w:sz w:val="28"/>
          <w:szCs w:val="28"/>
        </w:rPr>
        <w:t>too far</w:t>
      </w:r>
      <w:r w:rsidR="00EE1F95">
        <w:rPr>
          <w:sz w:val="28"/>
          <w:szCs w:val="28"/>
        </w:rPr>
        <w:t xml:space="preserve"> to conclude that where the respondent decided to communicate with the appellant in every material aspect from the job offer to the payslip making interrelated references to the 2 parties appellant cannot be faulted for concluding </w:t>
      </w:r>
      <w:r w:rsidR="00A907E2">
        <w:rPr>
          <w:sz w:val="28"/>
          <w:szCs w:val="28"/>
        </w:rPr>
        <w:t>that he was dealing with either/</w:t>
      </w:r>
      <w:r w:rsidR="00EE1F95">
        <w:rPr>
          <w:sz w:val="28"/>
          <w:szCs w:val="28"/>
        </w:rPr>
        <w:t xml:space="preserve">or at all relevant times.  </w:t>
      </w:r>
    </w:p>
    <w:p w:rsidR="00BB4B71" w:rsidRDefault="00EE1F95" w:rsidP="00A907E2">
      <w:pPr>
        <w:spacing w:line="360" w:lineRule="auto"/>
        <w:ind w:firstLine="720"/>
        <w:rPr>
          <w:sz w:val="28"/>
          <w:szCs w:val="28"/>
        </w:rPr>
      </w:pPr>
      <w:r>
        <w:rPr>
          <w:sz w:val="28"/>
          <w:szCs w:val="28"/>
        </w:rPr>
        <w:t>The respondent can thus not rely on th</w:t>
      </w:r>
      <w:r w:rsidR="00A907E2">
        <w:rPr>
          <w:sz w:val="28"/>
          <w:szCs w:val="28"/>
        </w:rPr>
        <w:t>e</w:t>
      </w:r>
      <w:r>
        <w:rPr>
          <w:sz w:val="28"/>
          <w:szCs w:val="28"/>
        </w:rPr>
        <w:t xml:space="preserve"> confusion whic</w:t>
      </w:r>
      <w:r w:rsidR="00A907E2">
        <w:rPr>
          <w:sz w:val="28"/>
          <w:szCs w:val="28"/>
        </w:rPr>
        <w:t>h it created</w:t>
      </w:r>
      <w:r>
        <w:rPr>
          <w:sz w:val="28"/>
          <w:szCs w:val="28"/>
        </w:rPr>
        <w:t xml:space="preserve"> in its correspondences.  In any event even if the court were to rule that indeed it is an omission it is not an omission which goes to the rest of the case as PG Industries as the respondent says is the holding company of the subsidiary so it cannot at law be legally be </w:t>
      </w:r>
      <w:r w:rsidR="00A907E2">
        <w:rPr>
          <w:sz w:val="28"/>
          <w:szCs w:val="28"/>
        </w:rPr>
        <w:t xml:space="preserve">answerable to its </w:t>
      </w:r>
      <w:r>
        <w:rPr>
          <w:sz w:val="28"/>
          <w:szCs w:val="28"/>
        </w:rPr>
        <w:t>subsidiary</w:t>
      </w:r>
      <w:r w:rsidR="00A907E2">
        <w:rPr>
          <w:sz w:val="28"/>
          <w:szCs w:val="28"/>
        </w:rPr>
        <w:t>’s</w:t>
      </w:r>
      <w:r>
        <w:rPr>
          <w:sz w:val="28"/>
          <w:szCs w:val="28"/>
        </w:rPr>
        <w:t xml:space="preserve"> obligations/dealings where it is appropriately </w:t>
      </w:r>
      <w:r w:rsidR="00A907E2">
        <w:rPr>
          <w:sz w:val="28"/>
          <w:szCs w:val="28"/>
        </w:rPr>
        <w:t>roped in.</w:t>
      </w:r>
    </w:p>
    <w:p w:rsidR="00EE1F95" w:rsidRDefault="00EE1F95" w:rsidP="00A907E2">
      <w:pPr>
        <w:spacing w:line="360" w:lineRule="auto"/>
        <w:ind w:firstLine="720"/>
        <w:rPr>
          <w:sz w:val="28"/>
          <w:szCs w:val="28"/>
        </w:rPr>
      </w:pPr>
      <w:r>
        <w:rPr>
          <w:sz w:val="28"/>
          <w:szCs w:val="28"/>
        </w:rPr>
        <w:lastRenderedPageBreak/>
        <w:t>In</w:t>
      </w:r>
      <w:r w:rsidR="00A907E2">
        <w:rPr>
          <w:sz w:val="28"/>
          <w:szCs w:val="28"/>
        </w:rPr>
        <w:t xml:space="preserve"> instant </w:t>
      </w:r>
      <w:r>
        <w:rPr>
          <w:sz w:val="28"/>
          <w:szCs w:val="28"/>
        </w:rPr>
        <w:t xml:space="preserve">case the double reference for the 2 parties in the dealings with appellant put </w:t>
      </w:r>
      <w:r w:rsidR="00A907E2">
        <w:rPr>
          <w:sz w:val="28"/>
          <w:szCs w:val="28"/>
        </w:rPr>
        <w:t>respondent</w:t>
      </w:r>
      <w:r>
        <w:rPr>
          <w:sz w:val="28"/>
          <w:szCs w:val="28"/>
        </w:rPr>
        <w:t xml:space="preserve"> within the ambition of being the employer of the appellant.  The p</w:t>
      </w:r>
      <w:r w:rsidR="00A907E2">
        <w:rPr>
          <w:sz w:val="28"/>
          <w:szCs w:val="28"/>
        </w:rPr>
        <w:t>oint thus l</w:t>
      </w:r>
      <w:r>
        <w:rPr>
          <w:sz w:val="28"/>
          <w:szCs w:val="28"/>
        </w:rPr>
        <w:t xml:space="preserve">acking </w:t>
      </w:r>
      <w:r w:rsidR="00A907E2">
        <w:rPr>
          <w:sz w:val="28"/>
          <w:szCs w:val="28"/>
        </w:rPr>
        <w:t>in</w:t>
      </w:r>
      <w:r>
        <w:rPr>
          <w:sz w:val="28"/>
          <w:szCs w:val="28"/>
        </w:rPr>
        <w:t xml:space="preserve"> merit should be dismissed.  Even if court w</w:t>
      </w:r>
      <w:r w:rsidR="00A907E2">
        <w:rPr>
          <w:sz w:val="28"/>
          <w:szCs w:val="28"/>
        </w:rPr>
        <w:t>ere</w:t>
      </w:r>
      <w:r>
        <w:rPr>
          <w:sz w:val="28"/>
          <w:szCs w:val="28"/>
        </w:rPr>
        <w:t xml:space="preserve"> to abandon the </w:t>
      </w:r>
      <w:r w:rsidR="00A907E2">
        <w:rPr>
          <w:b/>
          <w:sz w:val="28"/>
          <w:szCs w:val="28"/>
        </w:rPr>
        <w:t>Bvekerw</w:t>
      </w:r>
      <w:r>
        <w:rPr>
          <w:b/>
          <w:sz w:val="28"/>
          <w:szCs w:val="28"/>
        </w:rPr>
        <w:t>a</w:t>
      </w:r>
      <w:r>
        <w:rPr>
          <w:sz w:val="28"/>
          <w:szCs w:val="28"/>
        </w:rPr>
        <w:t xml:space="preserve"> case referred to the net result would be the same for the reasons mentioned above.</w:t>
      </w:r>
    </w:p>
    <w:p w:rsidR="00EE1F95" w:rsidRDefault="00EE1F95" w:rsidP="003359FD">
      <w:pPr>
        <w:spacing w:line="360" w:lineRule="auto"/>
        <w:rPr>
          <w:sz w:val="28"/>
          <w:szCs w:val="28"/>
        </w:rPr>
      </w:pPr>
    </w:p>
    <w:p w:rsidR="00EE1F95" w:rsidRDefault="00EE1F95" w:rsidP="003359FD">
      <w:pPr>
        <w:spacing w:line="360" w:lineRule="auto"/>
        <w:rPr>
          <w:b/>
          <w:sz w:val="28"/>
          <w:szCs w:val="28"/>
        </w:rPr>
      </w:pPr>
      <w:r>
        <w:rPr>
          <w:b/>
          <w:sz w:val="28"/>
          <w:szCs w:val="28"/>
        </w:rPr>
        <w:t>IT IS ORDERED THAT</w:t>
      </w:r>
    </w:p>
    <w:p w:rsidR="00EE1F95" w:rsidRDefault="00EE1F95" w:rsidP="00EE1F95">
      <w:pPr>
        <w:pStyle w:val="ListParagraph"/>
        <w:numPr>
          <w:ilvl w:val="0"/>
          <w:numId w:val="1"/>
        </w:numPr>
        <w:spacing w:line="360" w:lineRule="auto"/>
        <w:rPr>
          <w:sz w:val="28"/>
          <w:szCs w:val="28"/>
        </w:rPr>
      </w:pPr>
      <w:r>
        <w:rPr>
          <w:sz w:val="28"/>
          <w:szCs w:val="28"/>
        </w:rPr>
        <w:t xml:space="preserve"> Point in limine on attachments to Heads of Argument being with merit it be and is hereby upheld.  The 2 a</w:t>
      </w:r>
      <w:r w:rsidR="00A907E2">
        <w:rPr>
          <w:sz w:val="28"/>
          <w:szCs w:val="28"/>
        </w:rPr>
        <w:t>ttachments are accordingly expun</w:t>
      </w:r>
      <w:r>
        <w:rPr>
          <w:sz w:val="28"/>
          <w:szCs w:val="28"/>
        </w:rPr>
        <w:t>ged from the record.</w:t>
      </w:r>
    </w:p>
    <w:p w:rsidR="00EE1F95" w:rsidRDefault="00EE1F95" w:rsidP="00EE1F95">
      <w:pPr>
        <w:pStyle w:val="ListParagraph"/>
        <w:numPr>
          <w:ilvl w:val="0"/>
          <w:numId w:val="1"/>
        </w:numPr>
        <w:spacing w:line="360" w:lineRule="auto"/>
        <w:rPr>
          <w:sz w:val="28"/>
          <w:szCs w:val="28"/>
        </w:rPr>
      </w:pPr>
      <w:r>
        <w:rPr>
          <w:sz w:val="28"/>
          <w:szCs w:val="28"/>
        </w:rPr>
        <w:t>P</w:t>
      </w:r>
      <w:r w:rsidR="00A907E2">
        <w:rPr>
          <w:sz w:val="28"/>
          <w:szCs w:val="28"/>
        </w:rPr>
        <w:t>oin</w:t>
      </w:r>
      <w:r>
        <w:rPr>
          <w:sz w:val="28"/>
          <w:szCs w:val="28"/>
        </w:rPr>
        <w:t>t in limine on citation of parties being without merit it be and is hereby dismissed.</w:t>
      </w:r>
    </w:p>
    <w:p w:rsidR="00EE1F95" w:rsidRDefault="00EE1F95" w:rsidP="00EE1F95">
      <w:pPr>
        <w:pStyle w:val="ListParagraph"/>
        <w:numPr>
          <w:ilvl w:val="0"/>
          <w:numId w:val="1"/>
        </w:numPr>
        <w:spacing w:line="360" w:lineRule="auto"/>
        <w:rPr>
          <w:sz w:val="28"/>
          <w:szCs w:val="28"/>
        </w:rPr>
      </w:pPr>
      <w:r>
        <w:rPr>
          <w:sz w:val="28"/>
          <w:szCs w:val="28"/>
        </w:rPr>
        <w:t>Each party bears own costs.</w:t>
      </w:r>
    </w:p>
    <w:p w:rsidR="00EE1F95" w:rsidRDefault="00EE1F95" w:rsidP="00EE1F95">
      <w:pPr>
        <w:spacing w:line="360" w:lineRule="auto"/>
        <w:rPr>
          <w:sz w:val="28"/>
          <w:szCs w:val="28"/>
        </w:rPr>
      </w:pPr>
    </w:p>
    <w:p w:rsidR="00EE1F95" w:rsidRDefault="00EE1F95" w:rsidP="00EE1F95">
      <w:pPr>
        <w:spacing w:line="360" w:lineRule="auto"/>
        <w:rPr>
          <w:sz w:val="28"/>
          <w:szCs w:val="28"/>
        </w:rPr>
      </w:pPr>
    </w:p>
    <w:p w:rsidR="00EE1F95" w:rsidRDefault="00EE1F95" w:rsidP="00EE1F95">
      <w:pPr>
        <w:spacing w:line="360" w:lineRule="auto"/>
        <w:rPr>
          <w:sz w:val="28"/>
          <w:szCs w:val="28"/>
        </w:rPr>
      </w:pPr>
    </w:p>
    <w:p w:rsidR="00EE1F95" w:rsidRDefault="00EE1F95" w:rsidP="00EE1F95">
      <w:pPr>
        <w:spacing w:after="0" w:line="360" w:lineRule="auto"/>
        <w:rPr>
          <w:b/>
          <w:sz w:val="28"/>
          <w:szCs w:val="28"/>
        </w:rPr>
      </w:pPr>
      <w:r>
        <w:rPr>
          <w:b/>
          <w:sz w:val="28"/>
          <w:szCs w:val="28"/>
        </w:rPr>
        <w:t>L KUDYA</w:t>
      </w:r>
    </w:p>
    <w:p w:rsidR="00EE1F95" w:rsidRPr="00EE1F95" w:rsidRDefault="00EE1F95" w:rsidP="00EE1F95">
      <w:pPr>
        <w:spacing w:after="0" w:line="360" w:lineRule="auto"/>
        <w:rPr>
          <w:b/>
          <w:sz w:val="28"/>
          <w:szCs w:val="28"/>
          <w:u w:val="single"/>
        </w:rPr>
      </w:pPr>
      <w:r w:rsidRPr="00EE1F95">
        <w:rPr>
          <w:b/>
          <w:sz w:val="28"/>
          <w:szCs w:val="28"/>
          <w:u w:val="single"/>
        </w:rPr>
        <w:t>JUDGE – LABOUR COURT</w:t>
      </w:r>
    </w:p>
    <w:p w:rsidR="00C067B5" w:rsidRPr="00CF6BEA" w:rsidRDefault="00C067B5" w:rsidP="003359FD">
      <w:pPr>
        <w:spacing w:line="360" w:lineRule="auto"/>
        <w:rPr>
          <w:sz w:val="28"/>
          <w:szCs w:val="28"/>
        </w:rPr>
      </w:pPr>
    </w:p>
    <w:sectPr w:rsidR="00C067B5" w:rsidRPr="00CF6BEA" w:rsidSect="003359FD">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8E3" w:rsidRDefault="006B78E3" w:rsidP="003359FD">
      <w:pPr>
        <w:spacing w:after="0" w:line="240" w:lineRule="auto"/>
      </w:pPr>
      <w:r>
        <w:separator/>
      </w:r>
    </w:p>
  </w:endnote>
  <w:endnote w:type="continuationSeparator" w:id="1">
    <w:p w:rsidR="006B78E3" w:rsidRDefault="006B78E3" w:rsidP="003359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022362"/>
      <w:docPartObj>
        <w:docPartGallery w:val="Page Numbers (Bottom of Page)"/>
        <w:docPartUnique/>
      </w:docPartObj>
    </w:sdtPr>
    <w:sdtEndPr>
      <w:rPr>
        <w:noProof/>
      </w:rPr>
    </w:sdtEndPr>
    <w:sdtContent>
      <w:p w:rsidR="00C10A9C" w:rsidRDefault="0082656D">
        <w:pPr>
          <w:pStyle w:val="Footer"/>
          <w:jc w:val="right"/>
        </w:pPr>
        <w:r>
          <w:fldChar w:fldCharType="begin"/>
        </w:r>
        <w:r w:rsidR="00C10A9C">
          <w:instrText xml:space="preserve"> PAGE   \* MERGEFORMAT </w:instrText>
        </w:r>
        <w:r>
          <w:fldChar w:fldCharType="separate"/>
        </w:r>
        <w:r w:rsidR="00FB1712">
          <w:rPr>
            <w:noProof/>
          </w:rPr>
          <w:t>6</w:t>
        </w:r>
        <w:r>
          <w:rPr>
            <w:noProof/>
          </w:rPr>
          <w:fldChar w:fldCharType="end"/>
        </w:r>
      </w:p>
    </w:sdtContent>
  </w:sdt>
  <w:p w:rsidR="00C10A9C" w:rsidRDefault="00C10A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8E3" w:rsidRDefault="006B78E3" w:rsidP="003359FD">
      <w:pPr>
        <w:spacing w:after="0" w:line="240" w:lineRule="auto"/>
      </w:pPr>
      <w:r>
        <w:separator/>
      </w:r>
    </w:p>
  </w:footnote>
  <w:footnote w:type="continuationSeparator" w:id="1">
    <w:p w:rsidR="006B78E3" w:rsidRDefault="006B78E3" w:rsidP="003359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9C" w:rsidRDefault="00C10A9C">
    <w:pPr>
      <w:pStyle w:val="Header"/>
    </w:pPr>
    <w:r>
      <w:rPr>
        <w:b/>
        <w:sz w:val="28"/>
        <w:szCs w:val="28"/>
      </w:rPr>
      <w:tab/>
    </w:r>
    <w:r>
      <w:rPr>
        <w:b/>
        <w:sz w:val="28"/>
        <w:szCs w:val="28"/>
      </w:rPr>
      <w:tab/>
      <w:t>JUDGMENT NO LC/H/</w:t>
    </w:r>
    <w:r w:rsidR="00B55010">
      <w:rPr>
        <w:b/>
        <w:sz w:val="28"/>
        <w:szCs w:val="28"/>
      </w:rPr>
      <w:t>155</w:t>
    </w:r>
    <w:r>
      <w:rPr>
        <w:b/>
        <w:sz w:val="28"/>
        <w:szCs w:val="28"/>
      </w:rPr>
      <w:t>/14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B2983"/>
    <w:multiLevelType w:val="hybridMultilevel"/>
    <w:tmpl w:val="2CF64C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1C18"/>
    <w:rsid w:val="00254CB3"/>
    <w:rsid w:val="00306AD0"/>
    <w:rsid w:val="003359FD"/>
    <w:rsid w:val="003472AC"/>
    <w:rsid w:val="004D715F"/>
    <w:rsid w:val="006B78E3"/>
    <w:rsid w:val="0082656D"/>
    <w:rsid w:val="00861C18"/>
    <w:rsid w:val="008F34D0"/>
    <w:rsid w:val="00A907E2"/>
    <w:rsid w:val="00B126D1"/>
    <w:rsid w:val="00B55010"/>
    <w:rsid w:val="00BB4B71"/>
    <w:rsid w:val="00C067B5"/>
    <w:rsid w:val="00C10A9C"/>
    <w:rsid w:val="00CF6BEA"/>
    <w:rsid w:val="00D128BF"/>
    <w:rsid w:val="00D30909"/>
    <w:rsid w:val="00D32460"/>
    <w:rsid w:val="00DB1879"/>
    <w:rsid w:val="00EE1F95"/>
    <w:rsid w:val="00EE4924"/>
    <w:rsid w:val="00FB1712"/>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9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9FD"/>
  </w:style>
  <w:style w:type="paragraph" w:styleId="Footer">
    <w:name w:val="footer"/>
    <w:basedOn w:val="Normal"/>
    <w:link w:val="FooterChar"/>
    <w:uiPriority w:val="99"/>
    <w:unhideWhenUsed/>
    <w:rsid w:val="003359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9FD"/>
  </w:style>
  <w:style w:type="paragraph" w:styleId="ListParagraph">
    <w:name w:val="List Paragraph"/>
    <w:basedOn w:val="Normal"/>
    <w:uiPriority w:val="34"/>
    <w:qFormat/>
    <w:rsid w:val="00EE1F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9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9FD"/>
  </w:style>
  <w:style w:type="paragraph" w:styleId="Footer">
    <w:name w:val="footer"/>
    <w:basedOn w:val="Normal"/>
    <w:link w:val="FooterChar"/>
    <w:uiPriority w:val="99"/>
    <w:unhideWhenUsed/>
    <w:rsid w:val="003359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9FD"/>
  </w:style>
  <w:style w:type="paragraph" w:styleId="ListParagraph">
    <w:name w:val="List Paragraph"/>
    <w:basedOn w:val="Normal"/>
    <w:uiPriority w:val="34"/>
    <w:qFormat/>
    <w:rsid w:val="00EE1F9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4FD3A-C516-4D67-A556-774DF8F6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T. DOBA</cp:lastModifiedBy>
  <cp:revision>2</cp:revision>
  <cp:lastPrinted>2014-03-17T06:29:00Z</cp:lastPrinted>
  <dcterms:created xsi:type="dcterms:W3CDTF">2014-04-30T12:54:00Z</dcterms:created>
  <dcterms:modified xsi:type="dcterms:W3CDTF">2014-04-30T12:54:00Z</dcterms:modified>
</cp:coreProperties>
</file>