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12EA3" w14:textId="5AA45FD6" w:rsidR="0050061B" w:rsidRPr="00D55BA2" w:rsidRDefault="00D72F8A" w:rsidP="0050061B">
      <w:pPr>
        <w:spacing w:after="0" w:line="240" w:lineRule="auto"/>
        <w:rPr>
          <w:rFonts w:cs="Times New Roman"/>
          <w:szCs w:val="24"/>
        </w:rPr>
      </w:pPr>
      <w:bookmarkStart w:id="0" w:name="_GoBack"/>
      <w:bookmarkEnd w:id="0"/>
      <w:r>
        <w:rPr>
          <w:rFonts w:cs="Times New Roman"/>
          <w:szCs w:val="24"/>
        </w:rPr>
        <w:t>GETBUCKS MICROFINANCE BANK LIMITED</w:t>
      </w:r>
    </w:p>
    <w:p w14:paraId="0E3F61B0" w14:textId="77777777" w:rsidR="0050061B" w:rsidRPr="00D55BA2" w:rsidRDefault="0050061B" w:rsidP="0050061B">
      <w:pPr>
        <w:spacing w:after="0" w:line="240" w:lineRule="auto"/>
        <w:rPr>
          <w:rFonts w:cs="Times New Roman"/>
          <w:szCs w:val="24"/>
        </w:rPr>
      </w:pPr>
      <w:r w:rsidRPr="00D55BA2">
        <w:rPr>
          <w:rFonts w:cs="Times New Roman"/>
          <w:szCs w:val="24"/>
        </w:rPr>
        <w:t>versus</w:t>
      </w:r>
    </w:p>
    <w:p w14:paraId="76C36BA4" w14:textId="35F94C64" w:rsidR="0050061B" w:rsidRDefault="00D72F8A" w:rsidP="0050061B">
      <w:pPr>
        <w:spacing w:after="0" w:line="240" w:lineRule="auto"/>
        <w:rPr>
          <w:rFonts w:cs="Times New Roman"/>
          <w:szCs w:val="24"/>
        </w:rPr>
      </w:pPr>
      <w:r>
        <w:rPr>
          <w:rFonts w:cs="Times New Roman"/>
          <w:szCs w:val="24"/>
        </w:rPr>
        <w:t>BROBONDO (PRIVATE)</w:t>
      </w:r>
      <w:r w:rsidR="008F551C">
        <w:rPr>
          <w:rFonts w:cs="Times New Roman"/>
          <w:szCs w:val="24"/>
        </w:rPr>
        <w:t xml:space="preserve"> LIMITED</w:t>
      </w:r>
    </w:p>
    <w:p w14:paraId="7CB3D5EF" w14:textId="66AFDCE7" w:rsidR="008F551C" w:rsidRDefault="008F551C" w:rsidP="0050061B">
      <w:pPr>
        <w:spacing w:after="0" w:line="240" w:lineRule="auto"/>
        <w:rPr>
          <w:rFonts w:cs="Times New Roman"/>
          <w:szCs w:val="24"/>
        </w:rPr>
      </w:pPr>
      <w:r>
        <w:rPr>
          <w:rFonts w:cs="Times New Roman"/>
          <w:szCs w:val="24"/>
        </w:rPr>
        <w:t xml:space="preserve">and </w:t>
      </w:r>
    </w:p>
    <w:p w14:paraId="259F60F4" w14:textId="3BCD8E19" w:rsidR="008F551C" w:rsidRDefault="00D72F8A" w:rsidP="0050061B">
      <w:pPr>
        <w:spacing w:after="0" w:line="240" w:lineRule="auto"/>
        <w:rPr>
          <w:rFonts w:cs="Times New Roman"/>
          <w:szCs w:val="24"/>
        </w:rPr>
      </w:pPr>
      <w:r>
        <w:rPr>
          <w:rFonts w:cs="Times New Roman"/>
          <w:szCs w:val="24"/>
        </w:rPr>
        <w:t xml:space="preserve">GLOOSTONE INVESTMENTS (PRIVATE) LIMITED </w:t>
      </w:r>
    </w:p>
    <w:p w14:paraId="17F8791F" w14:textId="531CC76E" w:rsidR="008F551C" w:rsidRDefault="008F551C" w:rsidP="0050061B">
      <w:pPr>
        <w:spacing w:after="0" w:line="240" w:lineRule="auto"/>
        <w:rPr>
          <w:rFonts w:cs="Times New Roman"/>
          <w:szCs w:val="24"/>
        </w:rPr>
      </w:pPr>
      <w:r>
        <w:rPr>
          <w:rFonts w:cs="Times New Roman"/>
          <w:szCs w:val="24"/>
        </w:rPr>
        <w:t>and</w:t>
      </w:r>
    </w:p>
    <w:p w14:paraId="4AF17341" w14:textId="47B07AFE" w:rsidR="008F551C" w:rsidRDefault="00D72F8A" w:rsidP="0050061B">
      <w:pPr>
        <w:spacing w:after="0" w:line="240" w:lineRule="auto"/>
        <w:rPr>
          <w:rFonts w:cs="Times New Roman"/>
          <w:szCs w:val="24"/>
        </w:rPr>
      </w:pPr>
      <w:r>
        <w:rPr>
          <w:rFonts w:cs="Times New Roman"/>
          <w:szCs w:val="24"/>
        </w:rPr>
        <w:t>KENNETH NGOVE</w:t>
      </w:r>
    </w:p>
    <w:p w14:paraId="26AB822A" w14:textId="12FD5DB0" w:rsidR="00D72F8A" w:rsidRDefault="00D72F8A" w:rsidP="0050061B">
      <w:pPr>
        <w:spacing w:after="0" w:line="240" w:lineRule="auto"/>
        <w:rPr>
          <w:rFonts w:cs="Times New Roman"/>
          <w:szCs w:val="24"/>
        </w:rPr>
      </w:pPr>
      <w:r>
        <w:rPr>
          <w:rFonts w:cs="Times New Roman"/>
          <w:szCs w:val="24"/>
        </w:rPr>
        <w:t>and</w:t>
      </w:r>
    </w:p>
    <w:p w14:paraId="1DDD2A03" w14:textId="708817B2" w:rsidR="00D72F8A" w:rsidRDefault="00D72F8A" w:rsidP="0050061B">
      <w:pPr>
        <w:spacing w:after="0" w:line="240" w:lineRule="auto"/>
        <w:rPr>
          <w:rFonts w:cs="Times New Roman"/>
          <w:szCs w:val="24"/>
        </w:rPr>
      </w:pPr>
      <w:r>
        <w:rPr>
          <w:rFonts w:cs="Times New Roman"/>
          <w:szCs w:val="24"/>
        </w:rPr>
        <w:t>BLESSING CARRINGTON MADANHE</w:t>
      </w:r>
    </w:p>
    <w:p w14:paraId="4BC4CF05" w14:textId="77777777" w:rsidR="00D72F8A" w:rsidRDefault="00D72F8A" w:rsidP="0050061B">
      <w:pPr>
        <w:spacing w:after="0" w:line="240" w:lineRule="auto"/>
        <w:rPr>
          <w:rFonts w:cs="Times New Roman"/>
          <w:szCs w:val="24"/>
        </w:rPr>
      </w:pPr>
    </w:p>
    <w:p w14:paraId="1B5F2204" w14:textId="77777777" w:rsidR="008F551C" w:rsidRPr="00D55BA2" w:rsidRDefault="008F551C" w:rsidP="0050061B">
      <w:pPr>
        <w:spacing w:after="0" w:line="240" w:lineRule="auto"/>
        <w:rPr>
          <w:rFonts w:cs="Times New Roman"/>
          <w:szCs w:val="24"/>
        </w:rPr>
      </w:pPr>
    </w:p>
    <w:p w14:paraId="6C793915" w14:textId="77777777" w:rsidR="0050061B" w:rsidRPr="00D55BA2" w:rsidRDefault="0050061B" w:rsidP="0050061B">
      <w:pPr>
        <w:spacing w:line="240" w:lineRule="auto"/>
        <w:rPr>
          <w:rFonts w:cs="Times New Roman"/>
          <w:szCs w:val="24"/>
        </w:rPr>
      </w:pPr>
    </w:p>
    <w:p w14:paraId="018FCBDA" w14:textId="77777777" w:rsidR="0050061B" w:rsidRPr="00D55BA2" w:rsidRDefault="0050061B" w:rsidP="0050061B">
      <w:pPr>
        <w:spacing w:after="0" w:line="240" w:lineRule="auto"/>
        <w:rPr>
          <w:rFonts w:cs="Times New Roman"/>
          <w:szCs w:val="24"/>
        </w:rPr>
      </w:pPr>
      <w:r w:rsidRPr="00D55BA2">
        <w:rPr>
          <w:rFonts w:cs="Times New Roman"/>
          <w:szCs w:val="24"/>
        </w:rPr>
        <w:t>HIGH COURT OF ZIMBABWE</w:t>
      </w:r>
    </w:p>
    <w:p w14:paraId="6C0084B3" w14:textId="31E0072D" w:rsidR="00F347E7" w:rsidRPr="00D55BA2" w:rsidRDefault="00F347E7" w:rsidP="0050061B">
      <w:pPr>
        <w:spacing w:after="0" w:line="240" w:lineRule="auto"/>
        <w:rPr>
          <w:rFonts w:cs="Times New Roman"/>
          <w:szCs w:val="24"/>
        </w:rPr>
      </w:pPr>
      <w:r w:rsidRPr="00D55BA2">
        <w:rPr>
          <w:rFonts w:cs="Times New Roman"/>
          <w:szCs w:val="24"/>
        </w:rPr>
        <w:t>COMMERCIAL DIVISION</w:t>
      </w:r>
    </w:p>
    <w:p w14:paraId="048C08FF" w14:textId="5E203CEA" w:rsidR="0050061B" w:rsidRPr="00D55BA2" w:rsidRDefault="00F347E7" w:rsidP="0050061B">
      <w:pPr>
        <w:spacing w:after="0" w:line="240" w:lineRule="auto"/>
        <w:rPr>
          <w:rFonts w:cs="Times New Roman"/>
          <w:b/>
          <w:bCs/>
          <w:szCs w:val="24"/>
        </w:rPr>
      </w:pPr>
      <w:r w:rsidRPr="00D55BA2">
        <w:rPr>
          <w:rFonts w:cs="Times New Roman"/>
          <w:b/>
          <w:bCs/>
          <w:szCs w:val="24"/>
        </w:rPr>
        <w:t>MUSHURE</w:t>
      </w:r>
      <w:r w:rsidR="0050061B" w:rsidRPr="00D55BA2">
        <w:rPr>
          <w:rFonts w:cs="Times New Roman"/>
          <w:b/>
          <w:bCs/>
          <w:szCs w:val="24"/>
        </w:rPr>
        <w:t xml:space="preserve"> J</w:t>
      </w:r>
    </w:p>
    <w:p w14:paraId="0B41C4DB" w14:textId="5801FADC" w:rsidR="0050061B" w:rsidRPr="00D55BA2" w:rsidRDefault="008F551C" w:rsidP="0050061B">
      <w:pPr>
        <w:spacing w:after="0" w:line="240" w:lineRule="auto"/>
        <w:rPr>
          <w:rFonts w:cs="Times New Roman"/>
          <w:szCs w:val="24"/>
        </w:rPr>
      </w:pPr>
      <w:r w:rsidRPr="00D55BA2">
        <w:rPr>
          <w:rFonts w:cs="Times New Roman"/>
          <w:szCs w:val="24"/>
        </w:rPr>
        <w:t xml:space="preserve">HARARE; </w:t>
      </w:r>
      <w:r w:rsidR="00737EBF">
        <w:rPr>
          <w:rFonts w:cs="Times New Roman"/>
          <w:szCs w:val="24"/>
        </w:rPr>
        <w:t>3</w:t>
      </w:r>
      <w:r w:rsidR="00A84C34">
        <w:rPr>
          <w:rFonts w:cs="Times New Roman"/>
          <w:szCs w:val="24"/>
        </w:rPr>
        <w:t>,</w:t>
      </w:r>
      <w:r w:rsidR="00737EBF">
        <w:rPr>
          <w:rFonts w:cs="Times New Roman"/>
          <w:szCs w:val="24"/>
        </w:rPr>
        <w:t>12 February &amp;</w:t>
      </w:r>
      <w:r w:rsidR="00E60B88">
        <w:rPr>
          <w:rFonts w:cs="Times New Roman"/>
          <w:szCs w:val="24"/>
        </w:rPr>
        <w:t xml:space="preserve"> </w:t>
      </w:r>
      <w:r w:rsidR="006A14E6">
        <w:rPr>
          <w:rFonts w:cs="Times New Roman"/>
          <w:szCs w:val="24"/>
        </w:rPr>
        <w:t xml:space="preserve">24 </w:t>
      </w:r>
      <w:r w:rsidR="00E60B88">
        <w:rPr>
          <w:rFonts w:cs="Times New Roman"/>
          <w:szCs w:val="24"/>
        </w:rPr>
        <w:t>April 2026</w:t>
      </w:r>
      <w:r w:rsidR="0050061B" w:rsidRPr="00D55BA2">
        <w:rPr>
          <w:rFonts w:cs="Times New Roman"/>
          <w:szCs w:val="24"/>
        </w:rPr>
        <w:t xml:space="preserve"> </w:t>
      </w:r>
    </w:p>
    <w:p w14:paraId="7529B697" w14:textId="77777777" w:rsidR="0050061B" w:rsidRPr="00D55BA2" w:rsidRDefault="0050061B" w:rsidP="0050061B">
      <w:pPr>
        <w:spacing w:line="240" w:lineRule="auto"/>
        <w:rPr>
          <w:rFonts w:cs="Times New Roman"/>
          <w:szCs w:val="24"/>
        </w:rPr>
      </w:pPr>
    </w:p>
    <w:p w14:paraId="5514CFF6" w14:textId="774AB55D" w:rsidR="0050061B" w:rsidRPr="00D55BA2" w:rsidRDefault="00737EBF" w:rsidP="0050061B">
      <w:pPr>
        <w:spacing w:line="240" w:lineRule="auto"/>
        <w:rPr>
          <w:rFonts w:cs="Times New Roman"/>
          <w:b/>
          <w:szCs w:val="24"/>
        </w:rPr>
      </w:pPr>
      <w:r>
        <w:rPr>
          <w:rFonts w:cs="Times New Roman"/>
          <w:b/>
          <w:szCs w:val="24"/>
        </w:rPr>
        <w:t>Leave to appeal</w:t>
      </w:r>
    </w:p>
    <w:p w14:paraId="31BAF52F" w14:textId="77777777" w:rsidR="00F347E7" w:rsidRPr="00D55BA2" w:rsidRDefault="00F347E7" w:rsidP="0050061B">
      <w:pPr>
        <w:spacing w:line="240" w:lineRule="auto"/>
        <w:rPr>
          <w:rFonts w:cs="Times New Roman"/>
          <w:b/>
          <w:szCs w:val="24"/>
        </w:rPr>
      </w:pPr>
    </w:p>
    <w:p w14:paraId="1A7AEBA2" w14:textId="40B6B711" w:rsidR="0050061B" w:rsidRPr="00D55BA2" w:rsidRDefault="00737EBF" w:rsidP="0050061B">
      <w:pPr>
        <w:spacing w:after="0" w:line="240" w:lineRule="auto"/>
        <w:rPr>
          <w:rFonts w:cs="Times New Roman"/>
          <w:szCs w:val="24"/>
        </w:rPr>
      </w:pPr>
      <w:r>
        <w:rPr>
          <w:rFonts w:cs="Times New Roman"/>
          <w:i/>
          <w:szCs w:val="24"/>
        </w:rPr>
        <w:t>L. Madhuku</w:t>
      </w:r>
      <w:r w:rsidR="006F48ED" w:rsidRPr="00D55BA2">
        <w:rPr>
          <w:rFonts w:cs="Times New Roman"/>
          <w:i/>
          <w:szCs w:val="24"/>
        </w:rPr>
        <w:t xml:space="preserve"> </w:t>
      </w:r>
      <w:r w:rsidR="0050061B" w:rsidRPr="00D55BA2">
        <w:rPr>
          <w:rFonts w:cs="Times New Roman"/>
          <w:szCs w:val="24"/>
        </w:rPr>
        <w:t xml:space="preserve">for the </w:t>
      </w:r>
      <w:r w:rsidR="00F30651">
        <w:rPr>
          <w:rFonts w:cs="Times New Roman"/>
          <w:szCs w:val="24"/>
        </w:rPr>
        <w:t>applicant</w:t>
      </w:r>
    </w:p>
    <w:p w14:paraId="00BDFA02" w14:textId="6C819F04" w:rsidR="0050061B" w:rsidRDefault="00737EBF" w:rsidP="0050061B">
      <w:pPr>
        <w:spacing w:after="0" w:line="240" w:lineRule="auto"/>
        <w:rPr>
          <w:rFonts w:cs="Times New Roman"/>
          <w:szCs w:val="24"/>
        </w:rPr>
      </w:pPr>
      <w:r>
        <w:rPr>
          <w:rFonts w:cs="Times New Roman"/>
          <w:i/>
          <w:iCs/>
          <w:szCs w:val="24"/>
        </w:rPr>
        <w:t>R. T. Mutero</w:t>
      </w:r>
      <w:r w:rsidR="006F48ED" w:rsidRPr="00D55BA2">
        <w:rPr>
          <w:rFonts w:cs="Times New Roman"/>
          <w:i/>
          <w:iCs/>
          <w:szCs w:val="24"/>
        </w:rPr>
        <w:t xml:space="preserve"> </w:t>
      </w:r>
      <w:r w:rsidR="0050061B" w:rsidRPr="00D55BA2">
        <w:rPr>
          <w:rFonts w:cs="Times New Roman"/>
          <w:szCs w:val="24"/>
        </w:rPr>
        <w:t xml:space="preserve">for the </w:t>
      </w:r>
      <w:r w:rsidR="00F30651">
        <w:rPr>
          <w:rFonts w:cs="Times New Roman"/>
          <w:szCs w:val="24"/>
        </w:rPr>
        <w:t>respondent</w:t>
      </w:r>
      <w:r>
        <w:rPr>
          <w:rFonts w:cs="Times New Roman"/>
          <w:szCs w:val="24"/>
        </w:rPr>
        <w:t>s</w:t>
      </w:r>
    </w:p>
    <w:p w14:paraId="55046D69" w14:textId="77777777" w:rsidR="0050061B" w:rsidRPr="00D55BA2" w:rsidRDefault="0050061B" w:rsidP="0050061B">
      <w:pPr>
        <w:spacing w:after="0" w:line="240" w:lineRule="auto"/>
        <w:rPr>
          <w:rFonts w:cs="Times New Roman"/>
          <w:szCs w:val="24"/>
        </w:rPr>
      </w:pPr>
    </w:p>
    <w:p w14:paraId="25E62A7D" w14:textId="77777777" w:rsidR="0050061B" w:rsidRPr="00D55BA2" w:rsidRDefault="0050061B" w:rsidP="0050061B">
      <w:pPr>
        <w:spacing w:line="240" w:lineRule="auto"/>
        <w:rPr>
          <w:rFonts w:cs="Times New Roman"/>
          <w:szCs w:val="24"/>
        </w:rPr>
      </w:pPr>
    </w:p>
    <w:p w14:paraId="2744DA85" w14:textId="31C3ED36" w:rsidR="00833671" w:rsidRPr="00D55BA2" w:rsidRDefault="00833671" w:rsidP="000B747D">
      <w:pPr>
        <w:ind w:firstLine="720"/>
        <w:rPr>
          <w:rFonts w:cs="Times New Roman"/>
          <w:szCs w:val="24"/>
        </w:rPr>
      </w:pPr>
      <w:r w:rsidRPr="00D55BA2">
        <w:rPr>
          <w:rFonts w:cs="Times New Roman"/>
          <w:szCs w:val="24"/>
        </w:rPr>
        <w:t>MUSHURE</w:t>
      </w:r>
      <w:r w:rsidR="0050061B" w:rsidRPr="00D55BA2">
        <w:rPr>
          <w:rFonts w:cs="Times New Roman"/>
          <w:szCs w:val="24"/>
        </w:rPr>
        <w:t xml:space="preserve"> J:</w:t>
      </w:r>
    </w:p>
    <w:p w14:paraId="254E9440" w14:textId="77777777" w:rsidR="00833671" w:rsidRPr="00D55BA2" w:rsidRDefault="00833671" w:rsidP="00833671">
      <w:pPr>
        <w:rPr>
          <w:rFonts w:cs="Times New Roman"/>
          <w:b/>
          <w:bCs/>
          <w:szCs w:val="24"/>
          <w:u w:val="single"/>
        </w:rPr>
      </w:pPr>
      <w:r w:rsidRPr="00D55BA2">
        <w:rPr>
          <w:rFonts w:cs="Times New Roman"/>
          <w:b/>
          <w:bCs/>
          <w:szCs w:val="24"/>
          <w:u w:val="single"/>
        </w:rPr>
        <w:t>INTRODUCTION</w:t>
      </w:r>
    </w:p>
    <w:p w14:paraId="02F56D7A" w14:textId="440D18C3" w:rsidR="00C036BE" w:rsidRPr="00C036BE" w:rsidRDefault="00E117FE" w:rsidP="00E117FE">
      <w:pPr>
        <w:pStyle w:val="ListParagraph"/>
        <w:numPr>
          <w:ilvl w:val="0"/>
          <w:numId w:val="5"/>
        </w:numPr>
        <w:ind w:left="567" w:hanging="567"/>
        <w:rPr>
          <w:rFonts w:cs="Times New Roman"/>
          <w:b/>
          <w:bCs/>
          <w:szCs w:val="24"/>
          <w:u w:val="single"/>
        </w:rPr>
      </w:pPr>
      <w:r>
        <w:rPr>
          <w:rFonts w:cs="Times New Roman"/>
          <w:szCs w:val="24"/>
        </w:rPr>
        <w:t>On 10 September 2025</w:t>
      </w:r>
      <w:r w:rsidR="00372A84">
        <w:rPr>
          <w:rFonts w:cs="Times New Roman"/>
          <w:szCs w:val="24"/>
        </w:rPr>
        <w:t>,</w:t>
      </w:r>
      <w:r>
        <w:rPr>
          <w:rFonts w:cs="Times New Roman"/>
          <w:szCs w:val="24"/>
        </w:rPr>
        <w:t xml:space="preserve"> I removed the applicant’s claim for provisional sentence </w:t>
      </w:r>
      <w:r w:rsidR="00A727CF">
        <w:rPr>
          <w:rFonts w:cs="Times New Roman"/>
          <w:szCs w:val="24"/>
        </w:rPr>
        <w:t xml:space="preserve">filed under HCHC455/25 (the main matter) </w:t>
      </w:r>
      <w:r w:rsidR="006A14E6">
        <w:rPr>
          <w:rFonts w:cs="Times New Roman"/>
          <w:szCs w:val="24"/>
        </w:rPr>
        <w:t>from</w:t>
      </w:r>
      <w:r>
        <w:rPr>
          <w:rFonts w:cs="Times New Roman"/>
          <w:szCs w:val="24"/>
        </w:rPr>
        <w:t xml:space="preserve"> the unopposed roll and referred it to the opposed roll. The applicant seeks leave to appeal against that referral on the grounds that </w:t>
      </w:r>
      <w:r w:rsidRPr="00E117FE">
        <w:rPr>
          <w:rFonts w:cs="Times New Roman"/>
          <w:szCs w:val="24"/>
        </w:rPr>
        <w:t xml:space="preserve">I erred and misdirected myself </w:t>
      </w:r>
      <w:r>
        <w:rPr>
          <w:rFonts w:cs="Times New Roman"/>
          <w:szCs w:val="24"/>
        </w:rPr>
        <w:t>‘</w:t>
      </w:r>
      <w:r w:rsidRPr="00E117FE">
        <w:rPr>
          <w:rFonts w:cs="Times New Roman"/>
          <w:szCs w:val="24"/>
        </w:rPr>
        <w:t>in referring the matter to the opposed roll</w:t>
      </w:r>
      <w:r>
        <w:rPr>
          <w:rFonts w:cs="Times New Roman"/>
          <w:szCs w:val="24"/>
        </w:rPr>
        <w:t xml:space="preserve"> simply because a Notice of Opposition had been filed, contrary to the procedural framework laid down in the High Court Rules governing the conduct of provisional sentence proceedings’ and that I erred ‘in failing to appreciate that the purpose and essence of provisional sentence proceedings is designed to provide speedy relief to a </w:t>
      </w:r>
      <w:r w:rsidR="00C036BE">
        <w:rPr>
          <w:rFonts w:cs="Times New Roman"/>
          <w:szCs w:val="24"/>
        </w:rPr>
        <w:t>P</w:t>
      </w:r>
      <w:r>
        <w:rPr>
          <w:rFonts w:cs="Times New Roman"/>
          <w:szCs w:val="24"/>
        </w:rPr>
        <w:t xml:space="preserve">laintiff armed with a liquid document </w:t>
      </w:r>
      <w:r w:rsidR="00C036BE">
        <w:rPr>
          <w:rFonts w:cs="Times New Roman"/>
          <w:szCs w:val="24"/>
        </w:rPr>
        <w:t xml:space="preserve">hence the court is still at large to consider and decide whether provisional </w:t>
      </w:r>
      <w:r w:rsidR="00C036BE">
        <w:rPr>
          <w:rFonts w:cs="Times New Roman"/>
          <w:szCs w:val="24"/>
        </w:rPr>
        <w:lastRenderedPageBreak/>
        <w:t xml:space="preserve">sentence should be granted or not despite the filing of a Notice of Opposition by a Defendant’. </w:t>
      </w:r>
    </w:p>
    <w:p w14:paraId="4A330DEC" w14:textId="52AB5595" w:rsidR="00C036BE" w:rsidRPr="00C036BE" w:rsidRDefault="00C036BE" w:rsidP="00C036BE">
      <w:pPr>
        <w:pStyle w:val="ListParagraph"/>
        <w:ind w:left="567"/>
        <w:rPr>
          <w:rFonts w:cs="Times New Roman"/>
          <w:b/>
          <w:bCs/>
          <w:szCs w:val="24"/>
          <w:u w:val="single"/>
        </w:rPr>
      </w:pPr>
      <w:r>
        <w:rPr>
          <w:rFonts w:cs="Times New Roman"/>
          <w:b/>
          <w:bCs/>
          <w:szCs w:val="24"/>
          <w:u w:val="single"/>
        </w:rPr>
        <w:t>BACKGROUND</w:t>
      </w:r>
    </w:p>
    <w:p w14:paraId="5F61E9F4" w14:textId="457BBE2A" w:rsidR="00CB09C3" w:rsidRPr="00CB09C3" w:rsidRDefault="00C036BE" w:rsidP="00753FBD">
      <w:pPr>
        <w:pStyle w:val="ListParagraph"/>
        <w:numPr>
          <w:ilvl w:val="0"/>
          <w:numId w:val="5"/>
        </w:numPr>
        <w:ind w:left="567" w:hanging="567"/>
        <w:rPr>
          <w:rFonts w:cs="Times New Roman"/>
          <w:b/>
          <w:bCs/>
          <w:szCs w:val="24"/>
          <w:u w:val="single"/>
        </w:rPr>
      </w:pPr>
      <w:r>
        <w:rPr>
          <w:rFonts w:cs="Times New Roman"/>
          <w:szCs w:val="24"/>
        </w:rPr>
        <w:t xml:space="preserve"> On 6 August 2025</w:t>
      </w:r>
      <w:r w:rsidR="00CB09C3">
        <w:rPr>
          <w:rFonts w:cs="Times New Roman"/>
          <w:szCs w:val="24"/>
        </w:rPr>
        <w:t>,</w:t>
      </w:r>
      <w:r>
        <w:rPr>
          <w:rFonts w:cs="Times New Roman"/>
          <w:szCs w:val="24"/>
        </w:rPr>
        <w:t xml:space="preserve"> the applicant issued summons </w:t>
      </w:r>
      <w:r w:rsidR="00A727CF">
        <w:rPr>
          <w:rFonts w:cs="Times New Roman"/>
          <w:szCs w:val="24"/>
        </w:rPr>
        <w:t xml:space="preserve">in the main matter </w:t>
      </w:r>
      <w:r>
        <w:rPr>
          <w:rFonts w:cs="Times New Roman"/>
          <w:szCs w:val="24"/>
        </w:rPr>
        <w:t>for provisional sentence claiming</w:t>
      </w:r>
      <w:r w:rsidR="00CB09C3">
        <w:rPr>
          <w:rFonts w:cs="Times New Roman"/>
          <w:szCs w:val="24"/>
        </w:rPr>
        <w:t>,</w:t>
      </w:r>
      <w:r w:rsidR="00C52993">
        <w:rPr>
          <w:rFonts w:cs="Times New Roman"/>
          <w:szCs w:val="24"/>
        </w:rPr>
        <w:t xml:space="preserve"> from all the respondents</w:t>
      </w:r>
      <w:r w:rsidR="00CB09C3">
        <w:rPr>
          <w:rFonts w:cs="Times New Roman"/>
          <w:szCs w:val="24"/>
        </w:rPr>
        <w:t>,</w:t>
      </w:r>
      <w:r>
        <w:rPr>
          <w:rFonts w:cs="Times New Roman"/>
          <w:szCs w:val="24"/>
        </w:rPr>
        <w:t xml:space="preserve"> the payment of US$242 737,40, being an amount outstanding and due to the </w:t>
      </w:r>
      <w:r w:rsidR="00C52993">
        <w:rPr>
          <w:rFonts w:cs="Times New Roman"/>
          <w:szCs w:val="24"/>
        </w:rPr>
        <w:t xml:space="preserve">applicant </w:t>
      </w:r>
      <w:r>
        <w:rPr>
          <w:rFonts w:cs="Times New Roman"/>
          <w:szCs w:val="24"/>
        </w:rPr>
        <w:t>as at 29 July 2025</w:t>
      </w:r>
      <w:r w:rsidR="006A14E6">
        <w:rPr>
          <w:rFonts w:cs="Times New Roman"/>
          <w:szCs w:val="24"/>
        </w:rPr>
        <w:t>,</w:t>
      </w:r>
      <w:r>
        <w:rPr>
          <w:rFonts w:cs="Times New Roman"/>
          <w:szCs w:val="24"/>
        </w:rPr>
        <w:t xml:space="preserve"> together with interest at the agreed rate of 10% per month calculated</w:t>
      </w:r>
      <w:r w:rsidR="00C52993">
        <w:rPr>
          <w:rFonts w:cs="Times New Roman"/>
          <w:szCs w:val="24"/>
        </w:rPr>
        <w:t xml:space="preserve"> from 30 July 2025 to date of full payment. </w:t>
      </w:r>
    </w:p>
    <w:p w14:paraId="575E5E9C" w14:textId="21BD2335" w:rsidR="00C52993" w:rsidRPr="00753FBD" w:rsidRDefault="00C52993" w:rsidP="00753FBD">
      <w:pPr>
        <w:pStyle w:val="ListParagraph"/>
        <w:numPr>
          <w:ilvl w:val="0"/>
          <w:numId w:val="5"/>
        </w:numPr>
        <w:ind w:left="567" w:hanging="567"/>
        <w:rPr>
          <w:rFonts w:cs="Times New Roman"/>
          <w:b/>
          <w:bCs/>
          <w:szCs w:val="24"/>
          <w:u w:val="single"/>
        </w:rPr>
      </w:pPr>
      <w:r>
        <w:rPr>
          <w:rFonts w:cs="Times New Roman"/>
          <w:szCs w:val="24"/>
        </w:rPr>
        <w:t>The applicant claimed that on 20 January 2025, the first respondent</w:t>
      </w:r>
      <w:r w:rsidR="006A14E6">
        <w:rPr>
          <w:rFonts w:cs="Times New Roman"/>
          <w:szCs w:val="24"/>
        </w:rPr>
        <w:t xml:space="preserve"> </w:t>
      </w:r>
      <w:r>
        <w:rPr>
          <w:rFonts w:cs="Times New Roman"/>
          <w:szCs w:val="24"/>
        </w:rPr>
        <w:t xml:space="preserve">executed an acknowledgement of debt in the sum of US$726 000.00, payable in six monthly instalments from February 2025 to July 2025. </w:t>
      </w:r>
      <w:r w:rsidR="00753FBD">
        <w:rPr>
          <w:rFonts w:cs="Times New Roman"/>
          <w:szCs w:val="24"/>
        </w:rPr>
        <w:t>T</w:t>
      </w:r>
      <w:r w:rsidRPr="00753FBD">
        <w:rPr>
          <w:rFonts w:cs="Times New Roman"/>
          <w:szCs w:val="24"/>
        </w:rPr>
        <w:t xml:space="preserve">he second respondent bound itself as a principal and co-principal debtor, while the third and fourth respondents bound themselves as guarantors and co-principal debtors for the fulfilment of the first respondent’s obligation to the applicant. </w:t>
      </w:r>
    </w:p>
    <w:p w14:paraId="1EF3C583" w14:textId="77777777" w:rsidR="00C52993" w:rsidRPr="00C52993" w:rsidRDefault="00C52993" w:rsidP="00E117FE">
      <w:pPr>
        <w:pStyle w:val="ListParagraph"/>
        <w:numPr>
          <w:ilvl w:val="0"/>
          <w:numId w:val="5"/>
        </w:numPr>
        <w:ind w:left="567" w:hanging="567"/>
        <w:rPr>
          <w:rFonts w:cs="Times New Roman"/>
          <w:b/>
          <w:bCs/>
          <w:szCs w:val="24"/>
          <w:u w:val="single"/>
        </w:rPr>
      </w:pPr>
      <w:r>
        <w:rPr>
          <w:rFonts w:cs="Times New Roman"/>
          <w:szCs w:val="24"/>
        </w:rPr>
        <w:t xml:space="preserve">The applicant claimed that the first respondent had failed to repay the amount due by way of instalments as provided for in the acknowledgement of debt and that in terms of the acknowledgement of debt, in the event of default, the whole amount outstanding became due and payable. Further, in the event of default, a certificate signed and prepared by the applicant’s representative detailing the amount outstanding would be </w:t>
      </w:r>
      <w:r w:rsidRPr="00C52993">
        <w:rPr>
          <w:rFonts w:cs="Times New Roman"/>
          <w:i/>
          <w:iCs/>
          <w:szCs w:val="24"/>
        </w:rPr>
        <w:t>prima facie</w:t>
      </w:r>
      <w:r>
        <w:rPr>
          <w:rFonts w:cs="Times New Roman"/>
          <w:szCs w:val="24"/>
        </w:rPr>
        <w:t xml:space="preserve"> proof of the amount due for the purposes of provisional sentence. </w:t>
      </w:r>
    </w:p>
    <w:p w14:paraId="45172576" w14:textId="5836189B" w:rsidR="00133196" w:rsidRPr="00C47A33" w:rsidRDefault="00C52993" w:rsidP="00E117FE">
      <w:pPr>
        <w:pStyle w:val="ListParagraph"/>
        <w:numPr>
          <w:ilvl w:val="0"/>
          <w:numId w:val="5"/>
        </w:numPr>
        <w:ind w:left="567" w:hanging="567"/>
        <w:rPr>
          <w:rFonts w:cs="Times New Roman"/>
          <w:b/>
          <w:bCs/>
          <w:szCs w:val="24"/>
          <w:u w:val="single"/>
        </w:rPr>
      </w:pPr>
      <w:r>
        <w:rPr>
          <w:rFonts w:cs="Times New Roman"/>
          <w:szCs w:val="24"/>
        </w:rPr>
        <w:t xml:space="preserve">The applicant claimed, further, that </w:t>
      </w:r>
      <w:r w:rsidR="00133196">
        <w:rPr>
          <w:rFonts w:cs="Times New Roman"/>
          <w:szCs w:val="24"/>
        </w:rPr>
        <w:t xml:space="preserve">the second respondent had, pursuant to the requirements of the acknowledgement of debt, executed an irrevocable special Power of Attorney providing for the sale of its three pieces of land and that on 20 March 2025, the second respondent had passed a Surety Mortgage Bond in favour of the applicant, in terms of which the second respondent guaranteed the obligations of the first respondent and mortgaged the properties in favour of the applicant. </w:t>
      </w:r>
      <w:r>
        <w:rPr>
          <w:rFonts w:cs="Times New Roman"/>
          <w:szCs w:val="24"/>
        </w:rPr>
        <w:t xml:space="preserve">  </w:t>
      </w:r>
      <w:r w:rsidR="00133196">
        <w:rPr>
          <w:rFonts w:cs="Times New Roman"/>
          <w:szCs w:val="24"/>
        </w:rPr>
        <w:t xml:space="preserve">The applicant wanted these properties and the special Power of Attorney to be declared specially executable. </w:t>
      </w:r>
    </w:p>
    <w:p w14:paraId="78F36BF7" w14:textId="292490C6" w:rsidR="00C47A33" w:rsidRPr="00465642" w:rsidRDefault="00C47A33" w:rsidP="00E117FE">
      <w:pPr>
        <w:pStyle w:val="ListParagraph"/>
        <w:numPr>
          <w:ilvl w:val="0"/>
          <w:numId w:val="5"/>
        </w:numPr>
        <w:ind w:left="567" w:hanging="567"/>
        <w:rPr>
          <w:rFonts w:cs="Times New Roman"/>
          <w:b/>
          <w:bCs/>
          <w:szCs w:val="24"/>
          <w:u w:val="single"/>
        </w:rPr>
      </w:pPr>
      <w:r>
        <w:rPr>
          <w:rFonts w:cs="Times New Roman"/>
          <w:szCs w:val="24"/>
        </w:rPr>
        <w:t xml:space="preserve">The claim was opposed by the first to the fourth respondents who argued, in </w:t>
      </w:r>
      <w:r w:rsidRPr="00C47A33">
        <w:rPr>
          <w:rFonts w:cs="Times New Roman"/>
          <w:i/>
          <w:iCs/>
          <w:szCs w:val="24"/>
        </w:rPr>
        <w:t>limine</w:t>
      </w:r>
      <w:r>
        <w:rPr>
          <w:rFonts w:cs="Times New Roman"/>
          <w:szCs w:val="24"/>
        </w:rPr>
        <w:t>, that the provisional sentence procedure is unconstitutional</w:t>
      </w:r>
      <w:r w:rsidR="00CB09C3">
        <w:rPr>
          <w:rFonts w:cs="Times New Roman"/>
          <w:szCs w:val="24"/>
        </w:rPr>
        <w:t>;</w:t>
      </w:r>
      <w:r>
        <w:rPr>
          <w:rFonts w:cs="Times New Roman"/>
          <w:szCs w:val="24"/>
        </w:rPr>
        <w:t xml:space="preserve"> </w:t>
      </w:r>
      <w:r w:rsidR="00372A84">
        <w:rPr>
          <w:rFonts w:cs="Times New Roman"/>
          <w:szCs w:val="24"/>
        </w:rPr>
        <w:t xml:space="preserve">that </w:t>
      </w:r>
      <w:r>
        <w:rPr>
          <w:rFonts w:cs="Times New Roman"/>
          <w:szCs w:val="24"/>
        </w:rPr>
        <w:t>the claim was not based on an acknowledgement of indebtedness</w:t>
      </w:r>
      <w:r w:rsidR="00CB09C3">
        <w:rPr>
          <w:rFonts w:cs="Times New Roman"/>
          <w:szCs w:val="24"/>
        </w:rPr>
        <w:t>;</w:t>
      </w:r>
      <w:r>
        <w:rPr>
          <w:rFonts w:cs="Times New Roman"/>
          <w:szCs w:val="24"/>
        </w:rPr>
        <w:t xml:space="preserve"> </w:t>
      </w:r>
      <w:r w:rsidR="00372A84">
        <w:rPr>
          <w:rFonts w:cs="Times New Roman"/>
          <w:szCs w:val="24"/>
        </w:rPr>
        <w:t xml:space="preserve">and that </w:t>
      </w:r>
      <w:r>
        <w:rPr>
          <w:rFonts w:cs="Times New Roman"/>
          <w:szCs w:val="24"/>
        </w:rPr>
        <w:t xml:space="preserve">there was no cause of action against the fourth respondent. On the merits, the respondents argued that the matter raised material and </w:t>
      </w:r>
      <w:r>
        <w:rPr>
          <w:rFonts w:cs="Times New Roman"/>
          <w:szCs w:val="24"/>
        </w:rPr>
        <w:lastRenderedPageBreak/>
        <w:t xml:space="preserve">serious disputes of fact which were incapable of resolution on the papers namely that the parties entered into a compromise agreement subsequent to the issuance of the instruments of indebtedness and that the applicant </w:t>
      </w:r>
      <w:r w:rsidR="00372A84">
        <w:rPr>
          <w:rFonts w:cs="Times New Roman"/>
          <w:szCs w:val="24"/>
        </w:rPr>
        <w:t xml:space="preserve">had </w:t>
      </w:r>
      <w:r>
        <w:rPr>
          <w:rFonts w:cs="Times New Roman"/>
          <w:szCs w:val="24"/>
        </w:rPr>
        <w:t xml:space="preserve">waived the rights that it was now seeking to enforce. The respondents contended that the amount the applicant was claiming was at variance with the amount stated in the acknowledgment of debt, showing that some amounts had been paid but the applicant had omitted the statement of those payments. The respondents contended, further, that </w:t>
      </w:r>
      <w:r w:rsidR="00465642">
        <w:rPr>
          <w:rFonts w:cs="Times New Roman"/>
          <w:szCs w:val="24"/>
        </w:rPr>
        <w:t xml:space="preserve">there was a dispute concerning the payments, as a result of which the applicant’s and the first respondent’s officials had met and discussed the matter. The parties had resolved that the outstanding amount was not accurate since it did not capture payments made, and that this would affect the interest component as well. The respondents averred that this agreement constituted a compromise so the applicant could no longer rely on the acknowledgement of debt and the certificate it authored. The applicant, the respondents further averred, had undertaken to review its accounts and revert to the first respondent. </w:t>
      </w:r>
    </w:p>
    <w:p w14:paraId="022C97E5" w14:textId="05DD2256" w:rsidR="00465642" w:rsidRPr="00A727CF" w:rsidRDefault="00465642" w:rsidP="00A727CF">
      <w:pPr>
        <w:pStyle w:val="ListParagraph"/>
        <w:numPr>
          <w:ilvl w:val="0"/>
          <w:numId w:val="5"/>
        </w:numPr>
        <w:ind w:left="567" w:hanging="567"/>
        <w:rPr>
          <w:rFonts w:cs="Times New Roman"/>
          <w:b/>
          <w:bCs/>
          <w:szCs w:val="24"/>
          <w:u w:val="single"/>
        </w:rPr>
      </w:pPr>
      <w:r>
        <w:rPr>
          <w:rFonts w:cs="Times New Roman"/>
          <w:szCs w:val="24"/>
        </w:rPr>
        <w:t>The first respondent argued that until such a reconciliation was done, the applicant had no cause against it or the other respondents. It argued that the fact that the acknowledgement of debt upon which the claim was based contained an amount different to the one contained in the certificate of indebtedness meant that the claim was not liquid. It further argued that to the extent that the certificate of indebtedness was a unilateral document prepared by the applicant, it could not be a liquid docu</w:t>
      </w:r>
      <w:r w:rsidR="00A727CF">
        <w:rPr>
          <w:rFonts w:cs="Times New Roman"/>
          <w:szCs w:val="24"/>
        </w:rPr>
        <w:t xml:space="preserve">ment. It contended that a liquid document could only be a document authored by a defendant or at the very least, at their instruction. </w:t>
      </w:r>
    </w:p>
    <w:p w14:paraId="67D1744E" w14:textId="010A5078" w:rsidR="0094163C" w:rsidRPr="0094163C" w:rsidRDefault="00A727CF" w:rsidP="00A727CF">
      <w:pPr>
        <w:pStyle w:val="ListParagraph"/>
        <w:numPr>
          <w:ilvl w:val="0"/>
          <w:numId w:val="5"/>
        </w:numPr>
        <w:ind w:left="567" w:hanging="567"/>
        <w:rPr>
          <w:rFonts w:cs="Times New Roman"/>
          <w:b/>
          <w:bCs/>
          <w:szCs w:val="24"/>
          <w:u w:val="single"/>
        </w:rPr>
      </w:pPr>
      <w:r>
        <w:rPr>
          <w:rFonts w:cs="Times New Roman"/>
          <w:szCs w:val="24"/>
        </w:rPr>
        <w:t>At the hearing of the main matter, the</w:t>
      </w:r>
      <w:r w:rsidR="000C77EB">
        <w:rPr>
          <w:rFonts w:cs="Times New Roman"/>
          <w:szCs w:val="24"/>
        </w:rPr>
        <w:t xml:space="preserve"> respondent raised a </w:t>
      </w:r>
      <w:r w:rsidR="00103862">
        <w:rPr>
          <w:rFonts w:cs="Times New Roman"/>
          <w:szCs w:val="24"/>
        </w:rPr>
        <w:t xml:space="preserve">further </w:t>
      </w:r>
      <w:r w:rsidR="000C77EB">
        <w:rPr>
          <w:rFonts w:cs="Times New Roman"/>
          <w:szCs w:val="24"/>
        </w:rPr>
        <w:t xml:space="preserve">preliminary point that the matter had been set down on the wrong roll </w:t>
      </w:r>
      <w:r w:rsidR="0094163C">
        <w:rPr>
          <w:rFonts w:cs="Times New Roman"/>
          <w:szCs w:val="24"/>
        </w:rPr>
        <w:t>in light</w:t>
      </w:r>
      <w:r w:rsidR="00103862">
        <w:rPr>
          <w:rFonts w:cs="Times New Roman"/>
          <w:szCs w:val="24"/>
        </w:rPr>
        <w:t xml:space="preserve"> </w:t>
      </w:r>
      <w:r w:rsidR="000C77EB">
        <w:rPr>
          <w:rFonts w:cs="Times New Roman"/>
          <w:szCs w:val="24"/>
        </w:rPr>
        <w:t>of the provisions of r14 (6) of the High Court Rules, 2021</w:t>
      </w:r>
      <w:r w:rsidR="00103862">
        <w:rPr>
          <w:rFonts w:cs="Times New Roman"/>
          <w:szCs w:val="24"/>
        </w:rPr>
        <w:t xml:space="preserve"> </w:t>
      </w:r>
      <w:r w:rsidR="00E062C4">
        <w:rPr>
          <w:rFonts w:cs="Times New Roman"/>
          <w:szCs w:val="24"/>
        </w:rPr>
        <w:t>to the effect</w:t>
      </w:r>
      <w:r w:rsidR="00103862">
        <w:rPr>
          <w:rFonts w:cs="Times New Roman"/>
          <w:szCs w:val="24"/>
        </w:rPr>
        <w:t xml:space="preserve"> that matters for provisional sentence shall be set down on a roll assigned for such matters</w:t>
      </w:r>
      <w:r w:rsidR="006A14E6">
        <w:rPr>
          <w:rFonts w:cs="Times New Roman"/>
          <w:szCs w:val="24"/>
        </w:rPr>
        <w:t>,</w:t>
      </w:r>
      <w:r w:rsidR="00103862">
        <w:rPr>
          <w:rFonts w:cs="Times New Roman"/>
          <w:szCs w:val="24"/>
        </w:rPr>
        <w:t xml:space="preserve"> not being a day assigned for unopposed matters</w:t>
      </w:r>
      <w:r w:rsidR="000C77EB">
        <w:rPr>
          <w:rFonts w:cs="Times New Roman"/>
          <w:szCs w:val="24"/>
        </w:rPr>
        <w:t xml:space="preserve">. </w:t>
      </w:r>
      <w:r>
        <w:rPr>
          <w:rFonts w:cs="Times New Roman"/>
          <w:szCs w:val="24"/>
        </w:rPr>
        <w:t xml:space="preserve"> </w:t>
      </w:r>
      <w:r w:rsidR="00103862">
        <w:rPr>
          <w:rFonts w:cs="Times New Roman"/>
          <w:szCs w:val="24"/>
        </w:rPr>
        <w:t xml:space="preserve">I </w:t>
      </w:r>
      <w:r w:rsidR="00CB09C3">
        <w:rPr>
          <w:rFonts w:cs="Times New Roman"/>
          <w:szCs w:val="24"/>
        </w:rPr>
        <w:t xml:space="preserve">sought comments from </w:t>
      </w:r>
      <w:r w:rsidR="00103862">
        <w:rPr>
          <w:rFonts w:cs="Times New Roman"/>
          <w:szCs w:val="24"/>
        </w:rPr>
        <w:t>the parties</w:t>
      </w:r>
      <w:r w:rsidR="00CB09C3">
        <w:rPr>
          <w:rFonts w:cs="Times New Roman"/>
          <w:szCs w:val="24"/>
        </w:rPr>
        <w:t xml:space="preserve"> on </w:t>
      </w:r>
      <w:r w:rsidR="00103862">
        <w:rPr>
          <w:rFonts w:cs="Times New Roman"/>
          <w:szCs w:val="24"/>
        </w:rPr>
        <w:t xml:space="preserve">the provisions of r64 (2) (a) which provides that uncontested cases for provisional sentence may be set down for hearing in Harare, on any Wednesday, by filing a notice of set down with the registrar not later than the Friday preceding the Wednesday of set down, </w:t>
      </w:r>
      <w:r w:rsidR="00E062C4">
        <w:rPr>
          <w:rFonts w:cs="Times New Roman"/>
          <w:szCs w:val="24"/>
        </w:rPr>
        <w:t xml:space="preserve">in response to </w:t>
      </w:r>
      <w:r w:rsidR="00103862">
        <w:rPr>
          <w:rFonts w:cs="Times New Roman"/>
          <w:szCs w:val="24"/>
        </w:rPr>
        <w:t xml:space="preserve">which </w:t>
      </w:r>
      <w:r w:rsidR="00E062C4">
        <w:rPr>
          <w:rFonts w:cs="Times New Roman"/>
          <w:szCs w:val="24"/>
        </w:rPr>
        <w:t xml:space="preserve">the </w:t>
      </w:r>
      <w:r w:rsidR="00103862">
        <w:rPr>
          <w:rFonts w:cs="Times New Roman"/>
          <w:szCs w:val="24"/>
        </w:rPr>
        <w:t xml:space="preserve">respondent’s counsel referred to the decisions of this court in </w:t>
      </w:r>
      <w:r w:rsidR="0094163C" w:rsidRPr="0094163C">
        <w:rPr>
          <w:rFonts w:cs="Times New Roman"/>
          <w:i/>
          <w:iCs/>
          <w:szCs w:val="24"/>
        </w:rPr>
        <w:t xml:space="preserve">Spar Harare </w:t>
      </w:r>
      <w:r w:rsidR="006B20E7">
        <w:rPr>
          <w:rFonts w:cs="Times New Roman"/>
          <w:i/>
          <w:iCs/>
          <w:szCs w:val="24"/>
        </w:rPr>
        <w:t>Private Limited</w:t>
      </w:r>
      <w:r w:rsidR="0094163C" w:rsidRPr="0094163C">
        <w:rPr>
          <w:rFonts w:cs="Times New Roman"/>
          <w:i/>
          <w:iCs/>
          <w:szCs w:val="24"/>
        </w:rPr>
        <w:t xml:space="preserve"> </w:t>
      </w:r>
      <w:r w:rsidR="006B20E7">
        <w:rPr>
          <w:rFonts w:cs="Times New Roman"/>
          <w:i/>
          <w:iCs/>
          <w:szCs w:val="24"/>
        </w:rPr>
        <w:t>t/a Spar Eastern Region</w:t>
      </w:r>
      <w:r w:rsidR="0094163C" w:rsidRPr="0094163C">
        <w:rPr>
          <w:rFonts w:cs="Times New Roman"/>
          <w:i/>
          <w:iCs/>
          <w:szCs w:val="24"/>
        </w:rPr>
        <w:t xml:space="preserve"> </w:t>
      </w:r>
      <w:r w:rsidR="0094163C" w:rsidRPr="0094163C">
        <w:rPr>
          <w:rFonts w:cs="Times New Roman"/>
          <w:szCs w:val="24"/>
        </w:rPr>
        <w:t>v</w:t>
      </w:r>
      <w:r w:rsidR="0094163C" w:rsidRPr="0094163C">
        <w:rPr>
          <w:rFonts w:cs="Times New Roman"/>
          <w:i/>
          <w:iCs/>
          <w:szCs w:val="24"/>
        </w:rPr>
        <w:t xml:space="preserve"> Munava </w:t>
      </w:r>
      <w:r w:rsidR="0094163C" w:rsidRPr="0094163C">
        <w:rPr>
          <w:rFonts w:cs="Times New Roman"/>
          <w:i/>
          <w:iCs/>
          <w:szCs w:val="24"/>
        </w:rPr>
        <w:lastRenderedPageBreak/>
        <w:t xml:space="preserve">Enterprises </w:t>
      </w:r>
      <w:r w:rsidR="006B20E7">
        <w:rPr>
          <w:rFonts w:cs="Times New Roman"/>
          <w:i/>
          <w:iCs/>
          <w:szCs w:val="24"/>
        </w:rPr>
        <w:t>Private Limited</w:t>
      </w:r>
      <w:r w:rsidR="0094163C" w:rsidRPr="0094163C">
        <w:rPr>
          <w:rFonts w:cs="Times New Roman"/>
          <w:i/>
          <w:iCs/>
          <w:szCs w:val="24"/>
        </w:rPr>
        <w:t xml:space="preserve"> &amp; Ors</w:t>
      </w:r>
      <w:r w:rsidR="0094163C">
        <w:rPr>
          <w:rFonts w:cs="Times New Roman"/>
          <w:szCs w:val="24"/>
        </w:rPr>
        <w:t xml:space="preserve"> HH784</w:t>
      </w:r>
      <w:r w:rsidR="00CB09C3">
        <w:rPr>
          <w:rFonts w:cs="Times New Roman"/>
          <w:szCs w:val="24"/>
        </w:rPr>
        <w:t>-</w:t>
      </w:r>
      <w:r w:rsidR="0094163C">
        <w:rPr>
          <w:rFonts w:cs="Times New Roman"/>
          <w:szCs w:val="24"/>
        </w:rPr>
        <w:t xml:space="preserve">16 and </w:t>
      </w:r>
      <w:r w:rsidR="0094163C" w:rsidRPr="0094163C">
        <w:rPr>
          <w:rFonts w:cs="Times New Roman"/>
          <w:i/>
          <w:iCs/>
          <w:szCs w:val="24"/>
        </w:rPr>
        <w:t xml:space="preserve">Mazengwa </w:t>
      </w:r>
      <w:r w:rsidR="0094163C" w:rsidRPr="0055346C">
        <w:rPr>
          <w:rFonts w:cs="Times New Roman"/>
          <w:szCs w:val="24"/>
        </w:rPr>
        <w:t>v</w:t>
      </w:r>
      <w:r w:rsidR="0094163C" w:rsidRPr="0094163C">
        <w:rPr>
          <w:rFonts w:cs="Times New Roman"/>
          <w:i/>
          <w:iCs/>
          <w:szCs w:val="24"/>
        </w:rPr>
        <w:t xml:space="preserve"> Njanike</w:t>
      </w:r>
      <w:r w:rsidR="0094163C">
        <w:rPr>
          <w:rFonts w:cs="Times New Roman"/>
          <w:szCs w:val="24"/>
        </w:rPr>
        <w:t xml:space="preserve"> HH618</w:t>
      </w:r>
      <w:r w:rsidR="00CB09C3">
        <w:rPr>
          <w:rFonts w:cs="Times New Roman"/>
          <w:szCs w:val="24"/>
        </w:rPr>
        <w:t>-</w:t>
      </w:r>
      <w:r w:rsidR="0094163C">
        <w:rPr>
          <w:rFonts w:cs="Times New Roman"/>
          <w:szCs w:val="24"/>
        </w:rPr>
        <w:t>23 wherein the matters were heard on the opposed roll.</w:t>
      </w:r>
      <w:r w:rsidR="00412EA8">
        <w:rPr>
          <w:rFonts w:cs="Times New Roman"/>
          <w:szCs w:val="24"/>
        </w:rPr>
        <w:t xml:space="preserve"> It was further argued that there were averments made on oath which could not be countered by counsel from the bar but there was need to file the necessary answering affidavit and heads of arguments so that the matter could be properly ventilated. </w:t>
      </w:r>
    </w:p>
    <w:p w14:paraId="08476A81" w14:textId="43B606EF" w:rsidR="0094163C" w:rsidRPr="00BD6E74" w:rsidRDefault="0094163C" w:rsidP="00A727CF">
      <w:pPr>
        <w:pStyle w:val="ListParagraph"/>
        <w:numPr>
          <w:ilvl w:val="0"/>
          <w:numId w:val="5"/>
        </w:numPr>
        <w:ind w:left="567" w:hanging="567"/>
        <w:rPr>
          <w:rFonts w:cs="Times New Roman"/>
          <w:b/>
          <w:bCs/>
          <w:szCs w:val="24"/>
          <w:u w:val="single"/>
        </w:rPr>
      </w:pPr>
      <w:r>
        <w:rPr>
          <w:rFonts w:cs="Times New Roman"/>
          <w:szCs w:val="24"/>
        </w:rPr>
        <w:t xml:space="preserve">  </w:t>
      </w:r>
      <w:r w:rsidR="007F3B17">
        <w:rPr>
          <w:rFonts w:cs="Times New Roman"/>
          <w:szCs w:val="24"/>
        </w:rPr>
        <w:t>Opposing the preliminary point</w:t>
      </w:r>
      <w:r>
        <w:rPr>
          <w:rFonts w:cs="Times New Roman"/>
          <w:szCs w:val="24"/>
        </w:rPr>
        <w:t xml:space="preserve">, the applicant argued that it was common cause that as a matter of practice, provisional sentence matters were assigned a </w:t>
      </w:r>
      <w:r w:rsidR="00B5096A">
        <w:rPr>
          <w:rFonts w:cs="Times New Roman"/>
          <w:szCs w:val="24"/>
        </w:rPr>
        <w:t xml:space="preserve">specific </w:t>
      </w:r>
      <w:r>
        <w:rPr>
          <w:rFonts w:cs="Times New Roman"/>
          <w:szCs w:val="24"/>
        </w:rPr>
        <w:t>portion on the unopposed roll so in essence, th</w:t>
      </w:r>
      <w:r w:rsidR="00B5096A">
        <w:rPr>
          <w:rFonts w:cs="Times New Roman"/>
          <w:szCs w:val="24"/>
        </w:rPr>
        <w:t>e separate</w:t>
      </w:r>
      <w:r>
        <w:rPr>
          <w:rFonts w:cs="Times New Roman"/>
          <w:szCs w:val="24"/>
        </w:rPr>
        <w:t xml:space="preserve"> roll was there </w:t>
      </w:r>
      <w:r w:rsidR="00B5096A">
        <w:rPr>
          <w:rFonts w:cs="Times New Roman"/>
          <w:szCs w:val="24"/>
        </w:rPr>
        <w:t>but</w:t>
      </w:r>
      <w:r>
        <w:rPr>
          <w:rFonts w:cs="Times New Roman"/>
          <w:szCs w:val="24"/>
        </w:rPr>
        <w:t xml:space="preserve"> it was then merged with the </w:t>
      </w:r>
      <w:r w:rsidR="00B5096A">
        <w:rPr>
          <w:rFonts w:cs="Times New Roman"/>
          <w:szCs w:val="24"/>
        </w:rPr>
        <w:t xml:space="preserve">roll of </w:t>
      </w:r>
      <w:r>
        <w:rPr>
          <w:rFonts w:cs="Times New Roman"/>
          <w:szCs w:val="24"/>
        </w:rPr>
        <w:t xml:space="preserve">unopposed matters. On referral to the opposed roll, it was submitted that there is a difference of opinion, with some judgments holding that once there is an opposition, a provisional sentence summons </w:t>
      </w:r>
      <w:r w:rsidR="00E062C4">
        <w:rPr>
          <w:rFonts w:cs="Times New Roman"/>
          <w:szCs w:val="24"/>
        </w:rPr>
        <w:t>must be</w:t>
      </w:r>
      <w:r>
        <w:rPr>
          <w:rFonts w:cs="Times New Roman"/>
          <w:szCs w:val="24"/>
        </w:rPr>
        <w:t xml:space="preserve"> referred to the opposed roll and </w:t>
      </w:r>
      <w:r w:rsidR="006A14E6">
        <w:rPr>
          <w:rFonts w:cs="Times New Roman"/>
          <w:szCs w:val="24"/>
        </w:rPr>
        <w:t xml:space="preserve">the </w:t>
      </w:r>
      <w:r>
        <w:rPr>
          <w:rFonts w:cs="Times New Roman"/>
          <w:szCs w:val="24"/>
        </w:rPr>
        <w:t xml:space="preserve">other judgments </w:t>
      </w:r>
      <w:r w:rsidR="006A14E6">
        <w:rPr>
          <w:rFonts w:cs="Times New Roman"/>
          <w:szCs w:val="24"/>
        </w:rPr>
        <w:t>holding</w:t>
      </w:r>
      <w:r>
        <w:rPr>
          <w:rFonts w:cs="Times New Roman"/>
          <w:szCs w:val="24"/>
        </w:rPr>
        <w:t xml:space="preserve"> that if a matter is opposed, the court was at large to look at the opposition itself bearing in mind that in provisional sentence cases, matters were supposed to be dealt with expeditiously</w:t>
      </w:r>
      <w:r w:rsidR="00E062C4">
        <w:rPr>
          <w:rFonts w:cs="Times New Roman"/>
          <w:szCs w:val="24"/>
        </w:rPr>
        <w:t>. It was submitted</w:t>
      </w:r>
      <w:r w:rsidR="006A14E6">
        <w:rPr>
          <w:rFonts w:cs="Times New Roman"/>
          <w:szCs w:val="24"/>
        </w:rPr>
        <w:t xml:space="preserve"> on behalf of the applicant</w:t>
      </w:r>
      <w:r w:rsidR="00E062C4">
        <w:rPr>
          <w:rFonts w:cs="Times New Roman"/>
          <w:szCs w:val="24"/>
        </w:rPr>
        <w:t xml:space="preserve"> that </w:t>
      </w:r>
      <w:r>
        <w:rPr>
          <w:rFonts w:cs="Times New Roman"/>
          <w:szCs w:val="24"/>
        </w:rPr>
        <w:t>the court had the discretion to look at the opposition</w:t>
      </w:r>
      <w:r w:rsidR="00BD6E74">
        <w:rPr>
          <w:rFonts w:cs="Times New Roman"/>
          <w:szCs w:val="24"/>
        </w:rPr>
        <w:t xml:space="preserve"> to see whether the opposition had merit</w:t>
      </w:r>
      <w:r w:rsidR="00E062C4">
        <w:rPr>
          <w:rFonts w:cs="Times New Roman"/>
          <w:szCs w:val="24"/>
        </w:rPr>
        <w:t xml:space="preserve"> warranting referral </w:t>
      </w:r>
      <w:r w:rsidR="00BD6E74">
        <w:rPr>
          <w:rFonts w:cs="Times New Roman"/>
          <w:szCs w:val="24"/>
        </w:rPr>
        <w:t>to the opposed roll</w:t>
      </w:r>
      <w:r w:rsidR="00E062C4">
        <w:rPr>
          <w:rFonts w:cs="Times New Roman"/>
          <w:szCs w:val="24"/>
        </w:rPr>
        <w:t xml:space="preserve">, or it had been filed as a delaying tactic. </w:t>
      </w:r>
    </w:p>
    <w:p w14:paraId="3D9140ED" w14:textId="4718D2A0" w:rsidR="007F3B17" w:rsidRPr="007F3B17" w:rsidRDefault="00BD6E74" w:rsidP="00A727CF">
      <w:pPr>
        <w:pStyle w:val="ListParagraph"/>
        <w:numPr>
          <w:ilvl w:val="0"/>
          <w:numId w:val="5"/>
        </w:numPr>
        <w:ind w:left="567" w:hanging="567"/>
        <w:rPr>
          <w:rFonts w:cs="Times New Roman"/>
          <w:b/>
          <w:bCs/>
          <w:szCs w:val="24"/>
          <w:u w:val="single"/>
        </w:rPr>
      </w:pPr>
      <w:r>
        <w:rPr>
          <w:rFonts w:cs="Times New Roman"/>
          <w:szCs w:val="24"/>
        </w:rPr>
        <w:t xml:space="preserve">It was </w:t>
      </w:r>
      <w:r w:rsidR="00C05B08">
        <w:rPr>
          <w:rFonts w:cs="Times New Roman"/>
          <w:szCs w:val="24"/>
        </w:rPr>
        <w:t xml:space="preserve">further </w:t>
      </w:r>
      <w:r>
        <w:rPr>
          <w:rFonts w:cs="Times New Roman"/>
          <w:szCs w:val="24"/>
        </w:rPr>
        <w:t>submitted that nothing precluded the court from hearing the matter</w:t>
      </w:r>
      <w:r w:rsidR="006A14E6">
        <w:rPr>
          <w:rFonts w:cs="Times New Roman"/>
          <w:szCs w:val="24"/>
        </w:rPr>
        <w:t>,</w:t>
      </w:r>
      <w:r>
        <w:rPr>
          <w:rFonts w:cs="Times New Roman"/>
          <w:szCs w:val="24"/>
        </w:rPr>
        <w:t xml:space="preserve"> particularly if regard was had to the nature of the respondents’ opposition</w:t>
      </w:r>
      <w:r w:rsidR="00B5096A">
        <w:rPr>
          <w:rFonts w:cs="Times New Roman"/>
          <w:szCs w:val="24"/>
        </w:rPr>
        <w:t xml:space="preserve"> in </w:t>
      </w:r>
      <w:r w:rsidR="00B5096A" w:rsidRPr="00B5096A">
        <w:rPr>
          <w:rFonts w:cs="Times New Roman"/>
          <w:i/>
          <w:iCs/>
          <w:szCs w:val="24"/>
        </w:rPr>
        <w:t>casu</w:t>
      </w:r>
      <w:r>
        <w:rPr>
          <w:rFonts w:cs="Times New Roman"/>
          <w:szCs w:val="24"/>
        </w:rPr>
        <w:t xml:space="preserve">. </w:t>
      </w:r>
      <w:r w:rsidR="00B5096A">
        <w:rPr>
          <w:rFonts w:cs="Times New Roman"/>
          <w:szCs w:val="24"/>
        </w:rPr>
        <w:t>T</w:t>
      </w:r>
      <w:r w:rsidR="00E062C4">
        <w:rPr>
          <w:rFonts w:cs="Times New Roman"/>
          <w:szCs w:val="24"/>
        </w:rPr>
        <w:t xml:space="preserve">he </w:t>
      </w:r>
      <w:r>
        <w:rPr>
          <w:rFonts w:cs="Times New Roman"/>
          <w:szCs w:val="24"/>
        </w:rPr>
        <w:t>court was urged to proceed and deal with the matter. With regards the applicability of r64 (2) (a), it was submitted that at the time the matter was set down, it was uncontested</w:t>
      </w:r>
      <w:r w:rsidR="006A14E6">
        <w:rPr>
          <w:rFonts w:cs="Times New Roman"/>
          <w:szCs w:val="24"/>
        </w:rPr>
        <w:t>,</w:t>
      </w:r>
      <w:r w:rsidR="00E062C4">
        <w:rPr>
          <w:rFonts w:cs="Times New Roman"/>
          <w:szCs w:val="24"/>
        </w:rPr>
        <w:t xml:space="preserve"> so it was properly set down</w:t>
      </w:r>
      <w:r>
        <w:rPr>
          <w:rFonts w:cs="Times New Roman"/>
          <w:szCs w:val="24"/>
        </w:rPr>
        <w:t xml:space="preserve">. It was submitted, further, that there was no defence </w:t>
      </w:r>
      <w:r w:rsidRPr="00BD6E74">
        <w:rPr>
          <w:rFonts w:cs="Times New Roman"/>
          <w:i/>
          <w:iCs/>
          <w:szCs w:val="24"/>
        </w:rPr>
        <w:t>per se</w:t>
      </w:r>
      <w:r>
        <w:rPr>
          <w:rFonts w:cs="Times New Roman"/>
          <w:szCs w:val="24"/>
        </w:rPr>
        <w:t xml:space="preserve"> and time and value would be lost</w:t>
      </w:r>
      <w:r w:rsidR="00E062C4">
        <w:rPr>
          <w:rFonts w:cs="Times New Roman"/>
          <w:szCs w:val="24"/>
        </w:rPr>
        <w:t xml:space="preserve"> if the matter was referred to the opposed roll</w:t>
      </w:r>
      <w:r>
        <w:rPr>
          <w:rFonts w:cs="Times New Roman"/>
          <w:szCs w:val="24"/>
        </w:rPr>
        <w:t>.</w:t>
      </w:r>
      <w:r w:rsidR="00E062C4">
        <w:rPr>
          <w:rFonts w:cs="Times New Roman"/>
          <w:szCs w:val="24"/>
        </w:rPr>
        <w:t xml:space="preserve"> I raised issue </w:t>
      </w:r>
      <w:r w:rsidR="00C05B08">
        <w:rPr>
          <w:rFonts w:cs="Times New Roman"/>
          <w:szCs w:val="24"/>
        </w:rPr>
        <w:t>in relation to</w:t>
      </w:r>
      <w:r w:rsidR="00E062C4">
        <w:rPr>
          <w:rFonts w:cs="Times New Roman"/>
          <w:szCs w:val="24"/>
        </w:rPr>
        <w:t xml:space="preserve"> the respondents’ argument that the matter was not based on a liquid document but referred to some other statement prepared by the applicant, to which the applicant’s counsel responded that the respondents had in the same Notice of Opposition acknowledged that there was an instrument acknowledging indebtedness. </w:t>
      </w:r>
      <w:r w:rsidR="007F3B17">
        <w:rPr>
          <w:rFonts w:cs="Times New Roman"/>
          <w:szCs w:val="24"/>
        </w:rPr>
        <w:t xml:space="preserve">Responding to the argument that the parties had entered </w:t>
      </w:r>
      <w:r w:rsidR="00E062C4">
        <w:rPr>
          <w:rFonts w:cs="Times New Roman"/>
          <w:szCs w:val="24"/>
        </w:rPr>
        <w:t>into a</w:t>
      </w:r>
      <w:r w:rsidR="00412EA8">
        <w:rPr>
          <w:rFonts w:cs="Times New Roman"/>
          <w:szCs w:val="24"/>
        </w:rPr>
        <w:t xml:space="preserve"> </w:t>
      </w:r>
      <w:r w:rsidR="007F3B17">
        <w:rPr>
          <w:rFonts w:cs="Times New Roman"/>
          <w:szCs w:val="24"/>
        </w:rPr>
        <w:t xml:space="preserve">compromise agreement, it was submitted that the acknowledgment of debt was clear that any subsequent agreement had to be in writing </w:t>
      </w:r>
      <w:r w:rsidR="00E062C4">
        <w:rPr>
          <w:rFonts w:cs="Times New Roman"/>
          <w:szCs w:val="24"/>
        </w:rPr>
        <w:t>but the respondents were relying on an oral agreement</w:t>
      </w:r>
      <w:r w:rsidR="007F3B17">
        <w:rPr>
          <w:rFonts w:cs="Times New Roman"/>
          <w:szCs w:val="24"/>
        </w:rPr>
        <w:t xml:space="preserve">. </w:t>
      </w:r>
      <w:r w:rsidR="00E062C4">
        <w:rPr>
          <w:rFonts w:cs="Times New Roman"/>
          <w:szCs w:val="24"/>
        </w:rPr>
        <w:t>It was contended on</w:t>
      </w:r>
      <w:r w:rsidR="00C05B08">
        <w:rPr>
          <w:rFonts w:cs="Times New Roman"/>
          <w:szCs w:val="24"/>
        </w:rPr>
        <w:t xml:space="preserve"> </w:t>
      </w:r>
      <w:r w:rsidR="00E062C4">
        <w:rPr>
          <w:rFonts w:cs="Times New Roman"/>
          <w:szCs w:val="24"/>
        </w:rPr>
        <w:lastRenderedPageBreak/>
        <w:t>applicant</w:t>
      </w:r>
      <w:r w:rsidR="00C05B08">
        <w:rPr>
          <w:rFonts w:cs="Times New Roman"/>
          <w:szCs w:val="24"/>
        </w:rPr>
        <w:t>’s behalf</w:t>
      </w:r>
      <w:r w:rsidR="00E062C4">
        <w:rPr>
          <w:rFonts w:cs="Times New Roman"/>
          <w:szCs w:val="24"/>
        </w:rPr>
        <w:t xml:space="preserve"> that there </w:t>
      </w:r>
      <w:r w:rsidR="007F3B17">
        <w:rPr>
          <w:rFonts w:cs="Times New Roman"/>
          <w:szCs w:val="24"/>
        </w:rPr>
        <w:t xml:space="preserve">was no evidence to show that there was a compromise agreement. </w:t>
      </w:r>
    </w:p>
    <w:p w14:paraId="18C176BA" w14:textId="25001346" w:rsidR="00BD6E74" w:rsidRPr="00521DEB" w:rsidRDefault="007F3B17" w:rsidP="00A727CF">
      <w:pPr>
        <w:pStyle w:val="ListParagraph"/>
        <w:numPr>
          <w:ilvl w:val="0"/>
          <w:numId w:val="5"/>
        </w:numPr>
        <w:ind w:left="567" w:hanging="567"/>
        <w:rPr>
          <w:rFonts w:cs="Times New Roman"/>
          <w:b/>
          <w:bCs/>
          <w:szCs w:val="24"/>
          <w:u w:val="single"/>
        </w:rPr>
      </w:pPr>
      <w:r>
        <w:rPr>
          <w:rFonts w:cs="Times New Roman"/>
          <w:szCs w:val="24"/>
        </w:rPr>
        <w:t xml:space="preserve">In response, it was argued that </w:t>
      </w:r>
      <w:r w:rsidRPr="007F3B17">
        <w:rPr>
          <w:rFonts w:cs="Times New Roman"/>
          <w:i/>
          <w:iCs/>
          <w:szCs w:val="24"/>
        </w:rPr>
        <w:t xml:space="preserve">Al Shams Global BVI Ltd </w:t>
      </w:r>
      <w:r w:rsidRPr="007F3B17">
        <w:rPr>
          <w:rFonts w:cs="Times New Roman"/>
          <w:szCs w:val="24"/>
        </w:rPr>
        <w:t>v</w:t>
      </w:r>
      <w:r w:rsidRPr="007F3B17">
        <w:rPr>
          <w:rFonts w:cs="Times New Roman"/>
          <w:i/>
          <w:iCs/>
          <w:szCs w:val="24"/>
        </w:rPr>
        <w:t xml:space="preserve"> Equity Properties (Pvt) Ltd</w:t>
      </w:r>
      <w:r>
        <w:rPr>
          <w:rFonts w:cs="Times New Roman"/>
          <w:szCs w:val="24"/>
        </w:rPr>
        <w:t xml:space="preserve"> 2013 (2) ZLR 131 (H) was clear that once there is an opposition, the matter should be referred to the opposed roll. It was </w:t>
      </w:r>
      <w:r w:rsidR="00412EA8">
        <w:rPr>
          <w:rFonts w:cs="Times New Roman"/>
          <w:szCs w:val="24"/>
        </w:rPr>
        <w:t>accepted</w:t>
      </w:r>
      <w:r>
        <w:rPr>
          <w:rFonts w:cs="Times New Roman"/>
          <w:szCs w:val="24"/>
        </w:rPr>
        <w:t xml:space="preserve"> that there is a divergence of opinion</w:t>
      </w:r>
      <w:r w:rsidR="00412EA8">
        <w:rPr>
          <w:rFonts w:cs="Times New Roman"/>
          <w:szCs w:val="24"/>
        </w:rPr>
        <w:t xml:space="preserve"> on the procedure for dealing with opposed summons for provisional sentence and there was a judgment reserved by </w:t>
      </w:r>
      <w:r w:rsidR="00412EA8">
        <w:rPr>
          <w:rFonts w:cs="Times New Roman"/>
          <w:smallCaps/>
          <w:szCs w:val="24"/>
        </w:rPr>
        <w:t>Wamambo</w:t>
      </w:r>
      <w:r w:rsidR="00412EA8" w:rsidRPr="001D318B">
        <w:rPr>
          <w:rFonts w:cs="Times New Roman"/>
          <w:smallCaps/>
          <w:szCs w:val="24"/>
        </w:rPr>
        <w:t xml:space="preserve"> J</w:t>
      </w:r>
      <w:r w:rsidR="00412EA8">
        <w:rPr>
          <w:rFonts w:cs="Times New Roman"/>
          <w:szCs w:val="24"/>
        </w:rPr>
        <w:t xml:space="preserve"> in relation to the</w:t>
      </w:r>
      <w:r w:rsidR="00E062C4">
        <w:rPr>
          <w:rFonts w:cs="Times New Roman"/>
          <w:szCs w:val="24"/>
        </w:rPr>
        <w:t xml:space="preserve"> set down of provisional sentence matters on the unopposed roll</w:t>
      </w:r>
      <w:r w:rsidR="00412EA8">
        <w:rPr>
          <w:rFonts w:cs="Times New Roman"/>
          <w:szCs w:val="24"/>
        </w:rPr>
        <w:t xml:space="preserve">. It was argued that in this matter, pertinent issues had been raised in the opposing affidavits and </w:t>
      </w:r>
      <w:r w:rsidR="00E062C4">
        <w:rPr>
          <w:rFonts w:cs="Times New Roman"/>
          <w:szCs w:val="24"/>
        </w:rPr>
        <w:t xml:space="preserve">this triggered </w:t>
      </w:r>
      <w:r w:rsidR="00412EA8">
        <w:rPr>
          <w:rFonts w:cs="Times New Roman"/>
          <w:szCs w:val="24"/>
        </w:rPr>
        <w:t>r14 (7) of the High Court Rules. On the issue of the expeditious resolution of disputes, it was suggested that the Judge sitting in motion court c</w:t>
      </w:r>
      <w:r w:rsidR="00C05B08">
        <w:rPr>
          <w:rFonts w:cs="Times New Roman"/>
          <w:szCs w:val="24"/>
        </w:rPr>
        <w:t>ould</w:t>
      </w:r>
      <w:r w:rsidR="00412EA8">
        <w:rPr>
          <w:rFonts w:cs="Times New Roman"/>
          <w:szCs w:val="24"/>
        </w:rPr>
        <w:t xml:space="preserve"> case manage </w:t>
      </w:r>
      <w:r w:rsidR="00C05B08">
        <w:rPr>
          <w:rFonts w:cs="Times New Roman"/>
          <w:szCs w:val="24"/>
        </w:rPr>
        <w:t xml:space="preserve">an </w:t>
      </w:r>
      <w:r w:rsidR="00412EA8">
        <w:rPr>
          <w:rFonts w:cs="Times New Roman"/>
          <w:szCs w:val="24"/>
        </w:rPr>
        <w:t xml:space="preserve">opposed </w:t>
      </w:r>
      <w:r w:rsidR="00C05B08">
        <w:rPr>
          <w:rFonts w:cs="Times New Roman"/>
          <w:szCs w:val="24"/>
        </w:rPr>
        <w:t xml:space="preserve">summons for provisional sentence </w:t>
      </w:r>
      <w:r w:rsidR="00412EA8">
        <w:rPr>
          <w:rFonts w:cs="Times New Roman"/>
          <w:szCs w:val="24"/>
        </w:rPr>
        <w:t xml:space="preserve">matter so that it would be heard expeditiously. </w:t>
      </w:r>
    </w:p>
    <w:p w14:paraId="5A8C4D6B" w14:textId="77777777" w:rsidR="00C05B08" w:rsidRPr="00C05B08" w:rsidRDefault="00521DEB" w:rsidP="00521DEB">
      <w:pPr>
        <w:pStyle w:val="ListParagraph"/>
        <w:numPr>
          <w:ilvl w:val="0"/>
          <w:numId w:val="5"/>
        </w:numPr>
        <w:ind w:left="567" w:hanging="567"/>
        <w:rPr>
          <w:rFonts w:cs="Times New Roman"/>
          <w:b/>
          <w:bCs/>
          <w:szCs w:val="24"/>
          <w:u w:val="single"/>
        </w:rPr>
      </w:pPr>
      <w:r>
        <w:rPr>
          <w:rFonts w:cs="Times New Roman"/>
          <w:szCs w:val="24"/>
        </w:rPr>
        <w:t xml:space="preserve">After considering the submissions made by the parties, I took the view that since judgment had been reserved in relation to the interpretation of r14(6), it was prudent to wait for that judgment, also bearing in mind that the matter before me had been opposed. I also took the view that </w:t>
      </w:r>
      <w:r>
        <w:rPr>
          <w:rFonts w:cs="Times New Roman"/>
          <w:smallCaps/>
          <w:szCs w:val="24"/>
        </w:rPr>
        <w:t>Wamambo</w:t>
      </w:r>
      <w:r w:rsidRPr="001D318B">
        <w:rPr>
          <w:rFonts w:cs="Times New Roman"/>
          <w:smallCaps/>
          <w:szCs w:val="24"/>
        </w:rPr>
        <w:t xml:space="preserve"> J</w:t>
      </w:r>
      <w:r w:rsidR="00A462C5">
        <w:rPr>
          <w:rFonts w:cs="Times New Roman"/>
          <w:szCs w:val="24"/>
        </w:rPr>
        <w:t>’s judgement wo</w:t>
      </w:r>
      <w:r w:rsidRPr="00521DEB">
        <w:rPr>
          <w:rFonts w:cs="Times New Roman"/>
          <w:szCs w:val="24"/>
        </w:rPr>
        <w:t xml:space="preserve">uld authoritatively speak on whether or not provisional summons matters ought to have a separate roll </w:t>
      </w:r>
      <w:r w:rsidRPr="00CF0ADC">
        <w:rPr>
          <w:rFonts w:cs="Times New Roman"/>
          <w:i/>
          <w:iCs/>
          <w:szCs w:val="24"/>
        </w:rPr>
        <w:t>vis a vis</w:t>
      </w:r>
      <w:r w:rsidRPr="00521DEB">
        <w:rPr>
          <w:rFonts w:cs="Times New Roman"/>
          <w:szCs w:val="24"/>
        </w:rPr>
        <w:t xml:space="preserve"> the practical realities in the High Court. </w:t>
      </w:r>
      <w:r>
        <w:rPr>
          <w:rFonts w:cs="Times New Roman"/>
          <w:szCs w:val="24"/>
        </w:rPr>
        <w:t xml:space="preserve">On the issue of referral to the opposed roll, </w:t>
      </w:r>
      <w:r w:rsidR="006606DA">
        <w:rPr>
          <w:rFonts w:cs="Times New Roman"/>
          <w:szCs w:val="24"/>
        </w:rPr>
        <w:t xml:space="preserve">in light of the averments made by the respondents in their opposing papers, </w:t>
      </w:r>
      <w:r>
        <w:rPr>
          <w:rFonts w:cs="Times New Roman"/>
          <w:szCs w:val="24"/>
        </w:rPr>
        <w:t xml:space="preserve">I was more inclined to </w:t>
      </w:r>
      <w:r w:rsidR="00B5096A">
        <w:rPr>
          <w:rFonts w:cs="Times New Roman"/>
          <w:szCs w:val="24"/>
        </w:rPr>
        <w:t xml:space="preserve">follow the reasoning </w:t>
      </w:r>
      <w:r w:rsidR="00CF0ADC">
        <w:rPr>
          <w:rFonts w:cs="Times New Roman"/>
          <w:szCs w:val="24"/>
        </w:rPr>
        <w:t>that contested cases for provisional sentence have previously been heard as opposed applications as demonstrated in various judgments of this court: See</w:t>
      </w:r>
      <w:r w:rsidR="00B5096A">
        <w:rPr>
          <w:rFonts w:cs="Times New Roman"/>
          <w:szCs w:val="24"/>
        </w:rPr>
        <w:t xml:space="preserve"> </w:t>
      </w:r>
      <w:r w:rsidR="00CF0ADC">
        <w:rPr>
          <w:rFonts w:cs="Times New Roman"/>
          <w:szCs w:val="24"/>
        </w:rPr>
        <w:t xml:space="preserve">for instance </w:t>
      </w:r>
      <w:r w:rsidR="00B5096A" w:rsidRPr="00CF0ADC">
        <w:rPr>
          <w:rFonts w:cs="Times New Roman"/>
          <w:i/>
          <w:iCs/>
          <w:szCs w:val="24"/>
        </w:rPr>
        <w:t xml:space="preserve">Al Shams </w:t>
      </w:r>
      <w:r w:rsidR="002E370D" w:rsidRPr="00CF0ADC">
        <w:rPr>
          <w:rFonts w:cs="Times New Roman"/>
          <w:i/>
          <w:iCs/>
          <w:szCs w:val="24"/>
        </w:rPr>
        <w:t>Global BVI Ltd v Equity Properties (Pvt) Ltd supra</w:t>
      </w:r>
      <w:r w:rsidR="003C17E4">
        <w:rPr>
          <w:rFonts w:cs="Times New Roman"/>
          <w:szCs w:val="24"/>
        </w:rPr>
        <w:t>;</w:t>
      </w:r>
      <w:r w:rsidR="002E370D">
        <w:rPr>
          <w:rFonts w:cs="Times New Roman"/>
          <w:szCs w:val="24"/>
        </w:rPr>
        <w:t xml:space="preserve"> </w:t>
      </w:r>
      <w:r w:rsidR="00B5096A" w:rsidRPr="0094163C">
        <w:rPr>
          <w:rFonts w:cs="Times New Roman"/>
          <w:i/>
          <w:iCs/>
          <w:szCs w:val="24"/>
        </w:rPr>
        <w:t xml:space="preserve">Spar Harare </w:t>
      </w:r>
      <w:r w:rsidR="00B5096A">
        <w:rPr>
          <w:rFonts w:cs="Times New Roman"/>
          <w:i/>
          <w:iCs/>
          <w:szCs w:val="24"/>
        </w:rPr>
        <w:t>Private Limited</w:t>
      </w:r>
      <w:r w:rsidR="00B5096A" w:rsidRPr="0094163C">
        <w:rPr>
          <w:rFonts w:cs="Times New Roman"/>
          <w:i/>
          <w:iCs/>
          <w:szCs w:val="24"/>
        </w:rPr>
        <w:t xml:space="preserve"> </w:t>
      </w:r>
      <w:r w:rsidR="00B5096A">
        <w:rPr>
          <w:rFonts w:cs="Times New Roman"/>
          <w:i/>
          <w:iCs/>
          <w:szCs w:val="24"/>
        </w:rPr>
        <w:t>t/a Spar Eastern Region</w:t>
      </w:r>
      <w:r w:rsidR="00B5096A" w:rsidRPr="0094163C">
        <w:rPr>
          <w:rFonts w:cs="Times New Roman"/>
          <w:i/>
          <w:iCs/>
          <w:szCs w:val="24"/>
        </w:rPr>
        <w:t xml:space="preserve"> </w:t>
      </w:r>
      <w:r w:rsidR="00B5096A" w:rsidRPr="0094163C">
        <w:rPr>
          <w:rFonts w:cs="Times New Roman"/>
          <w:szCs w:val="24"/>
        </w:rPr>
        <w:t>v</w:t>
      </w:r>
      <w:r w:rsidR="00B5096A" w:rsidRPr="0094163C">
        <w:rPr>
          <w:rFonts w:cs="Times New Roman"/>
          <w:i/>
          <w:iCs/>
          <w:szCs w:val="24"/>
        </w:rPr>
        <w:t xml:space="preserve"> Munava Enterprises </w:t>
      </w:r>
      <w:r w:rsidR="00B5096A">
        <w:rPr>
          <w:rFonts w:cs="Times New Roman"/>
          <w:i/>
          <w:iCs/>
          <w:szCs w:val="24"/>
        </w:rPr>
        <w:t>Private Limited</w:t>
      </w:r>
      <w:r w:rsidR="00B5096A" w:rsidRPr="0094163C">
        <w:rPr>
          <w:rFonts w:cs="Times New Roman"/>
          <w:i/>
          <w:iCs/>
          <w:szCs w:val="24"/>
        </w:rPr>
        <w:t xml:space="preserve"> &amp; Ors</w:t>
      </w:r>
      <w:r w:rsidR="00B5096A">
        <w:rPr>
          <w:rFonts w:cs="Times New Roman"/>
          <w:szCs w:val="24"/>
        </w:rPr>
        <w:t xml:space="preserve"> </w:t>
      </w:r>
      <w:r w:rsidR="002E370D" w:rsidRPr="00CF0ADC">
        <w:rPr>
          <w:rFonts w:cs="Times New Roman"/>
          <w:i/>
          <w:iCs/>
          <w:szCs w:val="24"/>
        </w:rPr>
        <w:t>supra</w:t>
      </w:r>
      <w:r w:rsidR="003C17E4">
        <w:rPr>
          <w:rFonts w:cs="Times New Roman"/>
          <w:szCs w:val="24"/>
        </w:rPr>
        <w:t>;</w:t>
      </w:r>
      <w:r w:rsidR="002E370D">
        <w:rPr>
          <w:rFonts w:cs="Times New Roman"/>
          <w:szCs w:val="24"/>
        </w:rPr>
        <w:t xml:space="preserve"> </w:t>
      </w:r>
      <w:r w:rsidR="00B5096A" w:rsidRPr="0094163C">
        <w:rPr>
          <w:rFonts w:cs="Times New Roman"/>
          <w:i/>
          <w:iCs/>
          <w:szCs w:val="24"/>
        </w:rPr>
        <w:t xml:space="preserve">Mazengwa </w:t>
      </w:r>
      <w:r w:rsidR="00B5096A" w:rsidRPr="006606DA">
        <w:rPr>
          <w:rFonts w:cs="Times New Roman"/>
          <w:szCs w:val="24"/>
        </w:rPr>
        <w:t>v</w:t>
      </w:r>
      <w:r w:rsidR="00B5096A" w:rsidRPr="0094163C">
        <w:rPr>
          <w:rFonts w:cs="Times New Roman"/>
          <w:i/>
          <w:iCs/>
          <w:szCs w:val="24"/>
        </w:rPr>
        <w:t xml:space="preserve"> Njanike</w:t>
      </w:r>
      <w:r w:rsidR="00B5096A">
        <w:rPr>
          <w:rFonts w:cs="Times New Roman"/>
          <w:szCs w:val="24"/>
        </w:rPr>
        <w:t xml:space="preserve"> </w:t>
      </w:r>
      <w:r w:rsidR="00CF0ADC" w:rsidRPr="00CF0ADC">
        <w:rPr>
          <w:rFonts w:cs="Times New Roman"/>
          <w:i/>
          <w:iCs/>
          <w:szCs w:val="24"/>
        </w:rPr>
        <w:t>supra</w:t>
      </w:r>
      <w:r w:rsidR="003C17E4">
        <w:rPr>
          <w:rFonts w:cs="Times New Roman"/>
          <w:szCs w:val="24"/>
        </w:rPr>
        <w:t>;</w:t>
      </w:r>
      <w:r w:rsidR="00CF0ADC">
        <w:rPr>
          <w:rFonts w:cs="Times New Roman"/>
          <w:szCs w:val="24"/>
        </w:rPr>
        <w:t xml:space="preserve"> </w:t>
      </w:r>
      <w:r w:rsidR="00CF0ADC" w:rsidRPr="006606DA">
        <w:rPr>
          <w:rFonts w:cs="Times New Roman"/>
          <w:i/>
          <w:iCs/>
          <w:szCs w:val="24"/>
        </w:rPr>
        <w:t xml:space="preserve">Mavindidze &amp; Anor </w:t>
      </w:r>
      <w:r w:rsidR="00CF0ADC" w:rsidRPr="006606DA">
        <w:rPr>
          <w:rFonts w:cs="Times New Roman"/>
          <w:szCs w:val="24"/>
        </w:rPr>
        <w:t>v</w:t>
      </w:r>
      <w:r w:rsidR="00CF0ADC" w:rsidRPr="006606DA">
        <w:rPr>
          <w:rFonts w:cs="Times New Roman"/>
          <w:i/>
          <w:iCs/>
          <w:szCs w:val="24"/>
        </w:rPr>
        <w:t xml:space="preserve"> Mukonoweshuro</w:t>
      </w:r>
      <w:r w:rsidR="00CF0ADC">
        <w:rPr>
          <w:rFonts w:cs="Times New Roman"/>
          <w:szCs w:val="24"/>
        </w:rPr>
        <w:t xml:space="preserve"> 2010 (1) ZLR 191 (H)</w:t>
      </w:r>
      <w:r w:rsidR="003C17E4">
        <w:rPr>
          <w:rFonts w:cs="Times New Roman"/>
          <w:szCs w:val="24"/>
        </w:rPr>
        <w:t xml:space="preserve">; </w:t>
      </w:r>
      <w:r w:rsidR="006606DA">
        <w:rPr>
          <w:rFonts w:cs="Times New Roman"/>
          <w:szCs w:val="24"/>
        </w:rPr>
        <w:t xml:space="preserve">and </w:t>
      </w:r>
      <w:r w:rsidR="006606DA" w:rsidRPr="006606DA">
        <w:rPr>
          <w:rFonts w:cs="Times New Roman"/>
          <w:i/>
          <w:iCs/>
          <w:szCs w:val="24"/>
        </w:rPr>
        <w:t>S</w:t>
      </w:r>
      <w:r w:rsidR="00CF0ADC" w:rsidRPr="006606DA">
        <w:rPr>
          <w:rFonts w:cs="Times New Roman"/>
          <w:i/>
          <w:iCs/>
          <w:szCs w:val="24"/>
        </w:rPr>
        <w:t xml:space="preserve">ibanda </w:t>
      </w:r>
      <w:r w:rsidR="00CF0ADC" w:rsidRPr="006606DA">
        <w:rPr>
          <w:rFonts w:cs="Times New Roman"/>
          <w:szCs w:val="24"/>
        </w:rPr>
        <w:t xml:space="preserve">v </w:t>
      </w:r>
      <w:r w:rsidR="00CF0ADC" w:rsidRPr="006606DA">
        <w:rPr>
          <w:rFonts w:cs="Times New Roman"/>
          <w:i/>
          <w:iCs/>
          <w:szCs w:val="24"/>
        </w:rPr>
        <w:t>Mushapaidze</w:t>
      </w:r>
      <w:r w:rsidR="00CF0ADC">
        <w:rPr>
          <w:rFonts w:cs="Times New Roman"/>
          <w:szCs w:val="24"/>
        </w:rPr>
        <w:t xml:space="preserve"> 2010 (1) ZLR 216 (H)</w:t>
      </w:r>
      <w:r>
        <w:rPr>
          <w:rFonts w:cs="Times New Roman"/>
          <w:szCs w:val="24"/>
        </w:rPr>
        <w:t xml:space="preserve">. </w:t>
      </w:r>
      <w:r w:rsidR="00C05B08">
        <w:rPr>
          <w:rFonts w:cs="Times New Roman"/>
          <w:szCs w:val="24"/>
        </w:rPr>
        <w:t xml:space="preserve">I took the view that the matter ought to be removed from the roll of unopposed matters. Counsel for the applicant then requested that the order specifically captures that the matter had been referred to the opposed roll, ‘for clarity’, a request that counsel for the respondents had no issues with. </w:t>
      </w:r>
    </w:p>
    <w:p w14:paraId="19A89DA5" w14:textId="26427FA3" w:rsidR="00557124" w:rsidRPr="00557124" w:rsidRDefault="00557124" w:rsidP="00521DEB">
      <w:pPr>
        <w:pStyle w:val="ListParagraph"/>
        <w:numPr>
          <w:ilvl w:val="0"/>
          <w:numId w:val="5"/>
        </w:numPr>
        <w:ind w:left="567" w:hanging="567"/>
        <w:rPr>
          <w:rFonts w:cs="Times New Roman"/>
          <w:b/>
          <w:bCs/>
          <w:szCs w:val="24"/>
          <w:u w:val="single"/>
        </w:rPr>
      </w:pPr>
      <w:r>
        <w:rPr>
          <w:rFonts w:cs="Times New Roman"/>
          <w:szCs w:val="24"/>
        </w:rPr>
        <w:t>With regards costs, counsel for the applicant submitted that since there was a difference of opinion on the question, it was appropriate that there be no order as to costs</w:t>
      </w:r>
      <w:r w:rsidR="00C05B08">
        <w:rPr>
          <w:rFonts w:cs="Times New Roman"/>
          <w:szCs w:val="24"/>
        </w:rPr>
        <w:t xml:space="preserve">. Counsel for </w:t>
      </w:r>
      <w:r w:rsidR="00C05B08">
        <w:rPr>
          <w:rFonts w:cs="Times New Roman"/>
          <w:szCs w:val="24"/>
        </w:rPr>
        <w:lastRenderedPageBreak/>
        <w:t xml:space="preserve">the respondent agreed with this. </w:t>
      </w:r>
      <w:r>
        <w:rPr>
          <w:rFonts w:cs="Times New Roman"/>
          <w:szCs w:val="24"/>
        </w:rPr>
        <w:t xml:space="preserve"> </w:t>
      </w:r>
      <w:r w:rsidR="00C05B08">
        <w:rPr>
          <w:rFonts w:cs="Times New Roman"/>
          <w:szCs w:val="24"/>
        </w:rPr>
        <w:t xml:space="preserve">It </w:t>
      </w:r>
      <w:r>
        <w:rPr>
          <w:rFonts w:cs="Times New Roman"/>
          <w:szCs w:val="24"/>
        </w:rPr>
        <w:t xml:space="preserve">was on the foregoing basis that I </w:t>
      </w:r>
      <w:r w:rsidR="00C05B08">
        <w:rPr>
          <w:rFonts w:cs="Times New Roman"/>
          <w:szCs w:val="24"/>
        </w:rPr>
        <w:t xml:space="preserve">removed the matter from the roll of unopposed matters and </w:t>
      </w:r>
      <w:r>
        <w:rPr>
          <w:rFonts w:cs="Times New Roman"/>
          <w:szCs w:val="24"/>
        </w:rPr>
        <w:t xml:space="preserve">referred </w:t>
      </w:r>
      <w:r w:rsidR="00C05B08">
        <w:rPr>
          <w:rFonts w:cs="Times New Roman"/>
          <w:szCs w:val="24"/>
        </w:rPr>
        <w:t>it</w:t>
      </w:r>
      <w:r>
        <w:rPr>
          <w:rFonts w:cs="Times New Roman"/>
          <w:szCs w:val="24"/>
        </w:rPr>
        <w:t xml:space="preserve"> to the roll of opposed matters with no order as to costs.  </w:t>
      </w:r>
    </w:p>
    <w:p w14:paraId="06178D2E" w14:textId="77777777" w:rsidR="00557124" w:rsidRPr="00557124" w:rsidRDefault="00557124" w:rsidP="00557124">
      <w:pPr>
        <w:pStyle w:val="ListParagraph"/>
        <w:ind w:left="567"/>
        <w:rPr>
          <w:rFonts w:cs="Times New Roman"/>
          <w:b/>
          <w:bCs/>
          <w:szCs w:val="24"/>
          <w:u w:val="single"/>
        </w:rPr>
      </w:pPr>
    </w:p>
    <w:p w14:paraId="7C9F79D5" w14:textId="2EEBACEA" w:rsidR="00557124" w:rsidRPr="00557124" w:rsidRDefault="00557124" w:rsidP="00557124">
      <w:pPr>
        <w:pStyle w:val="ListParagraph"/>
        <w:ind w:left="567"/>
        <w:rPr>
          <w:rFonts w:cs="Times New Roman"/>
          <w:b/>
          <w:bCs/>
          <w:szCs w:val="24"/>
          <w:u w:val="single"/>
        </w:rPr>
      </w:pPr>
      <w:r w:rsidRPr="00557124">
        <w:rPr>
          <w:rFonts w:cs="Times New Roman"/>
          <w:b/>
          <w:bCs/>
          <w:szCs w:val="24"/>
          <w:u w:val="single"/>
        </w:rPr>
        <w:t xml:space="preserve">THE APPLICATION FOR LEAVE TO APPEAL </w:t>
      </w:r>
    </w:p>
    <w:p w14:paraId="6610C2FA" w14:textId="1BAF3EB2" w:rsidR="00336899" w:rsidRPr="00336899" w:rsidRDefault="00A462C5" w:rsidP="00521DEB">
      <w:pPr>
        <w:pStyle w:val="ListParagraph"/>
        <w:numPr>
          <w:ilvl w:val="0"/>
          <w:numId w:val="5"/>
        </w:numPr>
        <w:ind w:left="567" w:hanging="567"/>
        <w:rPr>
          <w:rFonts w:cs="Times New Roman"/>
          <w:b/>
          <w:bCs/>
          <w:szCs w:val="24"/>
          <w:u w:val="single"/>
        </w:rPr>
      </w:pPr>
      <w:r>
        <w:rPr>
          <w:rFonts w:cs="Times New Roman"/>
          <w:szCs w:val="24"/>
        </w:rPr>
        <w:t xml:space="preserve">Clearly unhappy with the </w:t>
      </w:r>
      <w:r w:rsidR="00285ABA">
        <w:rPr>
          <w:rFonts w:cs="Times New Roman"/>
          <w:szCs w:val="24"/>
        </w:rPr>
        <w:t>re</w:t>
      </w:r>
      <w:r w:rsidR="00EB6BE0">
        <w:rPr>
          <w:rFonts w:cs="Times New Roman"/>
          <w:szCs w:val="24"/>
        </w:rPr>
        <w:t>moval of the matter from the unopposed roll</w:t>
      </w:r>
      <w:r>
        <w:rPr>
          <w:rFonts w:cs="Times New Roman"/>
          <w:szCs w:val="24"/>
        </w:rPr>
        <w:t>, the applicant launched this application for leave to appeal which has been opposed by the first to the fourth respondents. I have already related</w:t>
      </w:r>
      <w:r w:rsidR="00336899">
        <w:rPr>
          <w:rFonts w:cs="Times New Roman"/>
          <w:szCs w:val="24"/>
        </w:rPr>
        <w:t xml:space="preserve"> to the grounds upon which the applicant intends to appeal against my decision. </w:t>
      </w:r>
      <w:r w:rsidR="00EB6BE0">
        <w:rPr>
          <w:rFonts w:cs="Times New Roman"/>
          <w:szCs w:val="24"/>
        </w:rPr>
        <w:t>T</w:t>
      </w:r>
      <w:r w:rsidR="00336899">
        <w:rPr>
          <w:rFonts w:cs="Times New Roman"/>
          <w:szCs w:val="24"/>
        </w:rPr>
        <w:t xml:space="preserve">he applicant argues that the matter warrants the granting of leave because the intended appeal enjoys reasonable prospects of success because the order is contrary to the procedural framework governing the conduct of provisional sentence proceedings. Further, the intended appeal raises a point of law of considerable importance, namely the correct procedure to be followed where opposition is filed in provisional sentence matters. Finally, my order undermines and defeats the very purpose and essence of provisional sentence proceedings, which are designed to provide speedy relief to a plaintiff armed with liquid documents. </w:t>
      </w:r>
    </w:p>
    <w:p w14:paraId="0EC93776" w14:textId="25726D50" w:rsidR="00336899" w:rsidRPr="00CC74E5" w:rsidRDefault="00336899" w:rsidP="00521DEB">
      <w:pPr>
        <w:pStyle w:val="ListParagraph"/>
        <w:numPr>
          <w:ilvl w:val="0"/>
          <w:numId w:val="5"/>
        </w:numPr>
        <w:ind w:left="567" w:hanging="567"/>
        <w:rPr>
          <w:rFonts w:cs="Times New Roman"/>
          <w:b/>
          <w:bCs/>
          <w:szCs w:val="24"/>
          <w:u w:val="single"/>
        </w:rPr>
      </w:pPr>
      <w:r>
        <w:rPr>
          <w:rFonts w:cs="Times New Roman"/>
          <w:szCs w:val="24"/>
        </w:rPr>
        <w:t xml:space="preserve">The respondents oppose the application. In </w:t>
      </w:r>
      <w:r w:rsidRPr="00CC74E5">
        <w:rPr>
          <w:rFonts w:cs="Times New Roman"/>
          <w:i/>
          <w:iCs/>
          <w:szCs w:val="24"/>
        </w:rPr>
        <w:t>limine</w:t>
      </w:r>
      <w:r>
        <w:rPr>
          <w:rFonts w:cs="Times New Roman"/>
          <w:szCs w:val="24"/>
        </w:rPr>
        <w:t>, they argue that the application is fatally defective because instead of giving</w:t>
      </w:r>
      <w:r w:rsidR="00CC74E5">
        <w:rPr>
          <w:rFonts w:cs="Times New Roman"/>
          <w:szCs w:val="24"/>
        </w:rPr>
        <w:t xml:space="preserve"> </w:t>
      </w:r>
      <w:r>
        <w:rPr>
          <w:rFonts w:cs="Times New Roman"/>
          <w:szCs w:val="24"/>
        </w:rPr>
        <w:t xml:space="preserve">a </w:t>
      </w:r>
      <w:r w:rsidRPr="00CC74E5">
        <w:rPr>
          <w:rFonts w:cs="Times New Roman"/>
          <w:i/>
          <w:iCs/>
          <w:szCs w:val="24"/>
        </w:rPr>
        <w:t>dies induciae</w:t>
      </w:r>
      <w:r>
        <w:rPr>
          <w:rFonts w:cs="Times New Roman"/>
          <w:szCs w:val="24"/>
        </w:rPr>
        <w:t xml:space="preserve"> of two </w:t>
      </w:r>
      <w:r w:rsidR="00CC74E5">
        <w:rPr>
          <w:rFonts w:cs="Times New Roman"/>
          <w:szCs w:val="24"/>
        </w:rPr>
        <w:t xml:space="preserve">days within which to oppose the application, it gives them ten days to do so. The respondents argue, further that the application must have been made orally, failing which the applicant </w:t>
      </w:r>
      <w:r w:rsidR="006606DA">
        <w:rPr>
          <w:rFonts w:cs="Times New Roman"/>
          <w:szCs w:val="24"/>
        </w:rPr>
        <w:t>was</w:t>
      </w:r>
      <w:r w:rsidR="00CC74E5">
        <w:rPr>
          <w:rFonts w:cs="Times New Roman"/>
          <w:szCs w:val="24"/>
        </w:rPr>
        <w:t xml:space="preserve"> required to explain why it failed to make an oral application, but in this case, the applicant</w:t>
      </w:r>
      <w:r w:rsidR="00EB6BE0">
        <w:rPr>
          <w:rFonts w:cs="Times New Roman"/>
          <w:szCs w:val="24"/>
        </w:rPr>
        <w:t>, having made a written application,</w:t>
      </w:r>
      <w:r w:rsidR="00CC74E5">
        <w:rPr>
          <w:rFonts w:cs="Times New Roman"/>
          <w:szCs w:val="24"/>
        </w:rPr>
        <w:t xml:space="preserve"> failed to give that explanation. Thirdly, the respondents argue that the ruling sought to be appealed against, being a procedural ruling</w:t>
      </w:r>
      <w:r w:rsidR="006606DA">
        <w:rPr>
          <w:rFonts w:cs="Times New Roman"/>
          <w:szCs w:val="24"/>
        </w:rPr>
        <w:t>,</w:t>
      </w:r>
      <w:r w:rsidR="00CC74E5">
        <w:rPr>
          <w:rFonts w:cs="Times New Roman"/>
          <w:szCs w:val="24"/>
        </w:rPr>
        <w:t xml:space="preserve"> not a judgment or order for the purposes of s43 of the High Court Act [</w:t>
      </w:r>
      <w:r w:rsidR="00CC74E5" w:rsidRPr="00CC74E5">
        <w:rPr>
          <w:rFonts w:cs="Times New Roman"/>
          <w:i/>
          <w:iCs/>
          <w:szCs w:val="24"/>
        </w:rPr>
        <w:t>Chapter 7:06</w:t>
      </w:r>
      <w:r w:rsidR="00CC74E5">
        <w:rPr>
          <w:rFonts w:cs="Times New Roman"/>
          <w:szCs w:val="24"/>
        </w:rPr>
        <w:t xml:space="preserve">], is not appealable, even with leave.  </w:t>
      </w:r>
    </w:p>
    <w:p w14:paraId="27356EA7" w14:textId="0C10BD8F" w:rsidR="00CC74E5" w:rsidRPr="00CC74E5" w:rsidRDefault="00CC74E5" w:rsidP="00521DEB">
      <w:pPr>
        <w:pStyle w:val="ListParagraph"/>
        <w:numPr>
          <w:ilvl w:val="0"/>
          <w:numId w:val="5"/>
        </w:numPr>
        <w:ind w:left="567" w:hanging="567"/>
        <w:rPr>
          <w:rFonts w:cs="Times New Roman"/>
          <w:b/>
          <w:bCs/>
          <w:szCs w:val="24"/>
          <w:u w:val="single"/>
        </w:rPr>
      </w:pPr>
      <w:r>
        <w:rPr>
          <w:rFonts w:cs="Times New Roman"/>
          <w:szCs w:val="24"/>
        </w:rPr>
        <w:t xml:space="preserve">On the merits, the respondents make the argument that regardless of whether the matter had been opposed or not, it ought not to have been set down on the unopposed roll so removal from the roll was inevitable. </w:t>
      </w:r>
    </w:p>
    <w:p w14:paraId="5D16F748" w14:textId="4AF8089B" w:rsidR="00CC74E5" w:rsidRPr="00CC74E5" w:rsidRDefault="00CC74E5" w:rsidP="00CC74E5">
      <w:pPr>
        <w:pStyle w:val="ListParagraph"/>
        <w:ind w:left="567"/>
        <w:rPr>
          <w:rFonts w:cs="Times New Roman"/>
          <w:b/>
          <w:bCs/>
          <w:szCs w:val="24"/>
          <w:u w:val="single"/>
        </w:rPr>
      </w:pPr>
      <w:r w:rsidRPr="00CC74E5">
        <w:rPr>
          <w:rFonts w:cs="Times New Roman"/>
          <w:b/>
          <w:bCs/>
          <w:szCs w:val="24"/>
          <w:u w:val="single"/>
        </w:rPr>
        <w:t>ORAL SUBMISSIONS BEFORE THE COURT</w:t>
      </w:r>
    </w:p>
    <w:p w14:paraId="11E497A6" w14:textId="710D8EDE" w:rsidR="00285ABA" w:rsidRPr="00402C3E" w:rsidRDefault="002662D6" w:rsidP="00521DEB">
      <w:pPr>
        <w:pStyle w:val="ListParagraph"/>
        <w:numPr>
          <w:ilvl w:val="0"/>
          <w:numId w:val="5"/>
        </w:numPr>
        <w:ind w:left="567" w:hanging="567"/>
        <w:rPr>
          <w:rFonts w:cs="Times New Roman"/>
          <w:b/>
          <w:bCs/>
          <w:szCs w:val="24"/>
          <w:u w:val="single"/>
        </w:rPr>
      </w:pPr>
      <w:r w:rsidRPr="002662D6">
        <w:rPr>
          <w:rFonts w:cs="Times New Roman"/>
          <w:szCs w:val="24"/>
        </w:rPr>
        <w:lastRenderedPageBreak/>
        <w:t xml:space="preserve">Mr. </w:t>
      </w:r>
      <w:r w:rsidRPr="002662D6">
        <w:rPr>
          <w:rFonts w:cs="Times New Roman"/>
          <w:i/>
          <w:iCs/>
          <w:szCs w:val="24"/>
        </w:rPr>
        <w:t>Madhuku</w:t>
      </w:r>
      <w:r w:rsidR="004762F4" w:rsidRPr="004762F4">
        <w:rPr>
          <w:rFonts w:cs="Times New Roman"/>
          <w:szCs w:val="24"/>
        </w:rPr>
        <w:t>, for the applicant,</w:t>
      </w:r>
      <w:r w:rsidRPr="002662D6">
        <w:rPr>
          <w:rFonts w:cs="Times New Roman"/>
          <w:i/>
          <w:iCs/>
          <w:szCs w:val="24"/>
        </w:rPr>
        <w:t xml:space="preserve"> </w:t>
      </w:r>
      <w:r w:rsidR="004762F4" w:rsidRPr="004762F4">
        <w:rPr>
          <w:rFonts w:cs="Times New Roman"/>
          <w:szCs w:val="24"/>
        </w:rPr>
        <w:t xml:space="preserve">argued on two points namely that </w:t>
      </w:r>
      <w:r w:rsidR="004762F4">
        <w:rPr>
          <w:rFonts w:cs="Times New Roman"/>
          <w:szCs w:val="24"/>
        </w:rPr>
        <w:t>there were reasonable prospects of success on appeal and secondly</w:t>
      </w:r>
      <w:r w:rsidR="006606DA">
        <w:rPr>
          <w:rFonts w:cs="Times New Roman"/>
          <w:szCs w:val="24"/>
        </w:rPr>
        <w:t>,</w:t>
      </w:r>
      <w:r w:rsidR="004762F4">
        <w:rPr>
          <w:rFonts w:cs="Times New Roman"/>
          <w:szCs w:val="24"/>
        </w:rPr>
        <w:t xml:space="preserve"> that th</w:t>
      </w:r>
      <w:r w:rsidR="006606DA">
        <w:rPr>
          <w:rFonts w:cs="Times New Roman"/>
          <w:szCs w:val="24"/>
        </w:rPr>
        <w:t xml:space="preserve">e appeal raised an </w:t>
      </w:r>
      <w:r w:rsidR="004762F4">
        <w:rPr>
          <w:rFonts w:cs="Times New Roman"/>
          <w:szCs w:val="24"/>
        </w:rPr>
        <w:t>important point of law deserving an authoritative determination</w:t>
      </w:r>
      <w:r w:rsidR="00285ABA">
        <w:rPr>
          <w:rFonts w:cs="Times New Roman"/>
          <w:szCs w:val="24"/>
        </w:rPr>
        <w:t xml:space="preserve"> by the Supreme Court</w:t>
      </w:r>
      <w:r w:rsidR="004762F4">
        <w:rPr>
          <w:rFonts w:cs="Times New Roman"/>
          <w:szCs w:val="24"/>
        </w:rPr>
        <w:t>.</w:t>
      </w:r>
      <w:r w:rsidR="00285ABA">
        <w:rPr>
          <w:rFonts w:cs="Times New Roman"/>
          <w:szCs w:val="24"/>
        </w:rPr>
        <w:t xml:space="preserve"> </w:t>
      </w:r>
      <w:r w:rsidR="00402C3E">
        <w:rPr>
          <w:rFonts w:cs="Times New Roman"/>
          <w:szCs w:val="24"/>
        </w:rPr>
        <w:t>In relation to the preliminary points, it was submitted that r94 of the High Court Rules does not stand in the way once a party is served with an application for leave to appeal</w:t>
      </w:r>
      <w:r w:rsidR="006606DA">
        <w:rPr>
          <w:rFonts w:cs="Times New Roman"/>
          <w:szCs w:val="24"/>
        </w:rPr>
        <w:t>,</w:t>
      </w:r>
      <w:r w:rsidR="00402C3E">
        <w:rPr>
          <w:rFonts w:cs="Times New Roman"/>
          <w:szCs w:val="24"/>
        </w:rPr>
        <w:t xml:space="preserve"> as long as they were given time within which to respond. Mr </w:t>
      </w:r>
      <w:r w:rsidR="00402C3E" w:rsidRPr="00402C3E">
        <w:rPr>
          <w:rFonts w:cs="Times New Roman"/>
          <w:i/>
          <w:iCs/>
          <w:szCs w:val="24"/>
        </w:rPr>
        <w:t>Madhuku</w:t>
      </w:r>
      <w:r w:rsidR="00402C3E">
        <w:rPr>
          <w:rFonts w:cs="Times New Roman"/>
          <w:szCs w:val="24"/>
        </w:rPr>
        <w:t xml:space="preserve"> conceded that the founding papers did not explain why leave to appeal was not sought immediately after the hearing</w:t>
      </w:r>
      <w:r w:rsidR="00C05B08">
        <w:rPr>
          <w:rFonts w:cs="Times New Roman"/>
          <w:szCs w:val="24"/>
        </w:rPr>
        <w:t xml:space="preserve">. He </w:t>
      </w:r>
      <w:r w:rsidR="00402C3E">
        <w:rPr>
          <w:rFonts w:cs="Times New Roman"/>
          <w:szCs w:val="24"/>
        </w:rPr>
        <w:t xml:space="preserve">proceeded to make an oral application for condonation, stating that the </w:t>
      </w:r>
      <w:r w:rsidR="00CA7FF6">
        <w:rPr>
          <w:rFonts w:cs="Times New Roman"/>
          <w:szCs w:val="24"/>
        </w:rPr>
        <w:t>decision</w:t>
      </w:r>
      <w:r w:rsidR="00402C3E">
        <w:rPr>
          <w:rFonts w:cs="Times New Roman"/>
          <w:szCs w:val="24"/>
        </w:rPr>
        <w:t xml:space="preserve"> to appeal was arrived at after reflecting on the determination and seeking legal counsel</w:t>
      </w:r>
      <w:r w:rsidR="00CA7FF6">
        <w:rPr>
          <w:rFonts w:cs="Times New Roman"/>
          <w:szCs w:val="24"/>
        </w:rPr>
        <w:t>, so the application could not be made orally at the hearing</w:t>
      </w:r>
      <w:r w:rsidR="00402C3E">
        <w:rPr>
          <w:rFonts w:cs="Times New Roman"/>
          <w:szCs w:val="24"/>
        </w:rPr>
        <w:t xml:space="preserve">. </w:t>
      </w:r>
    </w:p>
    <w:p w14:paraId="7B7BA3E1" w14:textId="519B8DC5" w:rsidR="00402C3E" w:rsidRPr="00402C3E" w:rsidRDefault="00402C3E" w:rsidP="00402C3E">
      <w:pPr>
        <w:pStyle w:val="ListParagraph"/>
        <w:numPr>
          <w:ilvl w:val="0"/>
          <w:numId w:val="5"/>
        </w:numPr>
        <w:ind w:left="567" w:hanging="567"/>
        <w:rPr>
          <w:rFonts w:cs="Times New Roman"/>
          <w:b/>
          <w:bCs/>
          <w:szCs w:val="24"/>
          <w:u w:val="single"/>
        </w:rPr>
      </w:pPr>
      <w:r>
        <w:rPr>
          <w:rFonts w:cs="Times New Roman"/>
          <w:szCs w:val="24"/>
        </w:rPr>
        <w:t xml:space="preserve">On the point that the decision was not appealable, he submitted that </w:t>
      </w:r>
      <w:r w:rsidR="00285ABA" w:rsidRPr="00402C3E">
        <w:rPr>
          <w:rFonts w:cs="Times New Roman"/>
          <w:szCs w:val="24"/>
        </w:rPr>
        <w:t xml:space="preserve">there are certain rulings that are not appealable but those are rulings made in the course of the proceedings and the proceedings are continuing for example a ruling on who should begin and </w:t>
      </w:r>
      <w:r w:rsidR="00CA7FF6">
        <w:rPr>
          <w:rFonts w:cs="Times New Roman"/>
          <w:szCs w:val="24"/>
        </w:rPr>
        <w:t xml:space="preserve">rulings on </w:t>
      </w:r>
      <w:r w:rsidR="00285ABA" w:rsidRPr="00402C3E">
        <w:rPr>
          <w:rFonts w:cs="Times New Roman"/>
          <w:szCs w:val="24"/>
        </w:rPr>
        <w:t xml:space="preserve">whether you should be limited to five minutes </w:t>
      </w:r>
      <w:r w:rsidR="006606DA">
        <w:rPr>
          <w:rFonts w:cs="Times New Roman"/>
          <w:szCs w:val="24"/>
        </w:rPr>
        <w:t>or</w:t>
      </w:r>
      <w:r w:rsidR="00285ABA" w:rsidRPr="00402C3E">
        <w:rPr>
          <w:rFonts w:cs="Times New Roman"/>
          <w:szCs w:val="24"/>
        </w:rPr>
        <w:t xml:space="preserve"> you are given an additional one minute</w:t>
      </w:r>
      <w:r w:rsidR="006606DA">
        <w:rPr>
          <w:rFonts w:cs="Times New Roman"/>
          <w:szCs w:val="24"/>
        </w:rPr>
        <w:t xml:space="preserve"> to make submissions before the court</w:t>
      </w:r>
      <w:r w:rsidR="00285ABA" w:rsidRPr="00402C3E">
        <w:rPr>
          <w:rFonts w:cs="Times New Roman"/>
          <w:szCs w:val="24"/>
        </w:rPr>
        <w:t xml:space="preserve">. Those rulings are not appealable because they have no effect on the proceedings but where a ruling has the effect of terminating a hearing at the given time and changing </w:t>
      </w:r>
      <w:r w:rsidR="006606DA">
        <w:rPr>
          <w:rFonts w:cs="Times New Roman"/>
          <w:szCs w:val="24"/>
        </w:rPr>
        <w:t xml:space="preserve">its </w:t>
      </w:r>
      <w:r w:rsidR="00285ABA" w:rsidRPr="00402C3E">
        <w:rPr>
          <w:rFonts w:cs="Times New Roman"/>
          <w:szCs w:val="24"/>
        </w:rPr>
        <w:t>course</w:t>
      </w:r>
      <w:r w:rsidR="006606DA">
        <w:rPr>
          <w:rFonts w:cs="Times New Roman"/>
          <w:szCs w:val="24"/>
        </w:rPr>
        <w:t>,</w:t>
      </w:r>
      <w:r w:rsidR="00285ABA" w:rsidRPr="00402C3E">
        <w:rPr>
          <w:rFonts w:cs="Times New Roman"/>
          <w:szCs w:val="24"/>
        </w:rPr>
        <w:t xml:space="preserve"> it would constitute a fundamental decision </w:t>
      </w:r>
      <w:r>
        <w:rPr>
          <w:rFonts w:cs="Times New Roman"/>
          <w:szCs w:val="24"/>
        </w:rPr>
        <w:t>that was appealable upon leave being granted</w:t>
      </w:r>
      <w:r w:rsidR="00285ABA" w:rsidRPr="00402C3E">
        <w:rPr>
          <w:rFonts w:cs="Times New Roman"/>
          <w:szCs w:val="24"/>
        </w:rPr>
        <w:t xml:space="preserve">. </w:t>
      </w:r>
    </w:p>
    <w:p w14:paraId="52414187" w14:textId="26C72C9B" w:rsidR="00367522" w:rsidRPr="00367522" w:rsidRDefault="00402C3E" w:rsidP="00402C3E">
      <w:pPr>
        <w:pStyle w:val="ListParagraph"/>
        <w:numPr>
          <w:ilvl w:val="0"/>
          <w:numId w:val="5"/>
        </w:numPr>
        <w:ind w:left="567" w:hanging="567"/>
        <w:rPr>
          <w:rFonts w:cs="Times New Roman"/>
          <w:b/>
          <w:bCs/>
          <w:szCs w:val="24"/>
          <w:u w:val="single"/>
        </w:rPr>
      </w:pPr>
      <w:r>
        <w:rPr>
          <w:rFonts w:cs="Times New Roman"/>
          <w:szCs w:val="24"/>
        </w:rPr>
        <w:t xml:space="preserve">Mr </w:t>
      </w:r>
      <w:r w:rsidRPr="00A8432D">
        <w:rPr>
          <w:rFonts w:cs="Times New Roman"/>
          <w:i/>
          <w:iCs/>
          <w:szCs w:val="24"/>
        </w:rPr>
        <w:t>Madhuk</w:t>
      </w:r>
      <w:r w:rsidR="00A8432D" w:rsidRPr="00A8432D">
        <w:rPr>
          <w:rFonts w:cs="Times New Roman"/>
          <w:i/>
          <w:iCs/>
          <w:szCs w:val="24"/>
        </w:rPr>
        <w:t>u</w:t>
      </w:r>
      <w:r w:rsidR="00A8432D">
        <w:rPr>
          <w:rFonts w:cs="Times New Roman"/>
          <w:szCs w:val="24"/>
        </w:rPr>
        <w:t xml:space="preserve"> brought to my attention th</w:t>
      </w:r>
      <w:r w:rsidR="006606DA">
        <w:rPr>
          <w:rFonts w:cs="Times New Roman"/>
          <w:szCs w:val="24"/>
        </w:rPr>
        <w:t>at the</w:t>
      </w:r>
      <w:r w:rsidR="00A8432D">
        <w:rPr>
          <w:rFonts w:cs="Times New Roman"/>
          <w:szCs w:val="24"/>
        </w:rPr>
        <w:t xml:space="preserve"> decision by </w:t>
      </w:r>
      <w:r w:rsidR="00A8432D">
        <w:rPr>
          <w:rFonts w:cs="Times New Roman"/>
          <w:smallCaps/>
          <w:szCs w:val="24"/>
        </w:rPr>
        <w:t>Wamambo</w:t>
      </w:r>
      <w:r w:rsidR="00A8432D" w:rsidRPr="001D318B">
        <w:rPr>
          <w:rFonts w:cs="Times New Roman"/>
          <w:smallCaps/>
          <w:szCs w:val="24"/>
        </w:rPr>
        <w:t xml:space="preserve"> J</w:t>
      </w:r>
      <w:r w:rsidR="00A8432D">
        <w:rPr>
          <w:rFonts w:cs="Times New Roman"/>
          <w:smallCaps/>
          <w:szCs w:val="24"/>
        </w:rPr>
        <w:t xml:space="preserve"> </w:t>
      </w:r>
      <w:r w:rsidR="00A8432D">
        <w:rPr>
          <w:rFonts w:cs="Times New Roman"/>
          <w:szCs w:val="24"/>
        </w:rPr>
        <w:t xml:space="preserve">in </w:t>
      </w:r>
      <w:r w:rsidR="00A8432D" w:rsidRPr="00A8432D">
        <w:rPr>
          <w:rFonts w:cs="Times New Roman"/>
          <w:i/>
          <w:iCs/>
          <w:szCs w:val="24"/>
        </w:rPr>
        <w:t xml:space="preserve">Kreamon Investments (Pvt) Ltd </w:t>
      </w:r>
      <w:r w:rsidR="00A8432D" w:rsidRPr="00A8432D">
        <w:rPr>
          <w:rFonts w:cs="Times New Roman"/>
          <w:szCs w:val="24"/>
        </w:rPr>
        <w:t>v</w:t>
      </w:r>
      <w:r w:rsidR="00A8432D" w:rsidRPr="00A8432D">
        <w:rPr>
          <w:rFonts w:cs="Times New Roman"/>
          <w:i/>
          <w:iCs/>
          <w:szCs w:val="24"/>
        </w:rPr>
        <w:t xml:space="preserve"> FMC Finance (Pvt) Ltd &amp; 3 Ors</w:t>
      </w:r>
      <w:r w:rsidR="00A8432D">
        <w:rPr>
          <w:rFonts w:cs="Times New Roman"/>
          <w:szCs w:val="24"/>
        </w:rPr>
        <w:t xml:space="preserve"> HH898-25</w:t>
      </w:r>
      <w:r w:rsidR="00FC0BCD">
        <w:rPr>
          <w:rFonts w:cs="Times New Roman"/>
          <w:szCs w:val="24"/>
        </w:rPr>
        <w:t xml:space="preserve"> had now been handed down, and its </w:t>
      </w:r>
      <w:r w:rsidR="00A8432D">
        <w:rPr>
          <w:rFonts w:cs="Times New Roman"/>
          <w:szCs w:val="24"/>
        </w:rPr>
        <w:t xml:space="preserve">essence </w:t>
      </w:r>
      <w:r w:rsidR="00EB6BE0" w:rsidRPr="00402C3E">
        <w:rPr>
          <w:rFonts w:cs="Times New Roman"/>
          <w:szCs w:val="24"/>
        </w:rPr>
        <w:t xml:space="preserve">was that matters for provisional sentence ought to be heard on the unopposed roll. </w:t>
      </w:r>
    </w:p>
    <w:p w14:paraId="590F8739" w14:textId="6AD36921" w:rsidR="00FC0BCD" w:rsidRPr="00FC0BCD" w:rsidRDefault="00367522" w:rsidP="00367522">
      <w:pPr>
        <w:pStyle w:val="ListParagraph"/>
        <w:numPr>
          <w:ilvl w:val="0"/>
          <w:numId w:val="5"/>
        </w:numPr>
        <w:ind w:left="567" w:hanging="567"/>
        <w:rPr>
          <w:rFonts w:cs="Times New Roman"/>
          <w:b/>
          <w:bCs/>
          <w:szCs w:val="24"/>
          <w:u w:val="single"/>
        </w:rPr>
      </w:pPr>
      <w:r>
        <w:rPr>
          <w:rFonts w:cs="Times New Roman"/>
          <w:szCs w:val="24"/>
        </w:rPr>
        <w:t xml:space="preserve">At the invitation of the court, Mr </w:t>
      </w:r>
      <w:r w:rsidRPr="00367522">
        <w:rPr>
          <w:rFonts w:cs="Times New Roman"/>
          <w:i/>
          <w:iCs/>
          <w:szCs w:val="24"/>
        </w:rPr>
        <w:t>Madhuku</w:t>
      </w:r>
      <w:r>
        <w:rPr>
          <w:rFonts w:cs="Times New Roman"/>
          <w:szCs w:val="24"/>
        </w:rPr>
        <w:t xml:space="preserve"> submitted that r14 (7) seemed to suggest, on the face of it, that if a Notice of Opposition is filed, the procedure would require an answering affidavit and subsequently heads of argument</w:t>
      </w:r>
      <w:r w:rsidR="00FC0BCD">
        <w:rPr>
          <w:rFonts w:cs="Times New Roman"/>
          <w:szCs w:val="24"/>
        </w:rPr>
        <w:t>, therefore the process mutates to an opposed matter</w:t>
      </w:r>
      <w:r>
        <w:rPr>
          <w:rFonts w:cs="Times New Roman"/>
          <w:szCs w:val="24"/>
        </w:rPr>
        <w:t>. He submitted that r14 (7) is not supposed to be given that meaning and that whatever is included in the notice of opposition</w:t>
      </w:r>
      <w:r w:rsidR="00FC0BCD">
        <w:rPr>
          <w:rFonts w:cs="Times New Roman"/>
          <w:szCs w:val="24"/>
        </w:rPr>
        <w:t>,</w:t>
      </w:r>
      <w:r>
        <w:rPr>
          <w:rFonts w:cs="Times New Roman"/>
          <w:szCs w:val="24"/>
        </w:rPr>
        <w:t xml:space="preserve"> was supposed to be dealt with on the unopposed roll.</w:t>
      </w:r>
      <w:r w:rsidR="00FC0BCD">
        <w:rPr>
          <w:rFonts w:cs="Times New Roman"/>
          <w:szCs w:val="24"/>
        </w:rPr>
        <w:t xml:space="preserve"> I note in passing that he was however not very </w:t>
      </w:r>
      <w:r w:rsidR="00CA7FF6">
        <w:rPr>
          <w:rFonts w:cs="Times New Roman"/>
          <w:szCs w:val="24"/>
        </w:rPr>
        <w:t>definite</w:t>
      </w:r>
      <w:r w:rsidR="00FC0BCD">
        <w:rPr>
          <w:rFonts w:cs="Times New Roman"/>
          <w:szCs w:val="24"/>
        </w:rPr>
        <w:t xml:space="preserve"> on how that would pan out in the event that the issues raised in the opposing papers needed a response through an answering affidavit. </w:t>
      </w:r>
    </w:p>
    <w:p w14:paraId="1F2A2D8D" w14:textId="22F407F0" w:rsidR="00367522" w:rsidRPr="00367522" w:rsidRDefault="00367522" w:rsidP="00367522">
      <w:pPr>
        <w:pStyle w:val="ListParagraph"/>
        <w:numPr>
          <w:ilvl w:val="0"/>
          <w:numId w:val="5"/>
        </w:numPr>
        <w:ind w:left="567" w:hanging="567"/>
        <w:rPr>
          <w:rFonts w:cs="Times New Roman"/>
          <w:b/>
          <w:bCs/>
          <w:szCs w:val="24"/>
          <w:u w:val="single"/>
        </w:rPr>
      </w:pPr>
      <w:r>
        <w:rPr>
          <w:rFonts w:cs="Times New Roman"/>
          <w:szCs w:val="24"/>
        </w:rPr>
        <w:lastRenderedPageBreak/>
        <w:t xml:space="preserve"> With regards the  proposed grounds of appeal </w:t>
      </w:r>
      <w:r w:rsidRPr="00FC0BCD">
        <w:rPr>
          <w:rFonts w:cs="Times New Roman"/>
          <w:i/>
          <w:iCs/>
          <w:szCs w:val="24"/>
        </w:rPr>
        <w:t>vis a vis</w:t>
      </w:r>
      <w:r>
        <w:rPr>
          <w:rFonts w:cs="Times New Roman"/>
          <w:szCs w:val="24"/>
        </w:rPr>
        <w:t xml:space="preserve"> some decisions  that referred opposed summons for provisional sentence to the opposed roll, and the </w:t>
      </w:r>
      <w:r w:rsidR="008630FB" w:rsidRPr="00367522">
        <w:rPr>
          <w:rFonts w:cs="Times New Roman"/>
          <w:szCs w:val="24"/>
        </w:rPr>
        <w:t>specific request by applicant’s counsel in the proceedings in the main matter that for clarity, the order specifies that the matter was referred to the opposed roll</w:t>
      </w:r>
      <w:r w:rsidR="00FB4437" w:rsidRPr="00367522">
        <w:rPr>
          <w:rFonts w:cs="Times New Roman"/>
          <w:szCs w:val="24"/>
        </w:rPr>
        <w:t xml:space="preserve"> , Mr </w:t>
      </w:r>
      <w:r w:rsidR="00FB4437" w:rsidRPr="00367522">
        <w:rPr>
          <w:rFonts w:cs="Times New Roman"/>
          <w:i/>
          <w:iCs/>
          <w:szCs w:val="24"/>
        </w:rPr>
        <w:t>Madhuku</w:t>
      </w:r>
      <w:r w:rsidR="00FB4437" w:rsidRPr="00367522">
        <w:rPr>
          <w:rFonts w:cs="Times New Roman"/>
          <w:szCs w:val="24"/>
        </w:rPr>
        <w:t xml:space="preserve"> submitted that the referral to the Supreme Court </w:t>
      </w:r>
      <w:r w:rsidR="00FC0BCD">
        <w:rPr>
          <w:rFonts w:cs="Times New Roman"/>
          <w:szCs w:val="24"/>
        </w:rPr>
        <w:t xml:space="preserve">was </w:t>
      </w:r>
      <w:r w:rsidR="00FB4437" w:rsidRPr="00367522">
        <w:rPr>
          <w:rFonts w:cs="Times New Roman"/>
          <w:szCs w:val="24"/>
        </w:rPr>
        <w:t>not on the basis that the order issued</w:t>
      </w:r>
      <w:r w:rsidR="008630FB" w:rsidRPr="00367522">
        <w:rPr>
          <w:rFonts w:cs="Times New Roman"/>
          <w:szCs w:val="24"/>
        </w:rPr>
        <w:t xml:space="preserve"> by the court was totally wrong</w:t>
      </w:r>
      <w:r w:rsidR="00FC0BCD">
        <w:rPr>
          <w:rFonts w:cs="Times New Roman"/>
          <w:szCs w:val="24"/>
        </w:rPr>
        <w:t>,</w:t>
      </w:r>
      <w:r w:rsidR="008630FB" w:rsidRPr="00367522">
        <w:rPr>
          <w:rFonts w:cs="Times New Roman"/>
          <w:szCs w:val="24"/>
        </w:rPr>
        <w:t xml:space="preserve"> but that the Supreme Court may have a different view in light of the divergent decisions. </w:t>
      </w:r>
    </w:p>
    <w:p w14:paraId="23A69FEB" w14:textId="34482449" w:rsidR="008630FB" w:rsidRPr="00367522" w:rsidRDefault="00367522" w:rsidP="00367522">
      <w:pPr>
        <w:pStyle w:val="ListParagraph"/>
        <w:numPr>
          <w:ilvl w:val="0"/>
          <w:numId w:val="5"/>
        </w:numPr>
        <w:ind w:left="567" w:hanging="567"/>
        <w:rPr>
          <w:rFonts w:cs="Times New Roman"/>
          <w:b/>
          <w:bCs/>
          <w:szCs w:val="24"/>
          <w:u w:val="single"/>
        </w:rPr>
      </w:pPr>
      <w:r>
        <w:rPr>
          <w:rFonts w:cs="Times New Roman"/>
          <w:szCs w:val="24"/>
        </w:rPr>
        <w:t>He submitted that t</w:t>
      </w:r>
      <w:r w:rsidR="008630FB" w:rsidRPr="00367522">
        <w:rPr>
          <w:rFonts w:cs="Times New Roman"/>
          <w:szCs w:val="24"/>
        </w:rPr>
        <w:t xml:space="preserve">he first ground of appeal summarised the essence of the appeal and that could be the only ground of appeal. Mr </w:t>
      </w:r>
      <w:r w:rsidR="008630FB" w:rsidRPr="00367522">
        <w:rPr>
          <w:rFonts w:cs="Times New Roman"/>
          <w:i/>
          <w:iCs/>
          <w:szCs w:val="24"/>
        </w:rPr>
        <w:t>Madhuku</w:t>
      </w:r>
      <w:r w:rsidR="008630FB" w:rsidRPr="00367522">
        <w:rPr>
          <w:rFonts w:cs="Times New Roman"/>
          <w:szCs w:val="24"/>
        </w:rPr>
        <w:t xml:space="preserve"> accepted that the relief sought may not be accurate</w:t>
      </w:r>
      <w:r w:rsidR="00CA7FF6">
        <w:rPr>
          <w:rFonts w:cs="Times New Roman"/>
          <w:szCs w:val="24"/>
        </w:rPr>
        <w:t xml:space="preserve"> in light of the submissions and the position taken by the respondent in the main matter. He submitted that the relief could be amended </w:t>
      </w:r>
      <w:r w:rsidR="0055346C">
        <w:rPr>
          <w:rFonts w:cs="Times New Roman"/>
          <w:szCs w:val="24"/>
        </w:rPr>
        <w:t xml:space="preserve">to </w:t>
      </w:r>
      <w:r w:rsidR="0055346C" w:rsidRPr="00367522">
        <w:rPr>
          <w:rFonts w:cs="Times New Roman"/>
          <w:szCs w:val="24"/>
        </w:rPr>
        <w:t>reflect</w:t>
      </w:r>
      <w:r w:rsidR="00CA7FF6">
        <w:rPr>
          <w:rFonts w:cs="Times New Roman"/>
          <w:szCs w:val="24"/>
        </w:rPr>
        <w:t xml:space="preserve"> that </w:t>
      </w:r>
      <w:r w:rsidR="008630FB" w:rsidRPr="00367522">
        <w:rPr>
          <w:rFonts w:cs="Times New Roman"/>
          <w:szCs w:val="24"/>
        </w:rPr>
        <w:t xml:space="preserve">read the appeal be allowed and the matter be remitted to the court a </w:t>
      </w:r>
      <w:r w:rsidR="008630FB" w:rsidRPr="00FC0BCD">
        <w:rPr>
          <w:rFonts w:cs="Times New Roman"/>
          <w:i/>
          <w:iCs/>
          <w:szCs w:val="24"/>
        </w:rPr>
        <w:t>quo</w:t>
      </w:r>
      <w:r w:rsidR="008630FB" w:rsidRPr="00367522">
        <w:rPr>
          <w:rFonts w:cs="Times New Roman"/>
          <w:szCs w:val="24"/>
        </w:rPr>
        <w:t xml:space="preserve"> for a determination on the unopposed roll. </w:t>
      </w:r>
      <w:r w:rsidR="00FC0BCD">
        <w:rPr>
          <w:rFonts w:cs="Times New Roman"/>
          <w:szCs w:val="24"/>
        </w:rPr>
        <w:t xml:space="preserve">Consequently, leave to appeal could be granted </w:t>
      </w:r>
      <w:r w:rsidR="008630FB" w:rsidRPr="00367522">
        <w:rPr>
          <w:rFonts w:cs="Times New Roman"/>
          <w:szCs w:val="24"/>
        </w:rPr>
        <w:t xml:space="preserve">on condition that the notice of appeal be amended. He persuaded the court to appreciate the importance of the matter to the ease of doing business. </w:t>
      </w:r>
    </w:p>
    <w:p w14:paraId="572D9305" w14:textId="1D799C37" w:rsidR="00FB4437" w:rsidRPr="00E350D9" w:rsidRDefault="00263695" w:rsidP="00521DEB">
      <w:pPr>
        <w:pStyle w:val="ListParagraph"/>
        <w:numPr>
          <w:ilvl w:val="0"/>
          <w:numId w:val="5"/>
        </w:numPr>
        <w:ind w:left="567" w:hanging="567"/>
        <w:rPr>
          <w:rFonts w:cs="Times New Roman"/>
          <w:b/>
          <w:bCs/>
          <w:szCs w:val="24"/>
          <w:u w:val="single"/>
        </w:rPr>
      </w:pPr>
      <w:r w:rsidRPr="00263695">
        <w:rPr>
          <w:rFonts w:cs="Times New Roman"/>
          <w:i/>
          <w:iCs/>
          <w:szCs w:val="24"/>
        </w:rPr>
        <w:t>Per contra</w:t>
      </w:r>
      <w:r>
        <w:rPr>
          <w:rFonts w:cs="Times New Roman"/>
          <w:szCs w:val="24"/>
        </w:rPr>
        <w:t xml:space="preserve">, Mr </w:t>
      </w:r>
      <w:r w:rsidRPr="00263695">
        <w:rPr>
          <w:rFonts w:cs="Times New Roman"/>
          <w:i/>
          <w:iCs/>
          <w:szCs w:val="24"/>
        </w:rPr>
        <w:t>Mutero</w:t>
      </w:r>
      <w:r w:rsidR="00FC0BCD" w:rsidRPr="00FC0BCD">
        <w:rPr>
          <w:rFonts w:cs="Times New Roman"/>
          <w:szCs w:val="24"/>
        </w:rPr>
        <w:t>,</w:t>
      </w:r>
      <w:r>
        <w:rPr>
          <w:rFonts w:cs="Times New Roman"/>
          <w:szCs w:val="24"/>
        </w:rPr>
        <w:t xml:space="preserve"> who appeared for the respondents, contended that the submission that where an interlocutory </w:t>
      </w:r>
      <w:r w:rsidR="004240B4">
        <w:rPr>
          <w:rFonts w:cs="Times New Roman"/>
          <w:szCs w:val="24"/>
        </w:rPr>
        <w:t xml:space="preserve">ruling has the effect of terminating proceedings at that </w:t>
      </w:r>
      <w:r w:rsidR="00CA7FF6">
        <w:rPr>
          <w:rFonts w:cs="Times New Roman"/>
          <w:szCs w:val="24"/>
        </w:rPr>
        <w:t xml:space="preserve">particular </w:t>
      </w:r>
      <w:r w:rsidR="004240B4">
        <w:rPr>
          <w:rFonts w:cs="Times New Roman"/>
          <w:szCs w:val="24"/>
        </w:rPr>
        <w:t xml:space="preserve">point </w:t>
      </w:r>
      <w:r w:rsidR="00402C3E">
        <w:rPr>
          <w:rFonts w:cs="Times New Roman"/>
          <w:szCs w:val="24"/>
        </w:rPr>
        <w:t>such a</w:t>
      </w:r>
      <w:r w:rsidR="00367522">
        <w:rPr>
          <w:rFonts w:cs="Times New Roman"/>
          <w:szCs w:val="24"/>
        </w:rPr>
        <w:t xml:space="preserve"> </w:t>
      </w:r>
      <w:r w:rsidR="00402C3E">
        <w:rPr>
          <w:rFonts w:cs="Times New Roman"/>
          <w:szCs w:val="24"/>
        </w:rPr>
        <w:t xml:space="preserve">ruling was appealable was not the correct position of the law. </w:t>
      </w:r>
      <w:r w:rsidR="00367522">
        <w:rPr>
          <w:rFonts w:cs="Times New Roman"/>
          <w:szCs w:val="24"/>
        </w:rPr>
        <w:t xml:space="preserve">He submitted that </w:t>
      </w:r>
      <w:r w:rsidR="00402C3E">
        <w:rPr>
          <w:rFonts w:cs="Times New Roman"/>
          <w:szCs w:val="24"/>
        </w:rPr>
        <w:t xml:space="preserve">in </w:t>
      </w:r>
      <w:r w:rsidR="00402C3E" w:rsidRPr="00367522">
        <w:rPr>
          <w:rFonts w:cs="Times New Roman"/>
          <w:i/>
          <w:iCs/>
          <w:szCs w:val="24"/>
        </w:rPr>
        <w:t>M</w:t>
      </w:r>
      <w:r w:rsidR="00367522" w:rsidRPr="00367522">
        <w:rPr>
          <w:rFonts w:cs="Times New Roman"/>
          <w:i/>
          <w:iCs/>
          <w:szCs w:val="24"/>
        </w:rPr>
        <w:t xml:space="preserve">watsaka </w:t>
      </w:r>
      <w:r w:rsidR="00367522" w:rsidRPr="00367522">
        <w:rPr>
          <w:rFonts w:cs="Times New Roman"/>
          <w:szCs w:val="24"/>
        </w:rPr>
        <w:t>v</w:t>
      </w:r>
      <w:r w:rsidR="00367522" w:rsidRPr="00367522">
        <w:rPr>
          <w:rFonts w:cs="Times New Roman"/>
          <w:i/>
          <w:iCs/>
          <w:szCs w:val="24"/>
        </w:rPr>
        <w:t xml:space="preserve"> ICL Zimbabwe</w:t>
      </w:r>
      <w:r w:rsidR="00367522">
        <w:rPr>
          <w:rFonts w:cs="Times New Roman"/>
          <w:szCs w:val="24"/>
        </w:rPr>
        <w:t xml:space="preserve"> 1998 (1) ZLR 1 (H), </w:t>
      </w:r>
      <w:r w:rsidR="00E350D9">
        <w:rPr>
          <w:rFonts w:cs="Times New Roman"/>
          <w:szCs w:val="24"/>
        </w:rPr>
        <w:t xml:space="preserve">the court found that an order referring a matter to trial was not appealable even with leave. He submitted that the ruling referring the matter to the opposed roll was not appealable. </w:t>
      </w:r>
    </w:p>
    <w:p w14:paraId="3225F5ED" w14:textId="7301184B" w:rsidR="00E350D9" w:rsidRPr="00E350D9" w:rsidRDefault="00E350D9" w:rsidP="00E350D9">
      <w:pPr>
        <w:pStyle w:val="ListParagraph"/>
        <w:numPr>
          <w:ilvl w:val="0"/>
          <w:numId w:val="5"/>
        </w:numPr>
        <w:rPr>
          <w:rFonts w:cs="Times New Roman"/>
          <w:b/>
          <w:bCs/>
          <w:szCs w:val="24"/>
          <w:u w:val="single"/>
        </w:rPr>
      </w:pPr>
      <w:r w:rsidRPr="00E350D9">
        <w:rPr>
          <w:rFonts w:cs="Times New Roman"/>
          <w:szCs w:val="24"/>
        </w:rPr>
        <w:t xml:space="preserve">On the question </w:t>
      </w:r>
      <w:r>
        <w:rPr>
          <w:rFonts w:cs="Times New Roman"/>
          <w:szCs w:val="24"/>
        </w:rPr>
        <w:t xml:space="preserve">of a defective </w:t>
      </w:r>
      <w:r w:rsidRPr="00E350D9">
        <w:rPr>
          <w:rFonts w:cs="Times New Roman"/>
          <w:i/>
          <w:iCs/>
          <w:szCs w:val="24"/>
        </w:rPr>
        <w:t>dies induciae</w:t>
      </w:r>
      <w:r>
        <w:rPr>
          <w:rFonts w:cs="Times New Roman"/>
          <w:szCs w:val="24"/>
        </w:rPr>
        <w:t xml:space="preserve">, it was submitted that on the authority of </w:t>
      </w:r>
      <w:r w:rsidRPr="00E350D9">
        <w:rPr>
          <w:rFonts w:cs="Times New Roman"/>
          <w:i/>
          <w:iCs/>
          <w:szCs w:val="24"/>
        </w:rPr>
        <w:t xml:space="preserve">Nyathi </w:t>
      </w:r>
      <w:r w:rsidRPr="00E350D9">
        <w:rPr>
          <w:rFonts w:cs="Times New Roman"/>
          <w:szCs w:val="24"/>
        </w:rPr>
        <w:t>v</w:t>
      </w:r>
      <w:r w:rsidRPr="00E350D9">
        <w:rPr>
          <w:rFonts w:cs="Times New Roman"/>
          <w:i/>
          <w:iCs/>
          <w:szCs w:val="24"/>
        </w:rPr>
        <w:t xml:space="preserve"> The Trustees </w:t>
      </w:r>
      <w:r w:rsidR="00FC0BCD" w:rsidRPr="00E350D9">
        <w:rPr>
          <w:rFonts w:cs="Times New Roman"/>
          <w:i/>
          <w:iCs/>
          <w:szCs w:val="24"/>
        </w:rPr>
        <w:t xml:space="preserve">For The Time Being Of The </w:t>
      </w:r>
      <w:r w:rsidRPr="00E350D9">
        <w:rPr>
          <w:rFonts w:cs="Times New Roman"/>
          <w:i/>
          <w:iCs/>
          <w:szCs w:val="24"/>
        </w:rPr>
        <w:t xml:space="preserve">Apostolic Faith Mission of Africa &amp; Ors </w:t>
      </w:r>
      <w:r>
        <w:rPr>
          <w:rFonts w:cs="Times New Roman"/>
          <w:szCs w:val="24"/>
        </w:rPr>
        <w:t xml:space="preserve">SC63-22, </w:t>
      </w:r>
      <w:r w:rsidRPr="00E350D9">
        <w:rPr>
          <w:rFonts w:cs="Times New Roman"/>
          <w:szCs w:val="24"/>
        </w:rPr>
        <w:t xml:space="preserve">the applicants could not have gone outside the </w:t>
      </w:r>
      <w:r w:rsidRPr="00E350D9">
        <w:rPr>
          <w:rFonts w:cs="Times New Roman"/>
          <w:i/>
          <w:iCs/>
          <w:szCs w:val="24"/>
        </w:rPr>
        <w:t>dies induciae</w:t>
      </w:r>
      <w:r w:rsidRPr="00E350D9">
        <w:rPr>
          <w:rFonts w:cs="Times New Roman"/>
          <w:szCs w:val="24"/>
        </w:rPr>
        <w:t xml:space="preserve"> provided for in the Rules. </w:t>
      </w:r>
      <w:r>
        <w:rPr>
          <w:rFonts w:cs="Times New Roman"/>
          <w:szCs w:val="24"/>
        </w:rPr>
        <w:t xml:space="preserve">Mr </w:t>
      </w:r>
      <w:r w:rsidRPr="00E350D9">
        <w:rPr>
          <w:rFonts w:cs="Times New Roman"/>
          <w:i/>
          <w:iCs/>
          <w:szCs w:val="24"/>
        </w:rPr>
        <w:t>Mutero</w:t>
      </w:r>
      <w:r>
        <w:rPr>
          <w:rFonts w:cs="Times New Roman"/>
          <w:szCs w:val="24"/>
        </w:rPr>
        <w:t xml:space="preserve"> submitted that to the extent that the applicant did not explain why it did not make an oral application, the application was fatally defective and Mr </w:t>
      </w:r>
      <w:r w:rsidRPr="00E350D9">
        <w:rPr>
          <w:rFonts w:cs="Times New Roman"/>
          <w:i/>
          <w:iCs/>
          <w:szCs w:val="24"/>
        </w:rPr>
        <w:t>Madhuku</w:t>
      </w:r>
      <w:r>
        <w:rPr>
          <w:rFonts w:cs="Times New Roman"/>
          <w:szCs w:val="24"/>
        </w:rPr>
        <w:t xml:space="preserve"> could not make submissions from the bar as to why the application was not made. </w:t>
      </w:r>
    </w:p>
    <w:p w14:paraId="7EA0046C" w14:textId="37E0766A" w:rsidR="00E350D9" w:rsidRPr="007F33DF" w:rsidRDefault="00E350D9" w:rsidP="00E350D9">
      <w:pPr>
        <w:pStyle w:val="ListParagraph"/>
        <w:numPr>
          <w:ilvl w:val="0"/>
          <w:numId w:val="5"/>
        </w:numPr>
        <w:rPr>
          <w:rFonts w:cs="Times New Roman"/>
          <w:b/>
          <w:bCs/>
          <w:szCs w:val="24"/>
          <w:u w:val="single"/>
        </w:rPr>
      </w:pPr>
      <w:r>
        <w:rPr>
          <w:rFonts w:cs="Times New Roman"/>
          <w:szCs w:val="24"/>
        </w:rPr>
        <w:t xml:space="preserve">On the merits, the respondents submitted that r14 (6) was not complied with. It was submitted that </w:t>
      </w:r>
      <w:r w:rsidR="007F33DF">
        <w:rPr>
          <w:rFonts w:cs="Times New Roman"/>
          <w:szCs w:val="24"/>
        </w:rPr>
        <w:t xml:space="preserve">in terms of r14 (7), once a notice of opposition had been filed, the rules relating to the service of a notice of opposition, and to the filing and service of answering </w:t>
      </w:r>
      <w:r w:rsidR="007F33DF">
        <w:rPr>
          <w:rFonts w:cs="Times New Roman"/>
          <w:szCs w:val="24"/>
        </w:rPr>
        <w:lastRenderedPageBreak/>
        <w:t>affidavits kick in. He submitted that a notice of opposition c</w:t>
      </w:r>
      <w:r w:rsidR="00FC0BCD">
        <w:rPr>
          <w:rFonts w:cs="Times New Roman"/>
          <w:szCs w:val="24"/>
        </w:rPr>
        <w:t>ould</w:t>
      </w:r>
      <w:r w:rsidR="007F33DF">
        <w:rPr>
          <w:rFonts w:cs="Times New Roman"/>
          <w:szCs w:val="24"/>
        </w:rPr>
        <w:t xml:space="preserve"> introduce factual issues which c</w:t>
      </w:r>
      <w:r w:rsidR="00FC0BCD">
        <w:rPr>
          <w:rFonts w:cs="Times New Roman"/>
          <w:szCs w:val="24"/>
        </w:rPr>
        <w:t>ould</w:t>
      </w:r>
      <w:r w:rsidR="007F33DF">
        <w:rPr>
          <w:rFonts w:cs="Times New Roman"/>
          <w:szCs w:val="24"/>
        </w:rPr>
        <w:t xml:space="preserve"> only be related to in an answering affidavit. The respondents had not prayed for the matter to be referred to the opposed roll because it understood that in terms of r14(6)</w:t>
      </w:r>
      <w:r w:rsidR="00FC0BCD">
        <w:rPr>
          <w:rFonts w:cs="Times New Roman"/>
          <w:szCs w:val="24"/>
        </w:rPr>
        <w:t>,</w:t>
      </w:r>
      <w:r w:rsidR="007F33DF">
        <w:rPr>
          <w:rFonts w:cs="Times New Roman"/>
          <w:szCs w:val="24"/>
        </w:rPr>
        <w:t xml:space="preserve"> there was a different roll for provisional sentence matters but it was the applicant’s specific request that the order captures that the matter be referred to the opposed roll. </w:t>
      </w:r>
    </w:p>
    <w:p w14:paraId="7C76B2CF" w14:textId="618EEA7D" w:rsidR="00423972" w:rsidRPr="00F63046" w:rsidRDefault="007F33DF" w:rsidP="00F63046">
      <w:pPr>
        <w:pStyle w:val="ListParagraph"/>
        <w:numPr>
          <w:ilvl w:val="0"/>
          <w:numId w:val="5"/>
        </w:numPr>
        <w:rPr>
          <w:rFonts w:cs="Times New Roman"/>
          <w:b/>
          <w:bCs/>
          <w:szCs w:val="24"/>
          <w:u w:val="single"/>
        </w:rPr>
      </w:pPr>
      <w:r>
        <w:rPr>
          <w:rFonts w:cs="Times New Roman"/>
          <w:szCs w:val="24"/>
        </w:rPr>
        <w:t xml:space="preserve">During discourse with the court, Mr </w:t>
      </w:r>
      <w:r w:rsidRPr="007F33DF">
        <w:rPr>
          <w:rFonts w:cs="Times New Roman"/>
          <w:i/>
          <w:iCs/>
          <w:szCs w:val="24"/>
        </w:rPr>
        <w:t>Mutero</w:t>
      </w:r>
      <w:r>
        <w:rPr>
          <w:rFonts w:cs="Times New Roman"/>
          <w:szCs w:val="24"/>
        </w:rPr>
        <w:t xml:space="preserve"> submitted that a party who makes an application must advise his opponent of his full and correct procedural rights.</w:t>
      </w:r>
      <w:r w:rsidR="00A8251A">
        <w:rPr>
          <w:rFonts w:cs="Times New Roman"/>
          <w:szCs w:val="24"/>
        </w:rPr>
        <w:t xml:space="preserve"> This was a peremptory requirement </w:t>
      </w:r>
      <w:r w:rsidR="00FC0BCD">
        <w:rPr>
          <w:rFonts w:cs="Times New Roman"/>
          <w:szCs w:val="24"/>
        </w:rPr>
        <w:t xml:space="preserve">that </w:t>
      </w:r>
      <w:r w:rsidR="00A8251A">
        <w:rPr>
          <w:rFonts w:cs="Times New Roman"/>
          <w:szCs w:val="24"/>
        </w:rPr>
        <w:t xml:space="preserve">could not be disregarded simply because </w:t>
      </w:r>
      <w:r w:rsidR="00A8251A" w:rsidRPr="00A8251A">
        <w:rPr>
          <w:rFonts w:cs="Times New Roman"/>
          <w:i/>
          <w:iCs/>
          <w:szCs w:val="24"/>
        </w:rPr>
        <w:t xml:space="preserve">Blakey Investments (Pty) Ltd </w:t>
      </w:r>
      <w:r w:rsidR="00A8251A" w:rsidRPr="00A8251A">
        <w:rPr>
          <w:rFonts w:cs="Times New Roman"/>
          <w:szCs w:val="24"/>
        </w:rPr>
        <w:t>v</w:t>
      </w:r>
      <w:r w:rsidR="00A8251A" w:rsidRPr="00A8251A">
        <w:rPr>
          <w:rFonts w:cs="Times New Roman"/>
          <w:i/>
          <w:iCs/>
          <w:szCs w:val="24"/>
        </w:rPr>
        <w:t xml:space="preserve"> Delta Beverages (Pvt) Ltd</w:t>
      </w:r>
      <w:r w:rsidR="00A8251A">
        <w:rPr>
          <w:rFonts w:cs="Times New Roman"/>
          <w:szCs w:val="24"/>
        </w:rPr>
        <w:t xml:space="preserve"> HH388-23 held that the Commercial Court can be regarded as some kind of a half way house between the strict formalism of the other Divisions of the High Court</w:t>
      </w:r>
      <w:r w:rsidR="00FC0BCD">
        <w:rPr>
          <w:rFonts w:cs="Times New Roman"/>
          <w:szCs w:val="24"/>
        </w:rPr>
        <w:t>,</w:t>
      </w:r>
      <w:r w:rsidR="00A8251A">
        <w:rPr>
          <w:rFonts w:cs="Times New Roman"/>
          <w:szCs w:val="24"/>
        </w:rPr>
        <w:t xml:space="preserve"> and the liberalism of the alternative dispute resolution mechanism such as arbitration. </w:t>
      </w:r>
      <w:r w:rsidR="00CA7FF6">
        <w:rPr>
          <w:rFonts w:cs="Times New Roman"/>
          <w:szCs w:val="24"/>
        </w:rPr>
        <w:t>Upon being asked if he was insisting on the preliminary points in light of the potential importance of the matter, h</w:t>
      </w:r>
      <w:r w:rsidR="00A8251A">
        <w:rPr>
          <w:rFonts w:cs="Times New Roman"/>
          <w:szCs w:val="24"/>
        </w:rPr>
        <w:t xml:space="preserve">e submitted that the first two preliminary points were not dispositive of the matter, but the third one was. If the court agreed that the first two preliminary points were merited, the matter could be struck off the roll and the applicant could still launch another application. As to the importance of the matter, </w:t>
      </w:r>
      <w:r w:rsidR="00423972">
        <w:rPr>
          <w:rFonts w:cs="Times New Roman"/>
          <w:szCs w:val="24"/>
        </w:rPr>
        <w:t xml:space="preserve">Mr </w:t>
      </w:r>
      <w:r w:rsidR="00423972" w:rsidRPr="00423972">
        <w:rPr>
          <w:rFonts w:cs="Times New Roman"/>
          <w:i/>
          <w:iCs/>
          <w:szCs w:val="24"/>
        </w:rPr>
        <w:t>Mutero</w:t>
      </w:r>
      <w:r w:rsidR="00423972">
        <w:rPr>
          <w:rFonts w:cs="Times New Roman"/>
          <w:szCs w:val="24"/>
        </w:rPr>
        <w:t xml:space="preserve"> </w:t>
      </w:r>
      <w:r w:rsidR="00CA7FF6">
        <w:rPr>
          <w:rFonts w:cs="Times New Roman"/>
          <w:szCs w:val="24"/>
        </w:rPr>
        <w:t>acknowledged</w:t>
      </w:r>
      <w:r w:rsidR="00423972">
        <w:rPr>
          <w:rFonts w:cs="Times New Roman"/>
          <w:szCs w:val="24"/>
        </w:rPr>
        <w:t xml:space="preserve"> that </w:t>
      </w:r>
      <w:r w:rsidR="00A8251A">
        <w:rPr>
          <w:rFonts w:cs="Times New Roman"/>
          <w:szCs w:val="24"/>
        </w:rPr>
        <w:t>many determinations had been made on th</w:t>
      </w:r>
      <w:r w:rsidR="00497E65">
        <w:rPr>
          <w:rFonts w:cs="Times New Roman"/>
          <w:szCs w:val="24"/>
        </w:rPr>
        <w:t>e procedure in provisional sentence matters</w:t>
      </w:r>
      <w:r w:rsidR="00A8251A">
        <w:rPr>
          <w:rFonts w:cs="Times New Roman"/>
          <w:szCs w:val="24"/>
        </w:rPr>
        <w:t xml:space="preserve"> but on the authority of </w:t>
      </w:r>
      <w:r w:rsidR="00A8251A" w:rsidRPr="00423972">
        <w:rPr>
          <w:rFonts w:cs="Times New Roman"/>
          <w:i/>
          <w:iCs/>
          <w:szCs w:val="24"/>
        </w:rPr>
        <w:t xml:space="preserve">Chikafu </w:t>
      </w:r>
      <w:r w:rsidR="00A8251A" w:rsidRPr="00423972">
        <w:rPr>
          <w:rFonts w:cs="Times New Roman"/>
          <w:szCs w:val="24"/>
        </w:rPr>
        <w:t>v</w:t>
      </w:r>
      <w:r w:rsidR="00A8251A" w:rsidRPr="00423972">
        <w:rPr>
          <w:rFonts w:cs="Times New Roman"/>
          <w:i/>
          <w:iCs/>
          <w:szCs w:val="24"/>
        </w:rPr>
        <w:t xml:space="preserve"> Dodhill</w:t>
      </w:r>
      <w:r w:rsidR="00423972" w:rsidRPr="00423972">
        <w:rPr>
          <w:rFonts w:cs="Times New Roman"/>
          <w:i/>
          <w:iCs/>
          <w:szCs w:val="24"/>
        </w:rPr>
        <w:t xml:space="preserve"> (Pvt) Ltd </w:t>
      </w:r>
      <w:r w:rsidR="00A8251A" w:rsidRPr="00423972">
        <w:rPr>
          <w:rFonts w:cs="Times New Roman"/>
          <w:i/>
          <w:iCs/>
          <w:szCs w:val="24"/>
        </w:rPr>
        <w:t>&amp; Anor</w:t>
      </w:r>
      <w:r w:rsidR="00A8251A">
        <w:rPr>
          <w:rFonts w:cs="Times New Roman"/>
          <w:szCs w:val="24"/>
        </w:rPr>
        <w:t xml:space="preserve"> SC28-09</w:t>
      </w:r>
      <w:r w:rsidR="00423972">
        <w:rPr>
          <w:rFonts w:cs="Times New Roman"/>
          <w:szCs w:val="24"/>
        </w:rPr>
        <w:t>, there were prospects of success</w:t>
      </w:r>
      <w:r w:rsidR="00CA7FF6">
        <w:rPr>
          <w:rFonts w:cs="Times New Roman"/>
          <w:szCs w:val="24"/>
        </w:rPr>
        <w:t>,</w:t>
      </w:r>
      <w:r w:rsidR="00423972">
        <w:rPr>
          <w:rFonts w:cs="Times New Roman"/>
          <w:szCs w:val="24"/>
        </w:rPr>
        <w:t xml:space="preserve"> to the limited extent of the divergent views. </w:t>
      </w:r>
      <w:r w:rsidR="00F63046">
        <w:rPr>
          <w:rFonts w:cs="Times New Roman"/>
          <w:szCs w:val="24"/>
        </w:rPr>
        <w:t xml:space="preserve">Mr </w:t>
      </w:r>
      <w:r w:rsidR="00F63046" w:rsidRPr="00F63046">
        <w:rPr>
          <w:rFonts w:cs="Times New Roman"/>
          <w:i/>
          <w:iCs/>
          <w:szCs w:val="24"/>
        </w:rPr>
        <w:t>Mutero</w:t>
      </w:r>
      <w:r w:rsidR="00F63046">
        <w:rPr>
          <w:rFonts w:cs="Times New Roman"/>
          <w:szCs w:val="24"/>
        </w:rPr>
        <w:t xml:space="preserve"> submitted that even if the court could overlook the first two preliminary points, the court still had to deal with the question of whether or not the ruling was appealable</w:t>
      </w:r>
      <w:r w:rsidR="00532AE7">
        <w:rPr>
          <w:rFonts w:cs="Times New Roman"/>
          <w:szCs w:val="24"/>
        </w:rPr>
        <w:t xml:space="preserve"> before deciding whether or not leave to appeal was warranted in the circumstances of this matter</w:t>
      </w:r>
      <w:r w:rsidR="00F63046">
        <w:rPr>
          <w:rFonts w:cs="Times New Roman"/>
          <w:szCs w:val="24"/>
        </w:rPr>
        <w:t xml:space="preserve">. </w:t>
      </w:r>
    </w:p>
    <w:p w14:paraId="6997C25F" w14:textId="77777777" w:rsidR="00532AE7" w:rsidRPr="00532AE7" w:rsidRDefault="00497E65" w:rsidP="00532AE7">
      <w:pPr>
        <w:pStyle w:val="ListParagraph"/>
        <w:numPr>
          <w:ilvl w:val="0"/>
          <w:numId w:val="5"/>
        </w:numPr>
        <w:rPr>
          <w:rFonts w:cs="Times New Roman"/>
          <w:b/>
          <w:bCs/>
          <w:szCs w:val="24"/>
          <w:u w:val="single"/>
        </w:rPr>
      </w:pPr>
      <w:r>
        <w:rPr>
          <w:rFonts w:cs="Times New Roman"/>
          <w:szCs w:val="24"/>
        </w:rPr>
        <w:t xml:space="preserve">Replying to Mr </w:t>
      </w:r>
      <w:r w:rsidRPr="00497E65">
        <w:rPr>
          <w:rFonts w:cs="Times New Roman"/>
          <w:i/>
          <w:iCs/>
          <w:szCs w:val="24"/>
        </w:rPr>
        <w:t>Mutero</w:t>
      </w:r>
      <w:r>
        <w:rPr>
          <w:rFonts w:cs="Times New Roman"/>
          <w:szCs w:val="24"/>
        </w:rPr>
        <w:t xml:space="preserve">’s submissions, Mr </w:t>
      </w:r>
      <w:r w:rsidRPr="00497E65">
        <w:rPr>
          <w:rFonts w:cs="Times New Roman"/>
          <w:i/>
          <w:iCs/>
          <w:szCs w:val="24"/>
        </w:rPr>
        <w:t>Madhuku</w:t>
      </w:r>
      <w:r>
        <w:rPr>
          <w:rFonts w:cs="Times New Roman"/>
          <w:szCs w:val="24"/>
        </w:rPr>
        <w:t xml:space="preserve"> </w:t>
      </w:r>
      <w:r w:rsidR="00532AE7">
        <w:rPr>
          <w:rFonts w:cs="Times New Roman"/>
          <w:szCs w:val="24"/>
        </w:rPr>
        <w:t xml:space="preserve">briefly </w:t>
      </w:r>
      <w:r>
        <w:rPr>
          <w:rFonts w:cs="Times New Roman"/>
          <w:szCs w:val="24"/>
        </w:rPr>
        <w:t xml:space="preserve">submitted that </w:t>
      </w:r>
      <w:r w:rsidR="00726957">
        <w:rPr>
          <w:rFonts w:cs="Times New Roman"/>
          <w:szCs w:val="24"/>
        </w:rPr>
        <w:t xml:space="preserve">the </w:t>
      </w:r>
      <w:r w:rsidR="00726957" w:rsidRPr="00F63046">
        <w:rPr>
          <w:rFonts w:cs="Times New Roman"/>
          <w:i/>
          <w:iCs/>
          <w:szCs w:val="24"/>
        </w:rPr>
        <w:t>dies</w:t>
      </w:r>
      <w:r w:rsidR="00F63046" w:rsidRPr="00F63046">
        <w:rPr>
          <w:rFonts w:cs="Times New Roman"/>
          <w:i/>
          <w:iCs/>
          <w:szCs w:val="24"/>
        </w:rPr>
        <w:t xml:space="preserve"> induciae</w:t>
      </w:r>
      <w:r w:rsidR="00726957">
        <w:rPr>
          <w:rFonts w:cs="Times New Roman"/>
          <w:szCs w:val="24"/>
        </w:rPr>
        <w:t xml:space="preserve"> of </w:t>
      </w:r>
      <w:r w:rsidR="00F63046">
        <w:rPr>
          <w:rFonts w:cs="Times New Roman"/>
          <w:szCs w:val="24"/>
        </w:rPr>
        <w:t xml:space="preserve">two days was the minimum and the decision in the </w:t>
      </w:r>
      <w:r w:rsidR="00F63046" w:rsidRPr="00F63046">
        <w:rPr>
          <w:rFonts w:cs="Times New Roman"/>
          <w:i/>
          <w:iCs/>
          <w:szCs w:val="24"/>
        </w:rPr>
        <w:t>Nyathi</w:t>
      </w:r>
      <w:r w:rsidR="00F63046">
        <w:rPr>
          <w:rFonts w:cs="Times New Roman"/>
          <w:szCs w:val="24"/>
        </w:rPr>
        <w:t xml:space="preserve"> case was </w:t>
      </w:r>
      <w:r>
        <w:rPr>
          <w:rFonts w:cs="Times New Roman"/>
          <w:szCs w:val="24"/>
        </w:rPr>
        <w:t xml:space="preserve">only </w:t>
      </w:r>
      <w:r w:rsidR="00F63046">
        <w:rPr>
          <w:rFonts w:cs="Times New Roman"/>
          <w:szCs w:val="24"/>
        </w:rPr>
        <w:t xml:space="preserve">applicable to the Supreme Court. </w:t>
      </w:r>
      <w:r w:rsidR="00532AE7">
        <w:rPr>
          <w:rFonts w:cs="Times New Roman"/>
          <w:szCs w:val="24"/>
        </w:rPr>
        <w:t>Further, t</w:t>
      </w:r>
      <w:r w:rsidR="00F63046">
        <w:rPr>
          <w:rFonts w:cs="Times New Roman"/>
          <w:szCs w:val="24"/>
        </w:rPr>
        <w:t xml:space="preserve">he principle that condonation could be sought orally was a common law principle. Mr </w:t>
      </w:r>
      <w:r w:rsidR="00F63046" w:rsidRPr="00F63046">
        <w:rPr>
          <w:rFonts w:cs="Times New Roman"/>
          <w:i/>
          <w:iCs/>
          <w:szCs w:val="24"/>
        </w:rPr>
        <w:t>Madhuku</w:t>
      </w:r>
      <w:r w:rsidR="00F63046">
        <w:rPr>
          <w:rFonts w:cs="Times New Roman"/>
          <w:szCs w:val="24"/>
        </w:rPr>
        <w:t xml:space="preserve"> submitted that the court ought to overlook the technical objections in light of the importance of the case</w:t>
      </w:r>
      <w:r w:rsidR="00532AE7">
        <w:rPr>
          <w:rFonts w:cs="Times New Roman"/>
          <w:szCs w:val="24"/>
        </w:rPr>
        <w:t>,</w:t>
      </w:r>
      <w:r w:rsidR="00F63046">
        <w:rPr>
          <w:rFonts w:cs="Times New Roman"/>
          <w:szCs w:val="24"/>
        </w:rPr>
        <w:t xml:space="preserve"> which </w:t>
      </w:r>
      <w:r w:rsidR="00532AE7">
        <w:rPr>
          <w:rFonts w:cs="Times New Roman"/>
          <w:szCs w:val="24"/>
        </w:rPr>
        <w:t xml:space="preserve">point </w:t>
      </w:r>
      <w:r w:rsidR="00F63046">
        <w:rPr>
          <w:rFonts w:cs="Times New Roman"/>
          <w:szCs w:val="24"/>
        </w:rPr>
        <w:t xml:space="preserve">the respondents were also in agreement with. </w:t>
      </w:r>
    </w:p>
    <w:p w14:paraId="1228A85A" w14:textId="61753C50" w:rsidR="00497E65" w:rsidRPr="00532AE7" w:rsidRDefault="00F63046" w:rsidP="00532AE7">
      <w:pPr>
        <w:pStyle w:val="ListParagraph"/>
        <w:numPr>
          <w:ilvl w:val="0"/>
          <w:numId w:val="5"/>
        </w:numPr>
        <w:rPr>
          <w:rFonts w:cs="Times New Roman"/>
          <w:b/>
          <w:bCs/>
          <w:szCs w:val="24"/>
          <w:u w:val="single"/>
        </w:rPr>
      </w:pPr>
      <w:r w:rsidRPr="00532AE7">
        <w:rPr>
          <w:rFonts w:cs="Times New Roman"/>
          <w:szCs w:val="24"/>
        </w:rPr>
        <w:lastRenderedPageBreak/>
        <w:t xml:space="preserve">Post the oral submissions, I requested the parties to file supplementary heads of arguments on the import of r14 (7) of the High Court Rules to the provisional sentence regime. I wish to </w:t>
      </w:r>
      <w:r w:rsidRPr="00532AE7">
        <w:rPr>
          <w:rFonts w:cs="Times New Roman"/>
          <w:szCs w:val="24"/>
          <w:lang w:val="en-ZW"/>
        </w:rPr>
        <w:t xml:space="preserve">express my gratitude to counsel for </w:t>
      </w:r>
      <w:r w:rsidR="00497E65" w:rsidRPr="00532AE7">
        <w:rPr>
          <w:rFonts w:cs="Times New Roman"/>
          <w:szCs w:val="24"/>
          <w:lang w:val="en-ZW"/>
        </w:rPr>
        <w:t xml:space="preserve">their industry. </w:t>
      </w:r>
    </w:p>
    <w:p w14:paraId="4328D508" w14:textId="1F72CCD4" w:rsidR="008D6B07" w:rsidRPr="00497E65" w:rsidRDefault="008D6B07" w:rsidP="00497E65">
      <w:pPr>
        <w:ind w:left="-218"/>
        <w:rPr>
          <w:rFonts w:cs="Times New Roman"/>
          <w:b/>
          <w:bCs/>
          <w:szCs w:val="24"/>
          <w:u w:val="single"/>
          <w:lang w:val="en-ZW"/>
        </w:rPr>
      </w:pPr>
      <w:r w:rsidRPr="00497E65">
        <w:rPr>
          <w:rFonts w:cs="Times New Roman"/>
          <w:b/>
          <w:bCs/>
          <w:szCs w:val="24"/>
          <w:u w:val="single"/>
          <w:lang w:val="en-ZW"/>
        </w:rPr>
        <w:t>ISSUES FOR DETERMINATION</w:t>
      </w:r>
    </w:p>
    <w:p w14:paraId="3B4C622D" w14:textId="77777777" w:rsidR="00CA2CDB" w:rsidRPr="00CA2CDB" w:rsidRDefault="004762F4" w:rsidP="00CA2CDB">
      <w:pPr>
        <w:pStyle w:val="ListParagraph"/>
        <w:numPr>
          <w:ilvl w:val="0"/>
          <w:numId w:val="5"/>
        </w:numPr>
        <w:ind w:left="567" w:hanging="567"/>
        <w:rPr>
          <w:rFonts w:cs="Times New Roman"/>
          <w:szCs w:val="24"/>
        </w:rPr>
      </w:pPr>
      <w:r>
        <w:rPr>
          <w:rFonts w:cs="Times New Roman"/>
          <w:szCs w:val="24"/>
        </w:rPr>
        <w:t xml:space="preserve"> </w:t>
      </w:r>
      <w:r w:rsidR="00CA2CDB" w:rsidRPr="00CA2CDB">
        <w:rPr>
          <w:rFonts w:cs="Times New Roman"/>
          <w:szCs w:val="24"/>
        </w:rPr>
        <w:t xml:space="preserve">In the case of </w:t>
      </w:r>
      <w:r w:rsidR="00CA2CDB" w:rsidRPr="00CA2CDB">
        <w:rPr>
          <w:rFonts w:cs="Times New Roman"/>
          <w:i/>
          <w:iCs/>
          <w:szCs w:val="24"/>
        </w:rPr>
        <w:t xml:space="preserve">Gwaradzimba N.O </w:t>
      </w:r>
      <w:r w:rsidR="00CA2CDB" w:rsidRPr="00CA2CDB">
        <w:rPr>
          <w:rFonts w:cs="Times New Roman"/>
          <w:szCs w:val="24"/>
        </w:rPr>
        <w:t xml:space="preserve">v </w:t>
      </w:r>
      <w:r w:rsidR="00CA2CDB" w:rsidRPr="00CA2CDB">
        <w:rPr>
          <w:rFonts w:cs="Times New Roman"/>
          <w:i/>
          <w:iCs/>
          <w:szCs w:val="24"/>
        </w:rPr>
        <w:t xml:space="preserve">C J Petron and Co (Pty) Ltd </w:t>
      </w:r>
      <w:r w:rsidR="00CA2CDB" w:rsidRPr="00CA2CDB">
        <w:rPr>
          <w:rFonts w:cs="Times New Roman"/>
          <w:szCs w:val="24"/>
        </w:rPr>
        <w:t xml:space="preserve">2016 (1) ZLR 28 (S), at p 32 B, the Supreme Court pronounced that a court must generally determine all the issues raised by the parties “unless the issue so determined can put the whole matter to rest.” </w:t>
      </w:r>
    </w:p>
    <w:p w14:paraId="7C5F29A4" w14:textId="0835A375" w:rsidR="00CA2CDB" w:rsidRDefault="00CA2CDB" w:rsidP="00CA2CDB">
      <w:pPr>
        <w:pStyle w:val="ListParagraph"/>
        <w:numPr>
          <w:ilvl w:val="0"/>
          <w:numId w:val="5"/>
        </w:numPr>
        <w:ind w:left="567" w:hanging="567"/>
        <w:rPr>
          <w:rFonts w:cs="Times New Roman"/>
          <w:szCs w:val="24"/>
        </w:rPr>
      </w:pPr>
      <w:r w:rsidRPr="00CA2CDB">
        <w:rPr>
          <w:rFonts w:cs="Times New Roman"/>
          <w:szCs w:val="24"/>
        </w:rPr>
        <w:t xml:space="preserve">In </w:t>
      </w:r>
      <w:r w:rsidRPr="00CA2CDB">
        <w:rPr>
          <w:rFonts w:cs="Times New Roman"/>
          <w:i/>
          <w:szCs w:val="24"/>
        </w:rPr>
        <w:t>casu</w:t>
      </w:r>
      <w:r w:rsidRPr="00CA2CDB">
        <w:rPr>
          <w:rFonts w:cs="Times New Roman"/>
          <w:szCs w:val="24"/>
        </w:rPr>
        <w:t xml:space="preserve">, I take the robust view that two issues must be disposed of first as they are dispositive of the application. These are: </w:t>
      </w:r>
    </w:p>
    <w:p w14:paraId="5097A4B6" w14:textId="3720B332" w:rsidR="00CA2CDB" w:rsidRDefault="00CA2CDB" w:rsidP="00CA2CDB">
      <w:pPr>
        <w:pStyle w:val="ListParagraph"/>
        <w:numPr>
          <w:ilvl w:val="0"/>
          <w:numId w:val="45"/>
        </w:numPr>
        <w:rPr>
          <w:rFonts w:cs="Times New Roman"/>
          <w:szCs w:val="24"/>
        </w:rPr>
      </w:pPr>
      <w:r>
        <w:rPr>
          <w:rFonts w:cs="Times New Roman"/>
          <w:szCs w:val="24"/>
        </w:rPr>
        <w:t xml:space="preserve">Whether or not the application is fatally defective; and </w:t>
      </w:r>
    </w:p>
    <w:p w14:paraId="6ECD8C9F" w14:textId="1FD74C51" w:rsidR="00CA2CDB" w:rsidRPr="00CA2CDB" w:rsidRDefault="00CA2CDB" w:rsidP="00CA2CDB">
      <w:pPr>
        <w:pStyle w:val="ListParagraph"/>
        <w:numPr>
          <w:ilvl w:val="0"/>
          <w:numId w:val="45"/>
        </w:numPr>
        <w:rPr>
          <w:rFonts w:cs="Times New Roman"/>
          <w:szCs w:val="24"/>
        </w:rPr>
      </w:pPr>
      <w:r>
        <w:rPr>
          <w:rFonts w:cs="Times New Roman"/>
          <w:szCs w:val="24"/>
        </w:rPr>
        <w:t xml:space="preserve">Whether or not the interlocutory order is appealable. </w:t>
      </w:r>
    </w:p>
    <w:p w14:paraId="140F6F89" w14:textId="77777777" w:rsidR="00CA2CDB" w:rsidRDefault="00CA2CDB" w:rsidP="00EF58D4">
      <w:pPr>
        <w:rPr>
          <w:rFonts w:cs="Times New Roman"/>
          <w:b/>
          <w:bCs/>
          <w:szCs w:val="24"/>
          <w:u w:val="single"/>
        </w:rPr>
      </w:pPr>
      <w:r>
        <w:rPr>
          <w:rFonts w:cs="Times New Roman"/>
          <w:b/>
          <w:bCs/>
          <w:szCs w:val="24"/>
          <w:u w:val="single"/>
        </w:rPr>
        <w:t>WHETHER OR NOT THE APPLICATION IS FATALLY DEFECTIVE</w:t>
      </w:r>
    </w:p>
    <w:p w14:paraId="49453D02" w14:textId="3BF85CFA" w:rsidR="005F1EB1" w:rsidRPr="005F1EB1" w:rsidRDefault="005F1EB1" w:rsidP="001B67A3">
      <w:pPr>
        <w:ind w:left="142"/>
        <w:rPr>
          <w:rFonts w:cs="Times New Roman"/>
          <w:b/>
          <w:bCs/>
          <w:i/>
          <w:iCs/>
          <w:szCs w:val="24"/>
        </w:rPr>
      </w:pPr>
      <w:r w:rsidRPr="005F1EB1">
        <w:rPr>
          <w:rFonts w:cs="Times New Roman"/>
          <w:b/>
          <w:bCs/>
          <w:i/>
          <w:iCs/>
          <w:szCs w:val="24"/>
        </w:rPr>
        <w:t>The application gives a wrong dies induciae</w:t>
      </w:r>
    </w:p>
    <w:p w14:paraId="38860449" w14:textId="70EE3BB7" w:rsidR="00861EFA" w:rsidRDefault="00C62277" w:rsidP="00CA2CDB">
      <w:pPr>
        <w:pStyle w:val="ListParagraph"/>
        <w:numPr>
          <w:ilvl w:val="0"/>
          <w:numId w:val="5"/>
        </w:numPr>
        <w:rPr>
          <w:rFonts w:cs="Times New Roman"/>
          <w:szCs w:val="24"/>
        </w:rPr>
      </w:pPr>
      <w:r>
        <w:rPr>
          <w:rFonts w:cs="Times New Roman"/>
          <w:szCs w:val="24"/>
        </w:rPr>
        <w:t>A reading o</w:t>
      </w:r>
      <w:r w:rsidR="00065E06">
        <w:rPr>
          <w:rFonts w:cs="Times New Roman"/>
          <w:szCs w:val="24"/>
        </w:rPr>
        <w:t xml:space="preserve">f r94 (3) of the High Court Rules, 2021 as read with r94 (8) of the same rules and r4(2) of the High Court (Commercial Division) Rules, 2020, </w:t>
      </w:r>
      <w:r>
        <w:rPr>
          <w:rFonts w:cs="Times New Roman"/>
          <w:szCs w:val="24"/>
        </w:rPr>
        <w:t>suggest</w:t>
      </w:r>
      <w:r w:rsidR="00EF58D4">
        <w:rPr>
          <w:rFonts w:cs="Times New Roman"/>
          <w:szCs w:val="24"/>
        </w:rPr>
        <w:t>s</w:t>
      </w:r>
      <w:r>
        <w:rPr>
          <w:rFonts w:cs="Times New Roman"/>
          <w:szCs w:val="24"/>
        </w:rPr>
        <w:t xml:space="preserve"> that </w:t>
      </w:r>
      <w:r w:rsidR="00065E06">
        <w:rPr>
          <w:rFonts w:cs="Times New Roman"/>
          <w:szCs w:val="24"/>
        </w:rPr>
        <w:t>a</w:t>
      </w:r>
      <w:r>
        <w:rPr>
          <w:rFonts w:cs="Times New Roman"/>
          <w:szCs w:val="24"/>
        </w:rPr>
        <w:t xml:space="preserve"> copy of an </w:t>
      </w:r>
      <w:r w:rsidR="00065E06">
        <w:rPr>
          <w:rFonts w:cs="Times New Roman"/>
          <w:szCs w:val="24"/>
        </w:rPr>
        <w:t xml:space="preserve">application for leave to appeal </w:t>
      </w:r>
      <w:r>
        <w:rPr>
          <w:rFonts w:cs="Times New Roman"/>
          <w:szCs w:val="24"/>
        </w:rPr>
        <w:t xml:space="preserve">shall be served on the respondent immediately after it is filed with the registrar and whereupon the respondent may file written submissions within two days of the date of service on the respondent. It has been argued that the case of </w:t>
      </w:r>
      <w:r w:rsidRPr="00C62277">
        <w:rPr>
          <w:rFonts w:cs="Times New Roman"/>
          <w:i/>
          <w:iCs/>
          <w:szCs w:val="24"/>
        </w:rPr>
        <w:t>Nyathi supra</w:t>
      </w:r>
      <w:r>
        <w:rPr>
          <w:rFonts w:cs="Times New Roman"/>
          <w:szCs w:val="24"/>
        </w:rPr>
        <w:t xml:space="preserve"> is authority for the proposition that an application which provides for a </w:t>
      </w:r>
      <w:r w:rsidRPr="00861EFA">
        <w:rPr>
          <w:rFonts w:cs="Times New Roman"/>
          <w:i/>
          <w:iCs/>
          <w:szCs w:val="24"/>
        </w:rPr>
        <w:t>dies induciae</w:t>
      </w:r>
      <w:r>
        <w:rPr>
          <w:rFonts w:cs="Times New Roman"/>
          <w:szCs w:val="24"/>
        </w:rPr>
        <w:t xml:space="preserve"> outside of the rules is fatally defective. </w:t>
      </w:r>
      <w:r w:rsidR="00861EFA">
        <w:rPr>
          <w:rFonts w:cs="Times New Roman"/>
          <w:szCs w:val="24"/>
        </w:rPr>
        <w:t xml:space="preserve">The question that has exercised my mind is whether the applicants provided a </w:t>
      </w:r>
      <w:r w:rsidR="00861EFA" w:rsidRPr="00861EFA">
        <w:rPr>
          <w:rFonts w:cs="Times New Roman"/>
          <w:i/>
          <w:iCs/>
          <w:szCs w:val="24"/>
        </w:rPr>
        <w:t>dies induciae</w:t>
      </w:r>
      <w:r w:rsidR="00861EFA">
        <w:rPr>
          <w:rFonts w:cs="Times New Roman"/>
          <w:szCs w:val="24"/>
        </w:rPr>
        <w:t xml:space="preserve"> that it outside of the rules. </w:t>
      </w:r>
    </w:p>
    <w:p w14:paraId="5679C4DC" w14:textId="0D03947E" w:rsidR="00CA2CDB" w:rsidRDefault="00C62277" w:rsidP="00CA2CDB">
      <w:pPr>
        <w:pStyle w:val="ListParagraph"/>
        <w:numPr>
          <w:ilvl w:val="0"/>
          <w:numId w:val="5"/>
        </w:numPr>
        <w:rPr>
          <w:rFonts w:cs="Times New Roman"/>
          <w:szCs w:val="24"/>
        </w:rPr>
      </w:pPr>
      <w:r>
        <w:rPr>
          <w:rFonts w:cs="Times New Roman"/>
          <w:szCs w:val="24"/>
        </w:rPr>
        <w:t xml:space="preserve">It will be noted that in </w:t>
      </w:r>
      <w:r w:rsidRPr="00C62277">
        <w:rPr>
          <w:rFonts w:cs="Times New Roman"/>
          <w:i/>
          <w:iCs/>
          <w:szCs w:val="24"/>
        </w:rPr>
        <w:t>Nyathi supra</w:t>
      </w:r>
      <w:r>
        <w:rPr>
          <w:rFonts w:cs="Times New Roman"/>
          <w:szCs w:val="24"/>
        </w:rPr>
        <w:t>, the Supreme Court relied on the provisions of r43 (5) of the then Supreme Court Rules, 2018 which was worded as follows:</w:t>
      </w:r>
    </w:p>
    <w:p w14:paraId="3AF82C44" w14:textId="0B92ED8A" w:rsidR="00C62277" w:rsidRPr="00C62277" w:rsidRDefault="00C62277" w:rsidP="00C62277">
      <w:pPr>
        <w:pStyle w:val="ListParagraph"/>
        <w:spacing w:line="240" w:lineRule="auto"/>
        <w:ind w:left="1440"/>
        <w:rPr>
          <w:rFonts w:cs="Times New Roman"/>
          <w:sz w:val="22"/>
        </w:rPr>
      </w:pPr>
      <w:r w:rsidRPr="00C62277">
        <w:rPr>
          <w:rFonts w:cs="Times New Roman"/>
          <w:sz w:val="22"/>
        </w:rPr>
        <w:t>“The respondent shall be entitled, within three days of service, to file with the registrar his or her opposing affidavits, which shall also be served on the applicant and the applicant shall thereafter be entitled, within three days, to file with the registrar his or her answering affidavits.”</w:t>
      </w:r>
    </w:p>
    <w:p w14:paraId="0B74D38C" w14:textId="77ED852D" w:rsidR="00A52543" w:rsidRDefault="00C62277" w:rsidP="00CA2CDB">
      <w:pPr>
        <w:pStyle w:val="ListParagraph"/>
        <w:numPr>
          <w:ilvl w:val="0"/>
          <w:numId w:val="5"/>
        </w:numPr>
        <w:rPr>
          <w:rFonts w:cs="Times New Roman"/>
          <w:szCs w:val="24"/>
        </w:rPr>
      </w:pPr>
      <w:r>
        <w:rPr>
          <w:rFonts w:cs="Times New Roman"/>
          <w:szCs w:val="24"/>
        </w:rPr>
        <w:t xml:space="preserve">It will </w:t>
      </w:r>
      <w:r w:rsidR="00861EFA">
        <w:rPr>
          <w:rFonts w:cs="Times New Roman"/>
          <w:szCs w:val="24"/>
        </w:rPr>
        <w:t xml:space="preserve">also </w:t>
      </w:r>
      <w:r>
        <w:rPr>
          <w:rFonts w:cs="Times New Roman"/>
          <w:szCs w:val="24"/>
        </w:rPr>
        <w:t xml:space="preserve">be noted that while r94 (3) of the High Court Rules speaks to </w:t>
      </w:r>
      <w:r w:rsidR="00EF58D4">
        <w:rPr>
          <w:rFonts w:cs="Times New Roman"/>
          <w:szCs w:val="24"/>
        </w:rPr>
        <w:t xml:space="preserve">the </w:t>
      </w:r>
      <w:r>
        <w:rPr>
          <w:rFonts w:cs="Times New Roman"/>
          <w:szCs w:val="24"/>
        </w:rPr>
        <w:t>filing written submissions and even then</w:t>
      </w:r>
      <w:r w:rsidR="00EF58D4">
        <w:rPr>
          <w:rFonts w:cs="Times New Roman"/>
          <w:szCs w:val="24"/>
        </w:rPr>
        <w:t>,</w:t>
      </w:r>
      <w:r>
        <w:rPr>
          <w:rFonts w:cs="Times New Roman"/>
          <w:szCs w:val="24"/>
        </w:rPr>
        <w:t xml:space="preserve"> seems </w:t>
      </w:r>
      <w:r w:rsidR="00B31421">
        <w:rPr>
          <w:rFonts w:cs="Times New Roman"/>
          <w:szCs w:val="24"/>
        </w:rPr>
        <w:t xml:space="preserve">to give the respondent the choice to </w:t>
      </w:r>
      <w:r w:rsidR="00861EFA">
        <w:rPr>
          <w:rFonts w:cs="Times New Roman"/>
          <w:szCs w:val="24"/>
        </w:rPr>
        <w:t xml:space="preserve">file or not to file </w:t>
      </w:r>
      <w:r w:rsidR="00861EFA">
        <w:rPr>
          <w:rFonts w:cs="Times New Roman"/>
          <w:szCs w:val="24"/>
        </w:rPr>
        <w:lastRenderedPageBreak/>
        <w:t>those written submissions</w:t>
      </w:r>
      <w:r w:rsidR="00B31421">
        <w:rPr>
          <w:rFonts w:cs="Times New Roman"/>
          <w:szCs w:val="24"/>
        </w:rPr>
        <w:t>, r43(5) of the Supreme Court Rules, 2018 clearly provided for the filing of opposing affidavits</w:t>
      </w:r>
      <w:r w:rsidR="00F15F29">
        <w:rPr>
          <w:rFonts w:cs="Times New Roman"/>
          <w:szCs w:val="24"/>
        </w:rPr>
        <w:t xml:space="preserve"> and the </w:t>
      </w:r>
      <w:r w:rsidR="00F15F29" w:rsidRPr="00861EFA">
        <w:rPr>
          <w:rFonts w:cs="Times New Roman"/>
          <w:i/>
          <w:iCs/>
          <w:szCs w:val="24"/>
        </w:rPr>
        <w:t>dies induciae</w:t>
      </w:r>
      <w:r w:rsidR="00F15F29">
        <w:rPr>
          <w:rFonts w:cs="Times New Roman"/>
          <w:szCs w:val="24"/>
        </w:rPr>
        <w:t xml:space="preserve"> for doing so. </w:t>
      </w:r>
      <w:r w:rsidR="00861EFA">
        <w:rPr>
          <w:rFonts w:cs="Times New Roman"/>
          <w:szCs w:val="24"/>
        </w:rPr>
        <w:t>From my reading of the two rules, and to the extent related to above, t</w:t>
      </w:r>
      <w:r w:rsidR="00F15F29">
        <w:rPr>
          <w:rFonts w:cs="Times New Roman"/>
          <w:szCs w:val="24"/>
        </w:rPr>
        <w:t xml:space="preserve">here is a distinction in the wording of the provisions such that the facts and the circumstances in the </w:t>
      </w:r>
      <w:r w:rsidR="00F15F29" w:rsidRPr="00F15F29">
        <w:rPr>
          <w:rFonts w:cs="Times New Roman"/>
          <w:i/>
          <w:iCs/>
          <w:szCs w:val="24"/>
        </w:rPr>
        <w:t xml:space="preserve">Nyathi </w:t>
      </w:r>
      <w:r w:rsidR="00F15F29">
        <w:rPr>
          <w:rFonts w:cs="Times New Roman"/>
          <w:szCs w:val="24"/>
        </w:rPr>
        <w:t xml:space="preserve">case may be distinguishable from the facts and the circumstances of the present matter.  </w:t>
      </w:r>
    </w:p>
    <w:p w14:paraId="7C35847F" w14:textId="338B9D5D" w:rsidR="00C62277" w:rsidRPr="00A52543" w:rsidRDefault="00A52543" w:rsidP="00CA2CDB">
      <w:pPr>
        <w:pStyle w:val="ListParagraph"/>
        <w:numPr>
          <w:ilvl w:val="0"/>
          <w:numId w:val="5"/>
        </w:numPr>
        <w:rPr>
          <w:rFonts w:cs="Times New Roman"/>
          <w:szCs w:val="24"/>
        </w:rPr>
      </w:pPr>
      <w:r>
        <w:rPr>
          <w:rFonts w:cs="Times New Roman"/>
          <w:szCs w:val="24"/>
        </w:rPr>
        <w:t>In my</w:t>
      </w:r>
      <w:r w:rsidR="00861EFA">
        <w:rPr>
          <w:rFonts w:cs="Times New Roman"/>
          <w:szCs w:val="24"/>
        </w:rPr>
        <w:t xml:space="preserve"> </w:t>
      </w:r>
      <w:r>
        <w:rPr>
          <w:rFonts w:cs="Times New Roman"/>
          <w:szCs w:val="24"/>
        </w:rPr>
        <w:t xml:space="preserve">view, </w:t>
      </w:r>
      <w:r w:rsidR="00861EFA">
        <w:rPr>
          <w:rFonts w:cs="Times New Roman"/>
          <w:szCs w:val="24"/>
        </w:rPr>
        <w:t xml:space="preserve">r94 (3) cannot be relied on to argue that the </w:t>
      </w:r>
      <w:r w:rsidR="00861EFA" w:rsidRPr="00861EFA">
        <w:rPr>
          <w:rFonts w:cs="Times New Roman"/>
          <w:i/>
          <w:iCs/>
          <w:szCs w:val="24"/>
        </w:rPr>
        <w:t>dies induciae</w:t>
      </w:r>
      <w:r w:rsidR="00861EFA">
        <w:rPr>
          <w:rFonts w:cs="Times New Roman"/>
          <w:szCs w:val="24"/>
        </w:rPr>
        <w:t xml:space="preserve"> for filing opposing affidavits in an application of this nature should be two days. </w:t>
      </w:r>
      <w:r w:rsidR="009B42CF">
        <w:rPr>
          <w:rFonts w:cs="Times New Roman"/>
          <w:szCs w:val="24"/>
        </w:rPr>
        <w:t xml:space="preserve">Clearly, the rule provides for the option to file written submissions, not opposing affidavits. </w:t>
      </w:r>
      <w:r w:rsidR="00861EFA">
        <w:rPr>
          <w:rFonts w:cs="Times New Roman"/>
          <w:szCs w:val="24"/>
        </w:rPr>
        <w:t xml:space="preserve">In my further view, once it is accepted that the rule provides for filing of written submissions, reliance should be had to the provisions for applications as provided for in the </w:t>
      </w:r>
      <w:r w:rsidR="009B42CF">
        <w:rPr>
          <w:rFonts w:cs="Times New Roman"/>
          <w:szCs w:val="24"/>
        </w:rPr>
        <w:t xml:space="preserve">High Court (Commercial Court) Rules, to guide on the </w:t>
      </w:r>
      <w:r w:rsidR="009B42CF" w:rsidRPr="009B42CF">
        <w:rPr>
          <w:rFonts w:cs="Times New Roman"/>
          <w:i/>
          <w:iCs/>
          <w:szCs w:val="24"/>
        </w:rPr>
        <w:t>dies induciae</w:t>
      </w:r>
      <w:r w:rsidR="009B42CF">
        <w:rPr>
          <w:rFonts w:cs="Times New Roman"/>
          <w:szCs w:val="24"/>
        </w:rPr>
        <w:t xml:space="preserve"> for filing notices of opposition. I take the view that </w:t>
      </w:r>
      <w:r>
        <w:rPr>
          <w:rFonts w:cs="Times New Roman"/>
          <w:szCs w:val="24"/>
        </w:rPr>
        <w:t xml:space="preserve">once an applicant files a court application for leave to appeal, the provisions of r31 of the High Court (Commercial Division) Rules </w:t>
      </w:r>
      <w:r w:rsidR="00F54484">
        <w:rPr>
          <w:rFonts w:cs="Times New Roman"/>
          <w:szCs w:val="24"/>
        </w:rPr>
        <w:t>are triggered</w:t>
      </w:r>
      <w:r>
        <w:rPr>
          <w:rFonts w:cs="Times New Roman"/>
          <w:szCs w:val="24"/>
        </w:rPr>
        <w:t xml:space="preserve">. In terms of that rule, </w:t>
      </w:r>
      <w:r>
        <w:rPr>
          <w:rFonts w:cs="Times New Roman"/>
          <w:szCs w:val="24"/>
          <w:lang w:val="en-ZW"/>
        </w:rPr>
        <w:t>t</w:t>
      </w:r>
      <w:r w:rsidRPr="00A52543">
        <w:rPr>
          <w:rFonts w:cs="Times New Roman"/>
          <w:szCs w:val="24"/>
          <w:lang w:val="en-ZW"/>
        </w:rPr>
        <w:t>he time within which a respondent in a court application may be required to file a notice of opposition and opposing affidavits shall be 10 (ten) days, exclusive of the day of service</w:t>
      </w:r>
      <w:r>
        <w:rPr>
          <w:rFonts w:cs="Times New Roman"/>
          <w:szCs w:val="24"/>
          <w:lang w:val="en-ZW"/>
        </w:rPr>
        <w:t xml:space="preserve">. </w:t>
      </w:r>
    </w:p>
    <w:p w14:paraId="20B5A73E" w14:textId="77777777" w:rsidR="00676F1F" w:rsidRPr="005F1EB1" w:rsidRDefault="00861EFA" w:rsidP="00676F1F">
      <w:pPr>
        <w:pStyle w:val="ListParagraph"/>
        <w:numPr>
          <w:ilvl w:val="0"/>
          <w:numId w:val="5"/>
        </w:numPr>
        <w:rPr>
          <w:rFonts w:cs="Times New Roman"/>
          <w:szCs w:val="24"/>
        </w:rPr>
      </w:pPr>
      <w:r>
        <w:rPr>
          <w:rFonts w:cs="Times New Roman"/>
          <w:szCs w:val="24"/>
          <w:lang w:val="en-ZW"/>
        </w:rPr>
        <w:t xml:space="preserve">I therefore find that there </w:t>
      </w:r>
      <w:r w:rsidR="00A52543">
        <w:rPr>
          <w:rFonts w:cs="Times New Roman"/>
          <w:szCs w:val="24"/>
          <w:lang w:val="en-ZW"/>
        </w:rPr>
        <w:t xml:space="preserve">was nothing irregular about the applicant </w:t>
      </w:r>
      <w:r>
        <w:rPr>
          <w:rFonts w:cs="Times New Roman"/>
          <w:szCs w:val="24"/>
          <w:lang w:val="en-ZW"/>
        </w:rPr>
        <w:t xml:space="preserve">giving the respondents ten days within which to file notices of opposition. </w:t>
      </w:r>
      <w:r w:rsidR="009B42CF">
        <w:rPr>
          <w:rFonts w:cs="Times New Roman"/>
          <w:szCs w:val="24"/>
          <w:lang w:val="en-ZW"/>
        </w:rPr>
        <w:t xml:space="preserve">The preliminary point is without merit and is accordingly dismissed. </w:t>
      </w:r>
    </w:p>
    <w:p w14:paraId="08E92034" w14:textId="3547DD52" w:rsidR="005F1EB1" w:rsidRPr="005F1EB1" w:rsidRDefault="005F1EB1" w:rsidP="005F1EB1">
      <w:pPr>
        <w:pStyle w:val="ListParagraph"/>
        <w:ind w:left="502"/>
        <w:rPr>
          <w:rFonts w:cs="Times New Roman"/>
          <w:b/>
          <w:bCs/>
          <w:i/>
          <w:iCs/>
          <w:szCs w:val="24"/>
        </w:rPr>
      </w:pPr>
      <w:r w:rsidRPr="005F1EB1">
        <w:rPr>
          <w:rFonts w:cs="Times New Roman"/>
          <w:b/>
          <w:bCs/>
          <w:i/>
          <w:iCs/>
          <w:szCs w:val="24"/>
          <w:lang w:val="en-ZW"/>
        </w:rPr>
        <w:t xml:space="preserve">Failure to give reasons for not making an oral application </w:t>
      </w:r>
    </w:p>
    <w:p w14:paraId="1C9911A9" w14:textId="77777777" w:rsidR="00F54484" w:rsidRPr="00F54484" w:rsidRDefault="009B42CF" w:rsidP="00676F1F">
      <w:pPr>
        <w:pStyle w:val="ListParagraph"/>
        <w:numPr>
          <w:ilvl w:val="0"/>
          <w:numId w:val="5"/>
        </w:numPr>
        <w:rPr>
          <w:rFonts w:cs="Times New Roman"/>
          <w:szCs w:val="24"/>
        </w:rPr>
      </w:pPr>
      <w:r w:rsidRPr="00676F1F">
        <w:rPr>
          <w:rFonts w:cs="Times New Roman"/>
          <w:szCs w:val="24"/>
          <w:lang w:val="en-ZW"/>
        </w:rPr>
        <w:t xml:space="preserve">Rule 94 (1) as read with r94 (8) of the High Court Rules provides that in a civil matter in which leave to appeal is necessary, an application for leave to appeal may be made by any party orally immediately after the order. Where an oral application has not been made, an applicant can file a written application within twelve days of the order, provided that the applicant shall state the reason why an oral application was not made. </w:t>
      </w:r>
    </w:p>
    <w:p w14:paraId="5ED57530" w14:textId="3ACA0ACB" w:rsidR="00676F1F" w:rsidRPr="00F54484" w:rsidRDefault="005478F5" w:rsidP="00F54484">
      <w:pPr>
        <w:pStyle w:val="ListParagraph"/>
        <w:numPr>
          <w:ilvl w:val="0"/>
          <w:numId w:val="5"/>
        </w:numPr>
        <w:rPr>
          <w:rFonts w:cs="Times New Roman"/>
          <w:szCs w:val="24"/>
        </w:rPr>
      </w:pPr>
      <w:r w:rsidRPr="00676F1F">
        <w:rPr>
          <w:rFonts w:cs="Times New Roman"/>
          <w:szCs w:val="24"/>
          <w:lang w:val="en-ZW"/>
        </w:rPr>
        <w:t xml:space="preserve">In </w:t>
      </w:r>
      <w:r w:rsidRPr="00676F1F">
        <w:rPr>
          <w:rFonts w:cs="Times New Roman"/>
          <w:i/>
          <w:iCs/>
          <w:szCs w:val="24"/>
          <w:lang w:val="en-ZW"/>
        </w:rPr>
        <w:t>casu</w:t>
      </w:r>
      <w:r w:rsidRPr="00676F1F">
        <w:rPr>
          <w:rFonts w:cs="Times New Roman"/>
          <w:szCs w:val="24"/>
          <w:lang w:val="en-ZW"/>
        </w:rPr>
        <w:t xml:space="preserve">, it is accepted that the reason for failure to adhere to this peremptory provision of the rules was not complied with. </w:t>
      </w:r>
      <w:r w:rsidRPr="00F54484">
        <w:rPr>
          <w:rFonts w:cs="Times New Roman"/>
          <w:szCs w:val="24"/>
          <w:lang w:val="en-ZW"/>
        </w:rPr>
        <w:t>Th</w:t>
      </w:r>
      <w:r w:rsidR="00EF58D4" w:rsidRPr="00F54484">
        <w:rPr>
          <w:rFonts w:cs="Times New Roman"/>
          <w:szCs w:val="24"/>
          <w:lang w:val="en-ZW"/>
        </w:rPr>
        <w:t>is</w:t>
      </w:r>
      <w:r w:rsidRPr="00F54484">
        <w:rPr>
          <w:rFonts w:cs="Times New Roman"/>
          <w:szCs w:val="24"/>
          <w:lang w:val="en-ZW"/>
        </w:rPr>
        <w:t xml:space="preserve"> complaint initially arose in the respondents’ opposing papers. When the applicant filed its heads of argument, it adopted a cavalier approach and submitted that this issue was inconsequential in view of the fact that parties were in the Commercial Division. It then submitted that condonation would be sought at the hearing of the matter. Such an attitude was ill-advised and very unfortunate</w:t>
      </w:r>
      <w:r w:rsidR="00EF58D4" w:rsidRPr="00F54484">
        <w:rPr>
          <w:rFonts w:cs="Times New Roman"/>
          <w:szCs w:val="24"/>
          <w:lang w:val="en-ZW"/>
        </w:rPr>
        <w:t xml:space="preserve">, because the requirement </w:t>
      </w:r>
      <w:r w:rsidR="00EF58D4" w:rsidRPr="00F54484">
        <w:rPr>
          <w:rFonts w:cs="Times New Roman"/>
          <w:szCs w:val="24"/>
          <w:lang w:val="en-ZW"/>
        </w:rPr>
        <w:lastRenderedPageBreak/>
        <w:t>to give reasons is a peremptory requirement which cannot be relegated to be one of no consequence</w:t>
      </w:r>
      <w:r w:rsidRPr="00F54484">
        <w:rPr>
          <w:rFonts w:cs="Times New Roman"/>
          <w:szCs w:val="24"/>
          <w:lang w:val="en-ZW"/>
        </w:rPr>
        <w:t xml:space="preserve">. Be that as it may, </w:t>
      </w:r>
      <w:r w:rsidR="00676F1F" w:rsidRPr="00F54484">
        <w:rPr>
          <w:rFonts w:cs="Times New Roman"/>
          <w:szCs w:val="24"/>
          <w:lang w:val="en-ZW"/>
        </w:rPr>
        <w:t xml:space="preserve">at the hearing of the matter Mr </w:t>
      </w:r>
      <w:r w:rsidR="00676F1F" w:rsidRPr="00F54484">
        <w:rPr>
          <w:rFonts w:cs="Times New Roman"/>
          <w:i/>
          <w:iCs/>
          <w:szCs w:val="24"/>
          <w:lang w:val="en-ZW"/>
        </w:rPr>
        <w:t>Madhuku</w:t>
      </w:r>
      <w:r w:rsidR="00676F1F" w:rsidRPr="00F54484">
        <w:rPr>
          <w:rFonts w:cs="Times New Roman"/>
          <w:szCs w:val="24"/>
          <w:lang w:val="en-ZW"/>
        </w:rPr>
        <w:t xml:space="preserve"> then explained why the rules were not complied with and sought condonation for the applicant’s non-compliance with the rules. </w:t>
      </w:r>
    </w:p>
    <w:p w14:paraId="0B1EA621" w14:textId="5F2391EE" w:rsidR="00676F1F" w:rsidRDefault="00676F1F" w:rsidP="00676F1F">
      <w:pPr>
        <w:pStyle w:val="ListParagraph"/>
        <w:numPr>
          <w:ilvl w:val="0"/>
          <w:numId w:val="5"/>
        </w:numPr>
        <w:spacing w:after="200"/>
        <w:rPr>
          <w:rFonts w:cs="Times New Roman"/>
        </w:rPr>
      </w:pPr>
      <w:r>
        <w:rPr>
          <w:rFonts w:cs="Times New Roman"/>
          <w:smallCaps/>
          <w:szCs w:val="24"/>
        </w:rPr>
        <w:t>Guvava</w:t>
      </w:r>
      <w:r w:rsidRPr="001D318B">
        <w:rPr>
          <w:rFonts w:cs="Times New Roman"/>
          <w:smallCaps/>
          <w:szCs w:val="24"/>
        </w:rPr>
        <w:t xml:space="preserve"> J</w:t>
      </w:r>
      <w:r w:rsidRPr="0037077D">
        <w:rPr>
          <w:rFonts w:cs="Times New Roman"/>
        </w:rPr>
        <w:t xml:space="preserve"> (as she then was) </w:t>
      </w:r>
      <w:r>
        <w:rPr>
          <w:rFonts w:cs="Times New Roman"/>
        </w:rPr>
        <w:t xml:space="preserve">reiterated the need to comply with the Rules </w:t>
      </w:r>
      <w:r w:rsidRPr="0037077D">
        <w:rPr>
          <w:rFonts w:cs="Times New Roman"/>
        </w:rPr>
        <w:t xml:space="preserve">in </w:t>
      </w:r>
      <w:r>
        <w:rPr>
          <w:rFonts w:cs="Times New Roman"/>
        </w:rPr>
        <w:t xml:space="preserve">the case of </w:t>
      </w:r>
      <w:r w:rsidRPr="0037077D">
        <w:rPr>
          <w:rFonts w:cs="Times New Roman"/>
          <w:i/>
        </w:rPr>
        <w:t xml:space="preserve">Jambo </w:t>
      </w:r>
      <w:r w:rsidRPr="0037077D">
        <w:rPr>
          <w:rFonts w:cs="Times New Roman"/>
        </w:rPr>
        <w:t>v</w:t>
      </w:r>
      <w:r w:rsidRPr="0037077D">
        <w:rPr>
          <w:rFonts w:cs="Times New Roman"/>
          <w:i/>
        </w:rPr>
        <w:t xml:space="preserve"> Church of the Province of Central Africa &amp; Ors</w:t>
      </w:r>
      <w:r w:rsidRPr="0037077D">
        <w:rPr>
          <w:rFonts w:cs="Times New Roman"/>
        </w:rPr>
        <w:t xml:space="preserve"> HH 329-13 </w:t>
      </w:r>
      <w:r>
        <w:rPr>
          <w:rFonts w:cs="Times New Roman"/>
        </w:rPr>
        <w:t xml:space="preserve">in the following </w:t>
      </w:r>
      <w:r w:rsidR="005F4ED7">
        <w:rPr>
          <w:rFonts w:cs="Times New Roman"/>
        </w:rPr>
        <w:t>terms: -</w:t>
      </w:r>
    </w:p>
    <w:p w14:paraId="31D7F6B0" w14:textId="69E47CD2" w:rsidR="00676F1F" w:rsidRPr="0013717B" w:rsidRDefault="00676F1F" w:rsidP="00676F1F">
      <w:pPr>
        <w:pStyle w:val="ListParagraph"/>
        <w:spacing w:line="240" w:lineRule="auto"/>
        <w:ind w:left="1440"/>
        <w:rPr>
          <w:rFonts w:cs="Times New Roman"/>
        </w:rPr>
      </w:pPr>
      <w:r>
        <w:rPr>
          <w:rFonts w:cs="Times New Roman"/>
          <w:szCs w:val="24"/>
        </w:rPr>
        <w:t>“</w:t>
      </w:r>
      <w:r w:rsidRPr="00676F1F">
        <w:rPr>
          <w:rFonts w:cs="Times New Roman"/>
          <w:sz w:val="22"/>
        </w:rPr>
        <w:t>This court has stated in a number of judgments of this court that parties are obliged to comply with the rules. Where there is a non-compliance the applicant must apply for condonation and give reasons for such failure to comply with the rules</w:t>
      </w:r>
      <w:r w:rsidRPr="0013717B">
        <w:rPr>
          <w:rFonts w:cs="Times New Roman"/>
          <w:szCs w:val="24"/>
        </w:rPr>
        <w:t xml:space="preserve">. (See also </w:t>
      </w:r>
      <w:r w:rsidRPr="0013717B">
        <w:rPr>
          <w:rFonts w:cs="Times New Roman"/>
          <w:i/>
          <w:szCs w:val="24"/>
        </w:rPr>
        <w:t xml:space="preserve">Jensen </w:t>
      </w:r>
      <w:r w:rsidRPr="0013717B">
        <w:rPr>
          <w:rFonts w:cs="Times New Roman"/>
          <w:szCs w:val="24"/>
        </w:rPr>
        <w:t xml:space="preserve">v </w:t>
      </w:r>
      <w:r w:rsidRPr="0013717B">
        <w:rPr>
          <w:rFonts w:cs="Times New Roman"/>
          <w:i/>
          <w:szCs w:val="24"/>
        </w:rPr>
        <w:t>Avacalos</w:t>
      </w:r>
      <w:r w:rsidRPr="0013717B">
        <w:rPr>
          <w:rFonts w:cs="Times New Roman"/>
          <w:szCs w:val="24"/>
        </w:rPr>
        <w:t xml:space="preserve"> 1993 (1) ZLR 216 (S)</w:t>
      </w:r>
      <w:r w:rsidR="00BA0ECE">
        <w:rPr>
          <w:rFonts w:cs="Times New Roman"/>
          <w:szCs w:val="24"/>
        </w:rPr>
        <w:t>)</w:t>
      </w:r>
    </w:p>
    <w:p w14:paraId="5D086C28" w14:textId="21025E8B" w:rsidR="00FD7559" w:rsidRDefault="00D56598" w:rsidP="00FD7559">
      <w:pPr>
        <w:pStyle w:val="ListParagraph"/>
        <w:numPr>
          <w:ilvl w:val="0"/>
          <w:numId w:val="5"/>
        </w:numPr>
        <w:rPr>
          <w:rFonts w:cs="Times New Roman"/>
          <w:szCs w:val="24"/>
        </w:rPr>
      </w:pPr>
      <w:r>
        <w:rPr>
          <w:rFonts w:cs="Times New Roman"/>
          <w:szCs w:val="24"/>
        </w:rPr>
        <w:t>I observe that r7(a) of the High Court Rules</w:t>
      </w:r>
      <w:r w:rsidR="00BA0ECE">
        <w:rPr>
          <w:rFonts w:cs="Times New Roman"/>
          <w:szCs w:val="24"/>
        </w:rPr>
        <w:t xml:space="preserve"> as read with r4</w:t>
      </w:r>
      <w:r>
        <w:rPr>
          <w:rFonts w:cs="Times New Roman"/>
          <w:szCs w:val="24"/>
        </w:rPr>
        <w:t xml:space="preserve"> </w:t>
      </w:r>
      <w:r w:rsidR="00BA0ECE">
        <w:rPr>
          <w:rFonts w:cs="Times New Roman"/>
          <w:szCs w:val="24"/>
        </w:rPr>
        <w:t>(2) of the High Court (Commercial Division) Rules</w:t>
      </w:r>
      <w:r w:rsidR="005F1EB1">
        <w:rPr>
          <w:rFonts w:cs="Times New Roman"/>
          <w:szCs w:val="24"/>
        </w:rPr>
        <w:t>,</w:t>
      </w:r>
      <w:r w:rsidR="00BA0ECE">
        <w:rPr>
          <w:rFonts w:cs="Times New Roman"/>
          <w:szCs w:val="24"/>
        </w:rPr>
        <w:t xml:space="preserve"> </w:t>
      </w:r>
      <w:r>
        <w:rPr>
          <w:rFonts w:cs="Times New Roman"/>
          <w:szCs w:val="24"/>
        </w:rPr>
        <w:t>gives a judge</w:t>
      </w:r>
      <w:r w:rsidR="00BA0ECE">
        <w:rPr>
          <w:rFonts w:cs="Times New Roman"/>
          <w:szCs w:val="24"/>
        </w:rPr>
        <w:t xml:space="preserve"> the</w:t>
      </w:r>
      <w:r>
        <w:rPr>
          <w:rFonts w:cs="Times New Roman"/>
          <w:szCs w:val="24"/>
        </w:rPr>
        <w:t xml:space="preserve"> discretion to condone </w:t>
      </w:r>
      <w:r w:rsidR="00BA0ECE">
        <w:rPr>
          <w:rFonts w:cs="Times New Roman"/>
          <w:szCs w:val="24"/>
        </w:rPr>
        <w:t xml:space="preserve">a </w:t>
      </w:r>
      <w:r>
        <w:rPr>
          <w:rFonts w:cs="Times New Roman"/>
          <w:szCs w:val="24"/>
        </w:rPr>
        <w:t xml:space="preserve">departure from the Rules, if the judge is satisfied that the departure is required in the interests of justice. Accordingly, in determining the question of whether or not the application is fatally defective, I considered </w:t>
      </w:r>
      <w:r w:rsidRPr="00AD6360">
        <w:rPr>
          <w:rFonts w:cs="Times New Roman"/>
          <w:szCs w:val="24"/>
        </w:rPr>
        <w:t>what prejudice</w:t>
      </w:r>
      <w:r>
        <w:rPr>
          <w:rFonts w:cs="Times New Roman"/>
          <w:szCs w:val="24"/>
        </w:rPr>
        <w:t>,</w:t>
      </w:r>
      <w:r w:rsidRPr="00AD6360">
        <w:rPr>
          <w:rFonts w:cs="Times New Roman"/>
          <w:szCs w:val="24"/>
        </w:rPr>
        <w:t xml:space="preserve"> if any</w:t>
      </w:r>
      <w:r>
        <w:rPr>
          <w:rFonts w:cs="Times New Roman"/>
          <w:szCs w:val="24"/>
        </w:rPr>
        <w:t>,</w:t>
      </w:r>
      <w:r w:rsidRPr="00AD6360">
        <w:rPr>
          <w:rFonts w:cs="Times New Roman"/>
          <w:szCs w:val="24"/>
        </w:rPr>
        <w:t xml:space="preserve"> was occasioned by the defect in the papers?</w:t>
      </w:r>
      <w:r>
        <w:rPr>
          <w:rFonts w:cs="Times New Roman"/>
          <w:szCs w:val="24"/>
        </w:rPr>
        <w:t xml:space="preserve"> I noted that despite</w:t>
      </w:r>
      <w:r w:rsidR="00BA0ECE">
        <w:rPr>
          <w:rFonts w:cs="Times New Roman"/>
          <w:szCs w:val="24"/>
        </w:rPr>
        <w:t xml:space="preserve"> the defect, the respondents have been able to effectively defend this matter. </w:t>
      </w:r>
    </w:p>
    <w:p w14:paraId="7BC718D3" w14:textId="35F7EA04" w:rsidR="00FD7559" w:rsidRPr="00FD7559" w:rsidRDefault="00BA0ECE" w:rsidP="00FD7559">
      <w:pPr>
        <w:pStyle w:val="ListParagraph"/>
        <w:numPr>
          <w:ilvl w:val="0"/>
          <w:numId w:val="5"/>
        </w:numPr>
        <w:rPr>
          <w:rFonts w:cs="Times New Roman"/>
          <w:szCs w:val="24"/>
        </w:rPr>
      </w:pPr>
      <w:r w:rsidRPr="00FD7559">
        <w:rPr>
          <w:rFonts w:cs="Times New Roman"/>
          <w:szCs w:val="24"/>
        </w:rPr>
        <w:t xml:space="preserve">I therefore take the view that, bearing in mind that the Rules are made for the court and not the court for the Rules, this is an </w:t>
      </w:r>
      <w:r w:rsidR="00676F1F" w:rsidRPr="00FD7559">
        <w:rPr>
          <w:rFonts w:cs="Times New Roman"/>
          <w:szCs w:val="24"/>
        </w:rPr>
        <w:t>appropriate case, in the interests of disposing of the matter, to overlook the defect</w:t>
      </w:r>
      <w:r w:rsidR="00FD7559" w:rsidRPr="00FD7559">
        <w:rPr>
          <w:rFonts w:cs="Times New Roman"/>
          <w:szCs w:val="24"/>
        </w:rPr>
        <w:t xml:space="preserve"> and, </w:t>
      </w:r>
      <w:r w:rsidRPr="00FD7559">
        <w:rPr>
          <w:rFonts w:cs="Times New Roman"/>
          <w:szCs w:val="24"/>
        </w:rPr>
        <w:t xml:space="preserve"> </w:t>
      </w:r>
      <w:r w:rsidR="00676F1F" w:rsidRPr="00FD7559">
        <w:rPr>
          <w:rFonts w:cs="Times New Roman"/>
          <w:szCs w:val="24"/>
        </w:rPr>
        <w:t xml:space="preserve">in </w:t>
      </w:r>
      <w:r w:rsidR="00FD7559" w:rsidRPr="00FD7559">
        <w:rPr>
          <w:rFonts w:cs="Times New Roman"/>
          <w:szCs w:val="24"/>
        </w:rPr>
        <w:t>the spirit of r4 (3) of the High Court (Commercial Division) Rules, grant the condonation sought by the applicant</w:t>
      </w:r>
      <w:r w:rsidR="00EF58D4">
        <w:rPr>
          <w:rFonts w:cs="Times New Roman"/>
          <w:szCs w:val="24"/>
        </w:rPr>
        <w:t xml:space="preserve"> and accept the oral explanation given by Mr </w:t>
      </w:r>
      <w:r w:rsidR="00EF58D4" w:rsidRPr="00EF58D4">
        <w:rPr>
          <w:rFonts w:cs="Times New Roman"/>
          <w:i/>
          <w:iCs/>
          <w:szCs w:val="24"/>
        </w:rPr>
        <w:t>Madhuku</w:t>
      </w:r>
      <w:r w:rsidR="00FD7559" w:rsidRPr="00FD7559">
        <w:rPr>
          <w:rFonts w:cs="Times New Roman"/>
          <w:szCs w:val="24"/>
        </w:rPr>
        <w:t xml:space="preserve"> at the hearing of the matter. The preliminary point is accordingly dismissed.  </w:t>
      </w:r>
    </w:p>
    <w:p w14:paraId="072769DF" w14:textId="3182A37F" w:rsidR="00CA2CDB" w:rsidRPr="00FD7559" w:rsidRDefault="00CA2CDB" w:rsidP="00FD7559">
      <w:pPr>
        <w:ind w:left="-218"/>
        <w:rPr>
          <w:rFonts w:cs="Times New Roman"/>
          <w:b/>
          <w:bCs/>
          <w:szCs w:val="24"/>
          <w:u w:val="single"/>
        </w:rPr>
      </w:pPr>
      <w:r w:rsidRPr="00FD7559">
        <w:rPr>
          <w:rFonts w:cs="Times New Roman"/>
          <w:b/>
          <w:bCs/>
          <w:szCs w:val="24"/>
          <w:u w:val="single"/>
        </w:rPr>
        <w:t xml:space="preserve">WHETHER OR NOT THE INTERLOCUTORY ORDER IS </w:t>
      </w:r>
      <w:r w:rsidR="00065E06" w:rsidRPr="00FD7559">
        <w:rPr>
          <w:rFonts w:cs="Times New Roman"/>
          <w:b/>
          <w:bCs/>
          <w:szCs w:val="24"/>
          <w:u w:val="single"/>
        </w:rPr>
        <w:t>APPEALABLE</w:t>
      </w:r>
    </w:p>
    <w:p w14:paraId="37FBDFFA" w14:textId="5CEAAF4C" w:rsidR="008E0174" w:rsidRPr="008E0174" w:rsidRDefault="008E0174" w:rsidP="008E0174">
      <w:pPr>
        <w:pStyle w:val="ListParagraph"/>
        <w:numPr>
          <w:ilvl w:val="0"/>
          <w:numId w:val="5"/>
        </w:numPr>
        <w:rPr>
          <w:rFonts w:cs="Times New Roman"/>
          <w:szCs w:val="24"/>
          <w:lang w:val="en-ZW"/>
        </w:rPr>
      </w:pPr>
      <w:r w:rsidRPr="008E0174">
        <w:rPr>
          <w:rFonts w:cs="Times New Roman"/>
          <w:szCs w:val="24"/>
          <w:lang w:val="en-ZW"/>
        </w:rPr>
        <w:t>Section</w:t>
      </w:r>
      <w:r>
        <w:rPr>
          <w:rFonts w:cs="Times New Roman"/>
          <w:szCs w:val="24"/>
          <w:lang w:val="en-ZW"/>
        </w:rPr>
        <w:t xml:space="preserve"> 43 </w:t>
      </w:r>
      <w:r w:rsidRPr="008E0174">
        <w:rPr>
          <w:rFonts w:cs="Times New Roman"/>
          <w:szCs w:val="24"/>
          <w:lang w:val="en-ZW"/>
        </w:rPr>
        <w:t>of the High Court Act provides</w:t>
      </w:r>
      <w:r>
        <w:rPr>
          <w:rFonts w:cs="Times New Roman"/>
          <w:szCs w:val="24"/>
          <w:lang w:val="en-ZW"/>
        </w:rPr>
        <w:t xml:space="preserve"> for the right of appeal from the High Court in civil cases. </w:t>
      </w:r>
      <w:r w:rsidR="004D5659">
        <w:rPr>
          <w:rFonts w:cs="Times New Roman"/>
          <w:szCs w:val="24"/>
          <w:lang w:val="en-ZW"/>
        </w:rPr>
        <w:t xml:space="preserve">For </w:t>
      </w:r>
      <w:r>
        <w:rPr>
          <w:rFonts w:cs="Times New Roman"/>
          <w:szCs w:val="24"/>
          <w:lang w:val="en-ZW"/>
        </w:rPr>
        <w:t>the purposes of this matter, the relevant subsections read:</w:t>
      </w:r>
    </w:p>
    <w:p w14:paraId="3EE9968C" w14:textId="1E3C7D59" w:rsidR="008E0174" w:rsidRPr="008E0174" w:rsidRDefault="008E0174" w:rsidP="008E0174">
      <w:pPr>
        <w:pStyle w:val="ListParagraph"/>
        <w:spacing w:line="240" w:lineRule="auto"/>
        <w:rPr>
          <w:rFonts w:cs="Times New Roman"/>
          <w:b/>
          <w:bCs/>
          <w:sz w:val="22"/>
          <w:lang w:val="en-ZW"/>
        </w:rPr>
      </w:pPr>
      <w:r w:rsidRPr="008E0174">
        <w:rPr>
          <w:rFonts w:cs="Times New Roman"/>
          <w:b/>
          <w:bCs/>
          <w:sz w:val="22"/>
          <w:lang w:val="en-ZW"/>
        </w:rPr>
        <w:t>“Right of appeal from High Court in civil cases</w:t>
      </w:r>
    </w:p>
    <w:p w14:paraId="22416103" w14:textId="77777777" w:rsidR="008E0174" w:rsidRPr="008E0174" w:rsidRDefault="008E0174" w:rsidP="008E0174">
      <w:pPr>
        <w:pStyle w:val="ListParagraph"/>
        <w:spacing w:line="240" w:lineRule="auto"/>
        <w:rPr>
          <w:rFonts w:cs="Times New Roman"/>
          <w:sz w:val="22"/>
          <w:lang w:val="en-ZW"/>
        </w:rPr>
      </w:pPr>
      <w:r w:rsidRPr="008E0174">
        <w:rPr>
          <w:rFonts w:cs="Times New Roman"/>
          <w:sz w:val="22"/>
          <w:lang w:val="en-ZW"/>
        </w:rPr>
        <w:t>(1) Subject to this section, an appeal in any civil case shall lie to the Supreme Court from any</w:t>
      </w:r>
    </w:p>
    <w:p w14:paraId="41337600" w14:textId="0CA36BBE" w:rsidR="008E0174" w:rsidRPr="008E0174" w:rsidRDefault="008E0174" w:rsidP="008E0174">
      <w:pPr>
        <w:pStyle w:val="ListParagraph"/>
        <w:spacing w:line="240" w:lineRule="auto"/>
        <w:ind w:left="1211" w:hanging="491"/>
        <w:rPr>
          <w:rFonts w:cs="Times New Roman"/>
          <w:sz w:val="22"/>
          <w:lang w:val="en-ZW"/>
        </w:rPr>
      </w:pPr>
      <w:r>
        <w:rPr>
          <w:rFonts w:cs="Times New Roman"/>
          <w:sz w:val="22"/>
          <w:lang w:val="en-ZW"/>
        </w:rPr>
        <w:t xml:space="preserve">      </w:t>
      </w:r>
      <w:r w:rsidRPr="008E0174">
        <w:rPr>
          <w:rFonts w:cs="Times New Roman"/>
          <w:sz w:val="22"/>
          <w:lang w:val="en-ZW"/>
        </w:rPr>
        <w:t>judgment of the High Court, whether in the exercise of its original or its appellate jurisdiction.</w:t>
      </w:r>
    </w:p>
    <w:p w14:paraId="6E42A388" w14:textId="77777777" w:rsidR="008E0174" w:rsidRPr="008E0174" w:rsidRDefault="008E0174" w:rsidP="008E0174">
      <w:pPr>
        <w:pStyle w:val="ListParagraph"/>
        <w:spacing w:line="240" w:lineRule="auto"/>
        <w:rPr>
          <w:rFonts w:cs="Times New Roman"/>
          <w:sz w:val="22"/>
          <w:lang w:val="en-ZW"/>
        </w:rPr>
      </w:pPr>
      <w:r w:rsidRPr="008E0174">
        <w:rPr>
          <w:rFonts w:cs="Times New Roman"/>
          <w:sz w:val="22"/>
          <w:lang w:val="en-ZW"/>
        </w:rPr>
        <w:t>(2) No appeal shall lie—</w:t>
      </w:r>
    </w:p>
    <w:p w14:paraId="0D8887D4" w14:textId="604C2E6D" w:rsidR="008E0174" w:rsidRPr="008E0174" w:rsidRDefault="008E0174" w:rsidP="008E0174">
      <w:pPr>
        <w:pStyle w:val="ListParagraph"/>
        <w:spacing w:line="240" w:lineRule="auto"/>
        <w:rPr>
          <w:rFonts w:cs="Times New Roman"/>
          <w:sz w:val="22"/>
          <w:lang w:val="en-ZW"/>
        </w:rPr>
      </w:pPr>
      <w:r w:rsidRPr="008E0174">
        <w:rPr>
          <w:rFonts w:cs="Times New Roman"/>
          <w:sz w:val="22"/>
          <w:lang w:val="en-ZW"/>
        </w:rPr>
        <w:t>(</w:t>
      </w:r>
      <w:r w:rsidRPr="008E0174">
        <w:rPr>
          <w:rFonts w:cs="Times New Roman"/>
          <w:i/>
          <w:iCs/>
          <w:sz w:val="22"/>
          <w:lang w:val="en-ZW"/>
        </w:rPr>
        <w:t>a</w:t>
      </w:r>
      <w:r w:rsidRPr="008E0174">
        <w:rPr>
          <w:rFonts w:cs="Times New Roman"/>
          <w:sz w:val="22"/>
          <w:lang w:val="en-ZW"/>
        </w:rPr>
        <w:t>) ………..;</w:t>
      </w:r>
    </w:p>
    <w:p w14:paraId="3989C3B9" w14:textId="3B622FF6" w:rsidR="008E0174" w:rsidRPr="008E0174" w:rsidRDefault="008E0174" w:rsidP="008E0174">
      <w:pPr>
        <w:pStyle w:val="ListParagraph"/>
        <w:spacing w:line="240" w:lineRule="auto"/>
        <w:rPr>
          <w:rFonts w:cs="Times New Roman"/>
          <w:sz w:val="22"/>
          <w:lang w:val="en-ZW"/>
        </w:rPr>
      </w:pPr>
      <w:r w:rsidRPr="008E0174">
        <w:rPr>
          <w:rFonts w:cs="Times New Roman"/>
          <w:sz w:val="22"/>
          <w:lang w:val="en-ZW"/>
        </w:rPr>
        <w:lastRenderedPageBreak/>
        <w:t>(</w:t>
      </w:r>
      <w:r w:rsidRPr="008E0174">
        <w:rPr>
          <w:rFonts w:cs="Times New Roman"/>
          <w:i/>
          <w:iCs/>
          <w:sz w:val="22"/>
          <w:lang w:val="en-ZW"/>
        </w:rPr>
        <w:t>b</w:t>
      </w:r>
      <w:r w:rsidRPr="008E0174">
        <w:rPr>
          <w:rFonts w:cs="Times New Roman"/>
          <w:sz w:val="22"/>
          <w:lang w:val="en-ZW"/>
        </w:rPr>
        <w:t>)………..;</w:t>
      </w:r>
    </w:p>
    <w:p w14:paraId="349A4795" w14:textId="188CBF27" w:rsidR="008E0174" w:rsidRPr="008E0174" w:rsidRDefault="008E0174" w:rsidP="008E0174">
      <w:pPr>
        <w:pStyle w:val="ListParagraph"/>
        <w:spacing w:line="240" w:lineRule="auto"/>
        <w:rPr>
          <w:rFonts w:cs="Times New Roman"/>
          <w:sz w:val="22"/>
          <w:lang w:val="en-ZW"/>
        </w:rPr>
      </w:pPr>
      <w:r w:rsidRPr="008E0174">
        <w:rPr>
          <w:rFonts w:cs="Times New Roman"/>
          <w:sz w:val="22"/>
          <w:lang w:val="en-ZW"/>
        </w:rPr>
        <w:t>(</w:t>
      </w:r>
      <w:r w:rsidRPr="008E0174">
        <w:rPr>
          <w:rFonts w:cs="Times New Roman"/>
          <w:i/>
          <w:iCs/>
          <w:sz w:val="22"/>
          <w:lang w:val="en-ZW"/>
        </w:rPr>
        <w:t>c</w:t>
      </w:r>
      <w:r w:rsidRPr="008E0174">
        <w:rPr>
          <w:rFonts w:cs="Times New Roman"/>
          <w:sz w:val="22"/>
          <w:lang w:val="en-ZW"/>
        </w:rPr>
        <w:t>) ……….;</w:t>
      </w:r>
    </w:p>
    <w:p w14:paraId="6A311BD1" w14:textId="77777777" w:rsidR="008E0174" w:rsidRDefault="008E0174" w:rsidP="008E0174">
      <w:pPr>
        <w:pStyle w:val="ListParagraph"/>
        <w:spacing w:line="240" w:lineRule="auto"/>
        <w:rPr>
          <w:rFonts w:cs="Times New Roman"/>
          <w:sz w:val="22"/>
          <w:lang w:val="en-ZW"/>
        </w:rPr>
      </w:pPr>
      <w:r w:rsidRPr="008E0174">
        <w:rPr>
          <w:rFonts w:cs="Times New Roman"/>
          <w:sz w:val="22"/>
          <w:lang w:val="en-ZW"/>
        </w:rPr>
        <w:t>(</w:t>
      </w:r>
      <w:r w:rsidRPr="008E0174">
        <w:rPr>
          <w:rFonts w:cs="Times New Roman"/>
          <w:i/>
          <w:iCs/>
          <w:sz w:val="22"/>
          <w:lang w:val="en-ZW"/>
        </w:rPr>
        <w:t>d</w:t>
      </w:r>
      <w:r w:rsidRPr="008E0174">
        <w:rPr>
          <w:rFonts w:cs="Times New Roman"/>
          <w:sz w:val="22"/>
          <w:lang w:val="en-ZW"/>
        </w:rPr>
        <w:t xml:space="preserve">) from an interlocutory order or interlocutory judgment made or given by a judge of the High </w:t>
      </w:r>
      <w:r>
        <w:rPr>
          <w:rFonts w:cs="Times New Roman"/>
          <w:sz w:val="22"/>
          <w:lang w:val="en-ZW"/>
        </w:rPr>
        <w:t xml:space="preserve"> </w:t>
      </w:r>
    </w:p>
    <w:p w14:paraId="73BB0664" w14:textId="77777777" w:rsidR="008E0174" w:rsidRDefault="008E0174" w:rsidP="008E0174">
      <w:pPr>
        <w:pStyle w:val="ListParagraph"/>
        <w:spacing w:line="240" w:lineRule="auto"/>
        <w:rPr>
          <w:rFonts w:cs="Times New Roman"/>
          <w:sz w:val="22"/>
          <w:lang w:val="en-ZW"/>
        </w:rPr>
      </w:pPr>
      <w:r>
        <w:rPr>
          <w:rFonts w:cs="Times New Roman"/>
          <w:sz w:val="22"/>
          <w:lang w:val="en-ZW"/>
        </w:rPr>
        <w:t xml:space="preserve">      </w:t>
      </w:r>
      <w:r w:rsidRPr="008E0174">
        <w:rPr>
          <w:rFonts w:cs="Times New Roman"/>
          <w:sz w:val="22"/>
          <w:lang w:val="en-ZW"/>
        </w:rPr>
        <w:t xml:space="preserve">Court, without the leave of that judge or, if that has been refused, without the leave of a judge </w:t>
      </w:r>
    </w:p>
    <w:p w14:paraId="0A13E1ED" w14:textId="0BEE4F98" w:rsidR="008E0174" w:rsidRPr="008E0174" w:rsidRDefault="008E0174" w:rsidP="008E0174">
      <w:pPr>
        <w:pStyle w:val="ListParagraph"/>
        <w:spacing w:line="240" w:lineRule="auto"/>
        <w:rPr>
          <w:rFonts w:cs="Times New Roman"/>
          <w:sz w:val="22"/>
          <w:lang w:val="en-ZW"/>
        </w:rPr>
      </w:pPr>
      <w:r>
        <w:rPr>
          <w:rFonts w:cs="Times New Roman"/>
          <w:sz w:val="22"/>
          <w:lang w:val="en-ZW"/>
        </w:rPr>
        <w:t xml:space="preserve">       </w:t>
      </w:r>
      <w:r w:rsidRPr="008E0174">
        <w:rPr>
          <w:rFonts w:cs="Times New Roman"/>
          <w:sz w:val="22"/>
          <w:lang w:val="en-ZW"/>
        </w:rPr>
        <w:t>of the Supreme Court, except in the following cases—</w:t>
      </w:r>
    </w:p>
    <w:p w14:paraId="37CEE7D6" w14:textId="77777777" w:rsidR="008E0174" w:rsidRPr="008E0174" w:rsidRDefault="008E0174" w:rsidP="008E0174">
      <w:pPr>
        <w:pStyle w:val="ListParagraph"/>
        <w:spacing w:line="240" w:lineRule="auto"/>
        <w:ind w:left="938"/>
        <w:rPr>
          <w:rFonts w:cs="Times New Roman"/>
          <w:sz w:val="22"/>
          <w:lang w:val="en-ZW"/>
        </w:rPr>
      </w:pPr>
      <w:r w:rsidRPr="008E0174">
        <w:rPr>
          <w:rFonts w:cs="Times New Roman"/>
          <w:sz w:val="22"/>
          <w:lang w:val="en-ZW"/>
        </w:rPr>
        <w:t>(i) where the liberty of the subject or the custody of minors is concerned;</w:t>
      </w:r>
    </w:p>
    <w:p w14:paraId="17A0D310" w14:textId="77777777" w:rsidR="008E0174" w:rsidRPr="008E0174" w:rsidRDefault="008E0174" w:rsidP="008E0174">
      <w:pPr>
        <w:pStyle w:val="ListParagraph"/>
        <w:spacing w:line="240" w:lineRule="auto"/>
        <w:ind w:left="938"/>
        <w:rPr>
          <w:rFonts w:cs="Times New Roman"/>
          <w:sz w:val="22"/>
          <w:lang w:val="en-ZW"/>
        </w:rPr>
      </w:pPr>
      <w:r w:rsidRPr="008E0174">
        <w:rPr>
          <w:rFonts w:cs="Times New Roman"/>
          <w:sz w:val="22"/>
          <w:lang w:val="en-ZW"/>
        </w:rPr>
        <w:t>(ii) where an interdict is granted or refused;</w:t>
      </w:r>
    </w:p>
    <w:p w14:paraId="41852B84" w14:textId="38F8FF5B" w:rsidR="00CA2CDB" w:rsidRDefault="008E0174" w:rsidP="008E0174">
      <w:pPr>
        <w:pStyle w:val="ListParagraph"/>
        <w:spacing w:line="240" w:lineRule="auto"/>
        <w:ind w:left="938"/>
        <w:rPr>
          <w:rFonts w:cs="Times New Roman"/>
          <w:sz w:val="22"/>
          <w:lang w:val="en-ZW"/>
        </w:rPr>
      </w:pPr>
      <w:r w:rsidRPr="008E0174">
        <w:rPr>
          <w:rFonts w:cs="Times New Roman"/>
          <w:sz w:val="22"/>
          <w:lang w:val="en-ZW"/>
        </w:rPr>
        <w:t>(iii) in the case of an order on a special case stated under any law relating to arbitration.</w:t>
      </w:r>
      <w:r>
        <w:rPr>
          <w:rFonts w:cs="Times New Roman"/>
          <w:sz w:val="22"/>
          <w:lang w:val="en-ZW"/>
        </w:rPr>
        <w:t>”</w:t>
      </w:r>
    </w:p>
    <w:p w14:paraId="5F9CE646" w14:textId="77777777" w:rsidR="001449D2" w:rsidRPr="008E0174" w:rsidRDefault="001449D2" w:rsidP="008E0174">
      <w:pPr>
        <w:pStyle w:val="ListParagraph"/>
        <w:spacing w:line="240" w:lineRule="auto"/>
        <w:ind w:left="938"/>
        <w:rPr>
          <w:rFonts w:cs="Times New Roman"/>
          <w:sz w:val="22"/>
        </w:rPr>
      </w:pPr>
    </w:p>
    <w:p w14:paraId="20AF3435" w14:textId="684254C6" w:rsidR="001449D2" w:rsidRPr="001449D2" w:rsidRDefault="001449D2" w:rsidP="001449D2">
      <w:pPr>
        <w:pStyle w:val="ListParagraph"/>
        <w:numPr>
          <w:ilvl w:val="0"/>
          <w:numId w:val="5"/>
        </w:numPr>
        <w:rPr>
          <w:rFonts w:cs="Times New Roman"/>
          <w:szCs w:val="24"/>
        </w:rPr>
      </w:pPr>
      <w:r>
        <w:rPr>
          <w:rFonts w:cs="Times New Roman"/>
          <w:szCs w:val="24"/>
        </w:rPr>
        <w:t>The matter under discussion involves an interlocutory order. As to the meaning of an interlocutory order, t</w:t>
      </w:r>
      <w:r w:rsidR="00336654" w:rsidRPr="001449D2">
        <w:rPr>
          <w:rFonts w:cs="Times New Roman"/>
          <w:szCs w:val="24"/>
        </w:rPr>
        <w:t>he Supreme Court</w:t>
      </w:r>
      <w:r w:rsidR="00EF58D4">
        <w:rPr>
          <w:rFonts w:cs="Times New Roman"/>
          <w:szCs w:val="24"/>
        </w:rPr>
        <w:t>,</w:t>
      </w:r>
      <w:r w:rsidR="00336654" w:rsidRPr="001449D2">
        <w:rPr>
          <w:rFonts w:cs="Times New Roman"/>
          <w:szCs w:val="24"/>
        </w:rPr>
        <w:t xml:space="preserve"> in </w:t>
      </w:r>
      <w:r w:rsidR="00336654" w:rsidRPr="001449D2">
        <w:rPr>
          <w:rFonts w:cs="Times New Roman"/>
          <w:i/>
          <w:iCs/>
          <w:szCs w:val="24"/>
        </w:rPr>
        <w:t>Al Shams Global BVI Ltd v Deposit Protection Corporation &amp; Ors</w:t>
      </w:r>
      <w:r w:rsidR="00336654" w:rsidRPr="001449D2">
        <w:rPr>
          <w:rFonts w:cs="Times New Roman"/>
          <w:szCs w:val="24"/>
        </w:rPr>
        <w:t xml:space="preserve"> SC52-22</w:t>
      </w:r>
      <w:r w:rsidRPr="001449D2">
        <w:rPr>
          <w:rFonts w:cs="Times New Roman"/>
          <w:szCs w:val="24"/>
        </w:rPr>
        <w:t xml:space="preserve"> </w:t>
      </w:r>
      <w:r>
        <w:rPr>
          <w:rFonts w:cs="Times New Roman"/>
          <w:szCs w:val="24"/>
        </w:rPr>
        <w:t>at p10-11</w:t>
      </w:r>
      <w:r w:rsidR="00EF58D4">
        <w:rPr>
          <w:rFonts w:cs="Times New Roman"/>
          <w:szCs w:val="24"/>
        </w:rPr>
        <w:t>,</w:t>
      </w:r>
      <w:r>
        <w:rPr>
          <w:rFonts w:cs="Times New Roman"/>
          <w:szCs w:val="24"/>
        </w:rPr>
        <w:t xml:space="preserve"> </w:t>
      </w:r>
      <w:r w:rsidRPr="001449D2">
        <w:rPr>
          <w:rFonts w:cs="Times New Roman"/>
          <w:szCs w:val="24"/>
        </w:rPr>
        <w:t>pointed out that:</w:t>
      </w:r>
    </w:p>
    <w:p w14:paraId="00A71EFD" w14:textId="5D84E348" w:rsidR="001449D2" w:rsidRPr="001449D2" w:rsidRDefault="001449D2" w:rsidP="001449D2">
      <w:pPr>
        <w:spacing w:after="200" w:line="240" w:lineRule="auto"/>
        <w:ind w:left="720"/>
        <w:rPr>
          <w:rFonts w:eastAsia="Calibri" w:cs="Times New Roman"/>
          <w:sz w:val="22"/>
          <w:lang w:val="en-US"/>
        </w:rPr>
      </w:pPr>
      <w:r>
        <w:rPr>
          <w:rFonts w:eastAsia="Calibri" w:cs="Times New Roman"/>
          <w:sz w:val="22"/>
          <w:lang w:val="en-US"/>
        </w:rPr>
        <w:t>“</w:t>
      </w:r>
      <w:r w:rsidRPr="001449D2">
        <w:rPr>
          <w:rFonts w:eastAsia="Calibri" w:cs="Times New Roman"/>
          <w:sz w:val="22"/>
          <w:lang w:val="en-US"/>
        </w:rPr>
        <w:t xml:space="preserve">There is little doubt that the phrase “interlocutory order” is one that has vexed the legal mind for a considerably long time.  Its definition has eluded the courts but there is a very helpful discussion of it by </w:t>
      </w:r>
      <w:r w:rsidRPr="001449D2">
        <w:rPr>
          <w:rFonts w:cs="Times New Roman"/>
          <w:smallCaps/>
          <w:sz w:val="22"/>
          <w:lang w:val="en-US"/>
        </w:rPr>
        <w:t>Devittie</w:t>
      </w:r>
      <w:r w:rsidRPr="001449D2">
        <w:rPr>
          <w:rFonts w:cs="Times New Roman"/>
          <w:smallCaps/>
          <w:sz w:val="22"/>
        </w:rPr>
        <w:t xml:space="preserve"> J</w:t>
      </w:r>
      <w:r w:rsidRPr="001449D2">
        <w:rPr>
          <w:rFonts w:eastAsia="Calibri" w:cs="Times New Roman"/>
          <w:sz w:val="22"/>
          <w:lang w:val="en-US"/>
        </w:rPr>
        <w:t xml:space="preserve"> in </w:t>
      </w:r>
      <w:r w:rsidRPr="001449D2">
        <w:rPr>
          <w:rFonts w:eastAsia="Calibri" w:cs="Times New Roman"/>
          <w:i/>
          <w:sz w:val="22"/>
          <w:lang w:val="en-US"/>
        </w:rPr>
        <w:t>Mwatsaka v</w:t>
      </w:r>
      <w:r w:rsidRPr="001449D2">
        <w:rPr>
          <w:rFonts w:eastAsia="Calibri" w:cs="Times New Roman"/>
          <w:sz w:val="22"/>
          <w:lang w:val="en-US"/>
        </w:rPr>
        <w:t xml:space="preserve"> </w:t>
      </w:r>
      <w:r w:rsidRPr="001449D2">
        <w:rPr>
          <w:rFonts w:eastAsia="Calibri" w:cs="Times New Roman"/>
          <w:i/>
          <w:sz w:val="22"/>
          <w:lang w:val="en-US"/>
        </w:rPr>
        <w:t xml:space="preserve">ILC Zimbabwe </w:t>
      </w:r>
      <w:r w:rsidRPr="001449D2">
        <w:rPr>
          <w:rFonts w:eastAsia="Calibri" w:cs="Times New Roman"/>
          <w:sz w:val="22"/>
          <w:lang w:val="en-US"/>
        </w:rPr>
        <w:t>1998 (1) ZLR 1(H) where the learned Judge reviewed a number of authorities discussing the phrase “interlocutory orders.”</w:t>
      </w:r>
    </w:p>
    <w:p w14:paraId="265C85B6" w14:textId="3F454968" w:rsidR="001449D2" w:rsidRPr="001449D2" w:rsidRDefault="001449D2" w:rsidP="001449D2">
      <w:pPr>
        <w:spacing w:after="0" w:line="240" w:lineRule="auto"/>
        <w:ind w:left="720"/>
        <w:rPr>
          <w:rFonts w:eastAsia="Calibri" w:cs="Times New Roman"/>
          <w:sz w:val="22"/>
          <w:lang w:val="en-US"/>
        </w:rPr>
      </w:pPr>
      <w:r w:rsidRPr="001449D2">
        <w:rPr>
          <w:rFonts w:eastAsia="Calibri" w:cs="Times New Roman"/>
          <w:sz w:val="22"/>
          <w:lang w:val="en-US"/>
        </w:rPr>
        <w:t xml:space="preserve">He referred to the reasoning of </w:t>
      </w:r>
      <w:r w:rsidRPr="001449D2">
        <w:rPr>
          <w:rFonts w:cs="Times New Roman"/>
          <w:smallCaps/>
          <w:sz w:val="22"/>
        </w:rPr>
        <w:t>Corbett J</w:t>
      </w:r>
      <w:r w:rsidRPr="001449D2">
        <w:rPr>
          <w:rFonts w:eastAsia="Calibri" w:cs="Times New Roman"/>
          <w:sz w:val="22"/>
        </w:rPr>
        <w:t xml:space="preserve">A </w:t>
      </w:r>
      <w:r w:rsidRPr="001449D2">
        <w:rPr>
          <w:rFonts w:eastAsia="Calibri" w:cs="Times New Roman"/>
          <w:sz w:val="22"/>
          <w:lang w:val="en-US"/>
        </w:rPr>
        <w:t xml:space="preserve">(as he then was) in </w:t>
      </w:r>
      <w:r w:rsidRPr="001449D2">
        <w:rPr>
          <w:rFonts w:eastAsia="Calibri" w:cs="Times New Roman"/>
          <w:i/>
          <w:sz w:val="22"/>
          <w:lang w:val="en-US"/>
        </w:rPr>
        <w:t>South Cape Corp</w:t>
      </w:r>
      <w:r w:rsidRPr="001449D2">
        <w:rPr>
          <w:rFonts w:eastAsia="Calibri" w:cs="Times New Roman"/>
          <w:sz w:val="22"/>
          <w:lang w:val="en-US"/>
        </w:rPr>
        <w:t xml:space="preserve"> v </w:t>
      </w:r>
      <w:r w:rsidRPr="001449D2">
        <w:rPr>
          <w:rFonts w:eastAsia="Calibri" w:cs="Times New Roman"/>
          <w:i/>
          <w:sz w:val="22"/>
          <w:lang w:val="en-US"/>
        </w:rPr>
        <w:t>Engineering Management Services</w:t>
      </w:r>
      <w:r w:rsidRPr="001449D2">
        <w:rPr>
          <w:rFonts w:eastAsia="Calibri" w:cs="Times New Roman"/>
          <w:sz w:val="22"/>
          <w:lang w:val="en-US"/>
        </w:rPr>
        <w:t xml:space="preserve"> 1977(3) SA 534 (A) at 549 where the court remarked:</w:t>
      </w:r>
    </w:p>
    <w:p w14:paraId="46825AA1" w14:textId="353D9D53" w:rsidR="001449D2" w:rsidRPr="001449D2" w:rsidRDefault="001449D2" w:rsidP="001449D2">
      <w:pPr>
        <w:spacing w:after="200" w:line="240" w:lineRule="auto"/>
        <w:ind w:left="1287"/>
        <w:rPr>
          <w:rFonts w:eastAsia="Calibri" w:cs="Times New Roman"/>
          <w:sz w:val="20"/>
          <w:szCs w:val="20"/>
          <w:lang w:val="en-US"/>
        </w:rPr>
      </w:pPr>
      <w:r w:rsidRPr="001449D2">
        <w:rPr>
          <w:rFonts w:eastAsia="Calibri" w:cs="Times New Roman"/>
          <w:sz w:val="20"/>
          <w:szCs w:val="20"/>
          <w:lang w:val="en-US"/>
        </w:rPr>
        <w:t>“I think, nevertheless, the general effect of this series of decisions, together with consistent judgments of other courts, may be summarized as follows:</w:t>
      </w:r>
    </w:p>
    <w:p w14:paraId="11DBAAB8" w14:textId="63015319" w:rsidR="001449D2" w:rsidRPr="001449D2" w:rsidRDefault="001449D2" w:rsidP="001449D2">
      <w:pPr>
        <w:numPr>
          <w:ilvl w:val="0"/>
          <w:numId w:val="48"/>
        </w:numPr>
        <w:spacing w:after="200" w:line="240" w:lineRule="auto"/>
        <w:ind w:left="2280" w:hanging="284"/>
        <w:contextualSpacing/>
        <w:jc w:val="left"/>
        <w:rPr>
          <w:rFonts w:eastAsia="Calibri" w:cs="Times New Roman"/>
          <w:sz w:val="20"/>
          <w:szCs w:val="20"/>
          <w:lang w:val="en-US"/>
        </w:rPr>
      </w:pPr>
      <w:r w:rsidRPr="001449D2">
        <w:rPr>
          <w:rFonts w:eastAsia="Calibri" w:cs="Times New Roman"/>
          <w:sz w:val="20"/>
          <w:szCs w:val="20"/>
          <w:lang w:val="en-US"/>
        </w:rPr>
        <w:t xml:space="preserve"> In </w:t>
      </w:r>
      <w:r>
        <w:rPr>
          <w:rFonts w:eastAsia="Calibri" w:cs="Times New Roman"/>
          <w:sz w:val="20"/>
          <w:szCs w:val="20"/>
          <w:lang w:val="en-US"/>
        </w:rPr>
        <w:t xml:space="preserve">a </w:t>
      </w:r>
      <w:r w:rsidRPr="001449D2">
        <w:rPr>
          <w:rFonts w:eastAsia="Calibri" w:cs="Times New Roman"/>
          <w:sz w:val="20"/>
          <w:szCs w:val="20"/>
          <w:lang w:val="en-US"/>
        </w:rPr>
        <w:t>wide and general sense, the term</w:t>
      </w:r>
      <w:r>
        <w:rPr>
          <w:rFonts w:eastAsia="Calibri" w:cs="Times New Roman"/>
          <w:sz w:val="20"/>
          <w:szCs w:val="20"/>
          <w:lang w:val="en-US"/>
        </w:rPr>
        <w:t xml:space="preserve"> </w:t>
      </w:r>
      <w:r w:rsidRPr="001449D2">
        <w:rPr>
          <w:rFonts w:eastAsia="Calibri" w:cs="Times New Roman"/>
          <w:sz w:val="20"/>
          <w:szCs w:val="20"/>
          <w:lang w:val="en-US"/>
        </w:rPr>
        <w:t xml:space="preserve">‘interlocutory’ refers to all orders  </w:t>
      </w:r>
    </w:p>
    <w:p w14:paraId="333116EE" w14:textId="77777777" w:rsidR="001449D2" w:rsidRPr="001449D2" w:rsidRDefault="001449D2" w:rsidP="001449D2">
      <w:pPr>
        <w:spacing w:after="200" w:line="240" w:lineRule="auto"/>
        <w:ind w:left="2280"/>
        <w:contextualSpacing/>
        <w:rPr>
          <w:rFonts w:eastAsia="Calibri" w:cs="Times New Roman"/>
          <w:sz w:val="20"/>
          <w:szCs w:val="20"/>
          <w:lang w:val="en-US"/>
        </w:rPr>
      </w:pPr>
      <w:r w:rsidRPr="001449D2">
        <w:rPr>
          <w:rFonts w:eastAsia="Calibri" w:cs="Times New Roman"/>
          <w:sz w:val="20"/>
          <w:szCs w:val="20"/>
          <w:lang w:val="en-US"/>
        </w:rPr>
        <w:t xml:space="preserve"> pronounced by the court, upon matters incidental to the main dispute,  </w:t>
      </w:r>
    </w:p>
    <w:p w14:paraId="7D498A3D" w14:textId="2230D857" w:rsidR="001449D2" w:rsidRPr="001449D2" w:rsidRDefault="001449D2" w:rsidP="001449D2">
      <w:pPr>
        <w:tabs>
          <w:tab w:val="left" w:pos="1843"/>
        </w:tabs>
        <w:spacing w:after="200" w:line="240" w:lineRule="auto"/>
        <w:ind w:left="1440"/>
        <w:contextualSpacing/>
        <w:rPr>
          <w:rFonts w:eastAsia="Calibri" w:cs="Times New Roman"/>
          <w:sz w:val="20"/>
          <w:szCs w:val="20"/>
          <w:lang w:val="en-US"/>
        </w:rPr>
      </w:pPr>
      <w:r w:rsidRPr="001449D2">
        <w:rPr>
          <w:rFonts w:eastAsia="Calibri" w:cs="Times New Roman"/>
          <w:sz w:val="20"/>
          <w:szCs w:val="20"/>
          <w:lang w:val="en-US"/>
        </w:rPr>
        <w:t xml:space="preserve">               </w:t>
      </w:r>
      <w:r>
        <w:rPr>
          <w:rFonts w:eastAsia="Calibri" w:cs="Times New Roman"/>
          <w:sz w:val="20"/>
          <w:szCs w:val="20"/>
          <w:lang w:val="en-US"/>
        </w:rPr>
        <w:t xml:space="preserve">   </w:t>
      </w:r>
      <w:r w:rsidRPr="001449D2">
        <w:rPr>
          <w:rFonts w:eastAsia="Calibri" w:cs="Times New Roman"/>
          <w:sz w:val="20"/>
          <w:szCs w:val="20"/>
          <w:lang w:val="en-US"/>
        </w:rPr>
        <w:t xml:space="preserve">preparatory to, or during the progress of, the litigation.  But orders of this kind </w:t>
      </w:r>
    </w:p>
    <w:p w14:paraId="094947F1" w14:textId="5B83446A" w:rsidR="001449D2" w:rsidRPr="001449D2" w:rsidRDefault="001449D2" w:rsidP="001449D2">
      <w:pPr>
        <w:tabs>
          <w:tab w:val="left" w:pos="1843"/>
        </w:tabs>
        <w:spacing w:after="200" w:line="240" w:lineRule="auto"/>
        <w:ind w:left="1440"/>
        <w:contextualSpacing/>
        <w:rPr>
          <w:rFonts w:eastAsia="Calibri" w:cs="Times New Roman"/>
          <w:sz w:val="20"/>
          <w:szCs w:val="20"/>
          <w:lang w:val="en-US"/>
        </w:rPr>
      </w:pPr>
      <w:r w:rsidRPr="001449D2">
        <w:rPr>
          <w:rFonts w:eastAsia="Calibri" w:cs="Times New Roman"/>
          <w:sz w:val="20"/>
          <w:szCs w:val="20"/>
          <w:lang w:val="en-US"/>
        </w:rPr>
        <w:t xml:space="preserve">              </w:t>
      </w:r>
      <w:r>
        <w:rPr>
          <w:rFonts w:eastAsia="Calibri" w:cs="Times New Roman"/>
          <w:sz w:val="20"/>
          <w:szCs w:val="20"/>
          <w:lang w:val="en-US"/>
        </w:rPr>
        <w:t xml:space="preserve">   </w:t>
      </w:r>
      <w:r w:rsidRPr="001449D2">
        <w:rPr>
          <w:rFonts w:eastAsia="Calibri" w:cs="Times New Roman"/>
          <w:sz w:val="20"/>
          <w:szCs w:val="20"/>
          <w:lang w:val="en-US"/>
        </w:rPr>
        <w:t xml:space="preserve"> are divided into two classes:</w:t>
      </w:r>
    </w:p>
    <w:p w14:paraId="5B598CBD" w14:textId="3BC0EE9B" w:rsidR="001449D2" w:rsidRPr="001449D2" w:rsidRDefault="001449D2" w:rsidP="001449D2">
      <w:pPr>
        <w:numPr>
          <w:ilvl w:val="0"/>
          <w:numId w:val="49"/>
        </w:numPr>
        <w:spacing w:after="200" w:line="240" w:lineRule="auto"/>
        <w:ind w:left="2846" w:hanging="425"/>
        <w:contextualSpacing/>
        <w:jc w:val="left"/>
        <w:rPr>
          <w:rFonts w:eastAsia="Calibri" w:cs="Times New Roman"/>
          <w:sz w:val="20"/>
          <w:szCs w:val="20"/>
          <w:lang w:val="en-US"/>
        </w:rPr>
      </w:pPr>
      <w:r w:rsidRPr="001449D2">
        <w:rPr>
          <w:rFonts w:eastAsia="Calibri" w:cs="Times New Roman"/>
          <w:sz w:val="20"/>
          <w:szCs w:val="20"/>
          <w:lang w:val="en-US"/>
        </w:rPr>
        <w:t>Those which have a final and definitive effect on the main action</w:t>
      </w:r>
      <w:r>
        <w:rPr>
          <w:rFonts w:eastAsia="Calibri" w:cs="Times New Roman"/>
          <w:sz w:val="20"/>
          <w:szCs w:val="20"/>
          <w:lang w:val="en-US"/>
        </w:rPr>
        <w:t>;</w:t>
      </w:r>
      <w:r w:rsidRPr="001449D2">
        <w:rPr>
          <w:rFonts w:eastAsia="Calibri" w:cs="Times New Roman"/>
          <w:sz w:val="20"/>
          <w:szCs w:val="20"/>
          <w:lang w:val="en-US"/>
        </w:rPr>
        <w:t xml:space="preserve"> and </w:t>
      </w:r>
    </w:p>
    <w:p w14:paraId="1579249A" w14:textId="402E1044" w:rsidR="001449D2" w:rsidRPr="001449D2" w:rsidRDefault="001449D2" w:rsidP="001449D2">
      <w:pPr>
        <w:numPr>
          <w:ilvl w:val="0"/>
          <w:numId w:val="49"/>
        </w:numPr>
        <w:tabs>
          <w:tab w:val="left" w:pos="1985"/>
        </w:tabs>
        <w:spacing w:after="200" w:line="240" w:lineRule="auto"/>
        <w:ind w:left="2562" w:hanging="141"/>
        <w:contextualSpacing/>
        <w:jc w:val="left"/>
        <w:rPr>
          <w:rFonts w:eastAsia="Calibri" w:cs="Times New Roman"/>
          <w:sz w:val="20"/>
          <w:szCs w:val="20"/>
          <w:lang w:val="en-US"/>
        </w:rPr>
      </w:pPr>
      <w:r>
        <w:rPr>
          <w:rFonts w:eastAsia="Calibri" w:cs="Times New Roman"/>
          <w:sz w:val="20"/>
          <w:szCs w:val="20"/>
          <w:lang w:val="en-US"/>
        </w:rPr>
        <w:t>t</w:t>
      </w:r>
      <w:r w:rsidRPr="001449D2">
        <w:rPr>
          <w:rFonts w:eastAsia="Calibri" w:cs="Times New Roman"/>
          <w:sz w:val="20"/>
          <w:szCs w:val="20"/>
          <w:lang w:val="en-US"/>
        </w:rPr>
        <w:t xml:space="preserve">hose known as simple (or purely) interlocutory orders proper, or </w:t>
      </w:r>
    </w:p>
    <w:p w14:paraId="637DD7AC" w14:textId="77777777" w:rsidR="001449D2" w:rsidRPr="001449D2" w:rsidRDefault="001449D2" w:rsidP="001449D2">
      <w:pPr>
        <w:tabs>
          <w:tab w:val="left" w:pos="1985"/>
        </w:tabs>
        <w:spacing w:after="200" w:line="240" w:lineRule="auto"/>
        <w:ind w:left="2846"/>
        <w:contextualSpacing/>
        <w:rPr>
          <w:rFonts w:eastAsia="Calibri" w:cs="Times New Roman"/>
          <w:sz w:val="20"/>
          <w:szCs w:val="20"/>
          <w:lang w:val="en-US"/>
        </w:rPr>
      </w:pPr>
      <w:r w:rsidRPr="001449D2">
        <w:rPr>
          <w:rFonts w:eastAsia="Calibri" w:cs="Times New Roman"/>
          <w:sz w:val="20"/>
          <w:szCs w:val="20"/>
          <w:lang w:val="en-US"/>
        </w:rPr>
        <w:t xml:space="preserve">‘interlocutory orders proper’ which do not (see generally </w:t>
      </w:r>
      <w:r w:rsidRPr="001449D2">
        <w:rPr>
          <w:rFonts w:eastAsia="Calibri" w:cs="Times New Roman"/>
          <w:i/>
          <w:sz w:val="20"/>
          <w:szCs w:val="20"/>
          <w:lang w:val="en-US"/>
        </w:rPr>
        <w:t>Bell v Bell</w:t>
      </w:r>
      <w:r w:rsidRPr="001449D2">
        <w:rPr>
          <w:rFonts w:eastAsia="Calibri" w:cs="Times New Roman"/>
          <w:sz w:val="20"/>
          <w:szCs w:val="20"/>
          <w:lang w:val="en-US"/>
        </w:rPr>
        <w:t xml:space="preserve"> 1908 T S 887 at p 890, </w:t>
      </w:r>
      <w:r w:rsidRPr="001449D2">
        <w:rPr>
          <w:rFonts w:eastAsia="Calibri" w:cs="Times New Roman"/>
          <w:i/>
          <w:sz w:val="20"/>
          <w:szCs w:val="20"/>
          <w:lang w:val="en-US"/>
        </w:rPr>
        <w:t>Steytler NO. v Fitzgerald supra</w:t>
      </w:r>
      <w:r w:rsidRPr="001449D2">
        <w:rPr>
          <w:rFonts w:eastAsia="Calibri" w:cs="Times New Roman"/>
          <w:sz w:val="20"/>
          <w:szCs w:val="20"/>
          <w:lang w:val="en-US"/>
        </w:rPr>
        <w:t xml:space="preserve"> at pp 303, 311, 325-6, 342, </w:t>
      </w:r>
      <w:r w:rsidRPr="001449D2">
        <w:rPr>
          <w:rFonts w:eastAsia="Calibri" w:cs="Times New Roman"/>
          <w:i/>
          <w:sz w:val="20"/>
          <w:szCs w:val="20"/>
          <w:lang w:val="en-US"/>
        </w:rPr>
        <w:t>Globe &amp; Phoenix Gold</w:t>
      </w:r>
      <w:r w:rsidRPr="001449D2">
        <w:rPr>
          <w:rFonts w:eastAsia="Calibri" w:cs="Times New Roman"/>
          <w:sz w:val="20"/>
          <w:szCs w:val="20"/>
          <w:lang w:val="en-US"/>
        </w:rPr>
        <w:t xml:space="preserve"> </w:t>
      </w:r>
      <w:r w:rsidRPr="001449D2">
        <w:rPr>
          <w:rFonts w:eastAsia="Calibri" w:cs="Times New Roman"/>
          <w:i/>
          <w:sz w:val="20"/>
          <w:szCs w:val="20"/>
          <w:lang w:val="en-US"/>
        </w:rPr>
        <w:t>Mining Co. Limited vs Rhodesian Corp Ltd</w:t>
      </w:r>
      <w:r w:rsidRPr="001449D2">
        <w:rPr>
          <w:rFonts w:eastAsia="Calibri" w:cs="Times New Roman"/>
          <w:sz w:val="20"/>
          <w:szCs w:val="20"/>
          <w:lang w:val="en-US"/>
        </w:rPr>
        <w:t xml:space="preserve"> 1932 AD 146 at pp153).”</w:t>
      </w:r>
    </w:p>
    <w:p w14:paraId="6DC7D65F" w14:textId="77777777" w:rsidR="001449D2" w:rsidRPr="001449D2" w:rsidRDefault="001449D2" w:rsidP="001449D2">
      <w:pPr>
        <w:spacing w:after="200" w:line="240" w:lineRule="auto"/>
        <w:ind w:left="2562"/>
        <w:contextualSpacing/>
        <w:rPr>
          <w:rFonts w:eastAsia="Calibri" w:cs="Times New Roman"/>
          <w:sz w:val="20"/>
          <w:szCs w:val="20"/>
          <w:lang w:val="en-US"/>
        </w:rPr>
      </w:pPr>
    </w:p>
    <w:p w14:paraId="34F53453" w14:textId="1986312B" w:rsidR="001449D2" w:rsidRPr="00FC3051" w:rsidRDefault="001449D2" w:rsidP="00FC3051">
      <w:pPr>
        <w:spacing w:after="200" w:line="240" w:lineRule="auto"/>
        <w:ind w:left="720"/>
        <w:rPr>
          <w:rFonts w:eastAsia="Calibri" w:cs="Times New Roman"/>
          <w:sz w:val="22"/>
          <w:lang w:val="en-US"/>
        </w:rPr>
      </w:pPr>
      <w:r w:rsidRPr="001449D2">
        <w:rPr>
          <w:rFonts w:eastAsia="Calibri" w:cs="Times New Roman"/>
          <w:sz w:val="22"/>
          <w:lang w:val="en-US"/>
        </w:rPr>
        <w:t xml:space="preserve">The court went on at p 8 C, relying on the authority of the </w:t>
      </w:r>
      <w:r w:rsidRPr="001449D2">
        <w:rPr>
          <w:rFonts w:eastAsia="Calibri" w:cs="Times New Roman"/>
          <w:i/>
          <w:sz w:val="22"/>
          <w:lang w:val="en-US"/>
        </w:rPr>
        <w:t>Pretoria Garrison</w:t>
      </w:r>
      <w:r w:rsidR="00FC3051">
        <w:rPr>
          <w:rStyle w:val="FootnoteReference"/>
          <w:rFonts w:eastAsia="Calibri" w:cs="Times New Roman"/>
          <w:i/>
          <w:sz w:val="22"/>
          <w:lang w:val="en-US"/>
        </w:rPr>
        <w:footnoteReference w:id="1"/>
      </w:r>
      <w:r w:rsidR="00FC3051">
        <w:rPr>
          <w:rFonts w:eastAsia="Calibri" w:cs="Times New Roman"/>
          <w:i/>
          <w:sz w:val="22"/>
          <w:lang w:val="en-US"/>
        </w:rPr>
        <w:t xml:space="preserve"> </w:t>
      </w:r>
      <w:r w:rsidRPr="001449D2">
        <w:rPr>
          <w:rFonts w:eastAsia="Calibri" w:cs="Times New Roman"/>
          <w:sz w:val="22"/>
          <w:lang w:val="en-US"/>
        </w:rPr>
        <w:t xml:space="preserve">case, </w:t>
      </w:r>
      <w:r w:rsidRPr="001449D2">
        <w:rPr>
          <w:rFonts w:eastAsia="Calibri" w:cs="Times New Roman"/>
          <w:i/>
          <w:sz w:val="22"/>
          <w:lang w:val="en-US"/>
        </w:rPr>
        <w:t>supra</w:t>
      </w:r>
      <w:r w:rsidRPr="001449D2">
        <w:rPr>
          <w:rFonts w:eastAsia="Calibri" w:cs="Times New Roman"/>
          <w:sz w:val="22"/>
          <w:lang w:val="en-US"/>
        </w:rPr>
        <w:t xml:space="preserve">, </w:t>
      </w:r>
      <w:r w:rsidRPr="001449D2">
        <w:rPr>
          <w:rFonts w:eastAsia="Calibri" w:cs="Times New Roman"/>
          <w:i/>
          <w:iCs/>
          <w:sz w:val="22"/>
          <w:lang w:val="en-US"/>
        </w:rPr>
        <w:t>to make the point that the test as to whether an interlocutory order is one which is preparatory or procedural and therefore not appealable unless it is such that it disposes of any of the issues or any portion of the issue in the main action or suit or it irreparably anticipates or precludes some of the relief which would or might be given at the hearing</w:t>
      </w:r>
      <w:r w:rsidRPr="001449D2">
        <w:rPr>
          <w:rFonts w:eastAsia="Calibri" w:cs="Times New Roman"/>
          <w:sz w:val="22"/>
          <w:lang w:val="en-US"/>
        </w:rPr>
        <w:t>.</w:t>
      </w:r>
      <w:r w:rsidR="00FC3051">
        <w:rPr>
          <w:rFonts w:eastAsia="Calibri" w:cs="Times New Roman"/>
          <w:sz w:val="22"/>
          <w:lang w:val="en-US"/>
        </w:rPr>
        <w:t>”</w:t>
      </w:r>
      <w:r w:rsidR="003277C9">
        <w:rPr>
          <w:rFonts w:eastAsia="Calibri" w:cs="Times New Roman"/>
          <w:sz w:val="22"/>
          <w:lang w:val="en-US"/>
        </w:rPr>
        <w:t xml:space="preserve"> [Emphasis added]</w:t>
      </w:r>
    </w:p>
    <w:p w14:paraId="07AA72D5" w14:textId="37B88570" w:rsidR="00D27E92" w:rsidRPr="00ED472C" w:rsidRDefault="003277C9" w:rsidP="001449D2">
      <w:pPr>
        <w:pStyle w:val="ListParagraph"/>
        <w:numPr>
          <w:ilvl w:val="0"/>
          <w:numId w:val="5"/>
        </w:numPr>
        <w:rPr>
          <w:rFonts w:cs="Times New Roman"/>
          <w:b/>
          <w:szCs w:val="24"/>
          <w:lang w:val="en-US"/>
        </w:rPr>
      </w:pPr>
      <w:r>
        <w:rPr>
          <w:rFonts w:cs="Times New Roman"/>
          <w:szCs w:val="24"/>
        </w:rPr>
        <w:t xml:space="preserve">Thus, on the authority of </w:t>
      </w:r>
      <w:r w:rsidRPr="001449D2">
        <w:rPr>
          <w:rFonts w:cs="Times New Roman"/>
          <w:i/>
          <w:iCs/>
          <w:szCs w:val="24"/>
        </w:rPr>
        <w:t xml:space="preserve">Al Shams Global BVI Ltd </w:t>
      </w:r>
      <w:r w:rsidRPr="003277C9">
        <w:rPr>
          <w:rFonts w:cs="Times New Roman"/>
          <w:szCs w:val="24"/>
        </w:rPr>
        <w:t>v</w:t>
      </w:r>
      <w:r w:rsidRPr="001449D2">
        <w:rPr>
          <w:rFonts w:cs="Times New Roman"/>
          <w:i/>
          <w:iCs/>
          <w:szCs w:val="24"/>
        </w:rPr>
        <w:t xml:space="preserve"> Deposit Protection Corporation &amp; Ors</w:t>
      </w:r>
      <w:r w:rsidRPr="001449D2">
        <w:rPr>
          <w:rFonts w:cs="Times New Roman"/>
          <w:szCs w:val="24"/>
        </w:rPr>
        <w:t xml:space="preserve"> </w:t>
      </w:r>
      <w:r w:rsidRPr="003277C9">
        <w:rPr>
          <w:rFonts w:cs="Times New Roman"/>
          <w:i/>
          <w:iCs/>
          <w:szCs w:val="24"/>
        </w:rPr>
        <w:t>supra</w:t>
      </w:r>
      <w:r>
        <w:rPr>
          <w:rFonts w:cs="Times New Roman"/>
          <w:szCs w:val="24"/>
        </w:rPr>
        <w:t xml:space="preserve"> and </w:t>
      </w:r>
      <w:r w:rsidR="00336654" w:rsidRPr="001449D2">
        <w:rPr>
          <w:rFonts w:cs="Times New Roman"/>
          <w:i/>
          <w:iCs/>
          <w:szCs w:val="24"/>
        </w:rPr>
        <w:t xml:space="preserve">Mwatsaka </w:t>
      </w:r>
      <w:r w:rsidR="00336654" w:rsidRPr="001449D2">
        <w:rPr>
          <w:rFonts w:cs="Times New Roman"/>
          <w:szCs w:val="24"/>
        </w:rPr>
        <w:t>v</w:t>
      </w:r>
      <w:r w:rsidR="00336654" w:rsidRPr="001449D2">
        <w:rPr>
          <w:rFonts w:cs="Times New Roman"/>
          <w:i/>
          <w:iCs/>
          <w:szCs w:val="24"/>
        </w:rPr>
        <w:t xml:space="preserve"> ICL Zimbabwe supra</w:t>
      </w:r>
      <w:r w:rsidR="00FC3051">
        <w:rPr>
          <w:rFonts w:cs="Times New Roman"/>
          <w:i/>
          <w:iCs/>
          <w:szCs w:val="24"/>
        </w:rPr>
        <w:t xml:space="preserve">, </w:t>
      </w:r>
      <w:r w:rsidRPr="003277C9">
        <w:rPr>
          <w:rFonts w:cs="Times New Roman"/>
          <w:szCs w:val="24"/>
        </w:rPr>
        <w:t xml:space="preserve">the position of the law is that where an interlocutory order is preparatory or procedural, it is not appealable. It would be appealable if it disposes of any of the issues or any portion of the issue in the main action. It would </w:t>
      </w:r>
      <w:r w:rsidRPr="003277C9">
        <w:rPr>
          <w:rFonts w:cs="Times New Roman"/>
          <w:szCs w:val="24"/>
        </w:rPr>
        <w:lastRenderedPageBreak/>
        <w:t xml:space="preserve">also be appealable if it irreparably anticipates or precludes some of the relief which would or might be given at the hearing. </w:t>
      </w:r>
      <w:r w:rsidR="00FC3051" w:rsidRPr="003277C9">
        <w:rPr>
          <w:rFonts w:cs="Times New Roman"/>
          <w:szCs w:val="24"/>
        </w:rPr>
        <w:t xml:space="preserve"> </w:t>
      </w:r>
    </w:p>
    <w:p w14:paraId="3EBBDF7D" w14:textId="6B50F20F" w:rsidR="00ED472C" w:rsidRPr="003277C9" w:rsidRDefault="00ED472C" w:rsidP="001449D2">
      <w:pPr>
        <w:pStyle w:val="ListParagraph"/>
        <w:numPr>
          <w:ilvl w:val="0"/>
          <w:numId w:val="5"/>
        </w:numPr>
        <w:rPr>
          <w:rFonts w:cs="Times New Roman"/>
          <w:b/>
          <w:szCs w:val="24"/>
          <w:lang w:val="en-US"/>
        </w:rPr>
      </w:pPr>
      <w:r>
        <w:rPr>
          <w:rFonts w:cs="Times New Roman"/>
          <w:szCs w:val="24"/>
        </w:rPr>
        <w:t xml:space="preserve">The reason for this restriction is clear. It is motivated by the desire to avoid a multiplicity of piecemeal appeals: </w:t>
      </w:r>
      <w:r w:rsidRPr="00ED472C">
        <w:rPr>
          <w:rFonts w:cs="Times New Roman"/>
          <w:i/>
          <w:iCs/>
          <w:szCs w:val="24"/>
        </w:rPr>
        <w:t xml:space="preserve">Mwatsaka </w:t>
      </w:r>
      <w:r w:rsidRPr="00ED472C">
        <w:rPr>
          <w:rFonts w:cs="Times New Roman"/>
          <w:szCs w:val="24"/>
        </w:rPr>
        <w:t>v</w:t>
      </w:r>
      <w:r w:rsidRPr="00ED472C">
        <w:rPr>
          <w:rFonts w:cs="Times New Roman"/>
          <w:i/>
          <w:iCs/>
          <w:szCs w:val="24"/>
        </w:rPr>
        <w:t xml:space="preserve"> ICL Zimbabwe supra</w:t>
      </w:r>
      <w:r>
        <w:rPr>
          <w:rFonts w:cs="Times New Roman"/>
          <w:szCs w:val="24"/>
        </w:rPr>
        <w:t xml:space="preserve"> at </w:t>
      </w:r>
      <w:r w:rsidR="00EF58D4">
        <w:rPr>
          <w:rFonts w:cs="Times New Roman"/>
          <w:szCs w:val="24"/>
        </w:rPr>
        <w:t>p.</w:t>
      </w:r>
      <w:r>
        <w:rPr>
          <w:rFonts w:cs="Times New Roman"/>
          <w:szCs w:val="24"/>
        </w:rPr>
        <w:t xml:space="preserve">13H.  </w:t>
      </w:r>
    </w:p>
    <w:p w14:paraId="297C0F56" w14:textId="591254F9" w:rsidR="00D9205F" w:rsidRDefault="00D9205F" w:rsidP="008E0174">
      <w:pPr>
        <w:pStyle w:val="ListParagraph"/>
        <w:numPr>
          <w:ilvl w:val="0"/>
          <w:numId w:val="5"/>
        </w:numPr>
        <w:rPr>
          <w:rFonts w:cs="Times New Roman"/>
          <w:szCs w:val="24"/>
        </w:rPr>
      </w:pPr>
      <w:r>
        <w:rPr>
          <w:rFonts w:cs="Times New Roman"/>
          <w:szCs w:val="24"/>
        </w:rPr>
        <w:t xml:space="preserve">In </w:t>
      </w:r>
      <w:r w:rsidRPr="00336654">
        <w:rPr>
          <w:rFonts w:cs="Times New Roman"/>
          <w:i/>
          <w:iCs/>
          <w:szCs w:val="24"/>
        </w:rPr>
        <w:t xml:space="preserve">Jesse </w:t>
      </w:r>
      <w:r w:rsidRPr="00336654">
        <w:rPr>
          <w:rFonts w:cs="Times New Roman"/>
          <w:szCs w:val="24"/>
        </w:rPr>
        <w:t>v</w:t>
      </w:r>
      <w:r w:rsidRPr="00336654">
        <w:rPr>
          <w:rFonts w:cs="Times New Roman"/>
          <w:i/>
          <w:iCs/>
          <w:szCs w:val="24"/>
        </w:rPr>
        <w:t xml:space="preserve"> Chioza</w:t>
      </w:r>
      <w:r>
        <w:rPr>
          <w:rFonts w:cs="Times New Roman"/>
          <w:szCs w:val="24"/>
        </w:rPr>
        <w:t xml:space="preserve"> 1996 (1) ZLR 341 (S)</w:t>
      </w:r>
      <w:r w:rsidR="00ED472C">
        <w:rPr>
          <w:rFonts w:cs="Times New Roman"/>
          <w:szCs w:val="24"/>
        </w:rPr>
        <w:t xml:space="preserve">, </w:t>
      </w:r>
      <w:r>
        <w:rPr>
          <w:rFonts w:cs="Times New Roman"/>
          <w:szCs w:val="24"/>
        </w:rPr>
        <w:t xml:space="preserve"> a question arose as to whether the ‘order’ referring a matter to trial for the hearing of oral evi</w:t>
      </w:r>
      <w:r w:rsidR="00336654">
        <w:rPr>
          <w:rFonts w:cs="Times New Roman"/>
          <w:szCs w:val="24"/>
        </w:rPr>
        <w:t>dence amounted to a judgment and was decisive or definitive of the rights of the parties and had the effect of disposing of the whole, or at least a portion of the relief claimed by one of them, or it was a mere ruling which was a direction as to the manner in which the case should proceed. After considering a number of authorities, the court of appeal concluded at p</w:t>
      </w:r>
      <w:r w:rsidR="005F4ED7">
        <w:rPr>
          <w:rFonts w:cs="Times New Roman"/>
          <w:szCs w:val="24"/>
        </w:rPr>
        <w:t>.</w:t>
      </w:r>
      <w:r w:rsidR="00336654">
        <w:rPr>
          <w:rFonts w:cs="Times New Roman"/>
          <w:szCs w:val="24"/>
        </w:rPr>
        <w:t xml:space="preserve">346 E </w:t>
      </w:r>
      <w:r w:rsidR="0055346C">
        <w:rPr>
          <w:rFonts w:cs="Times New Roman"/>
          <w:szCs w:val="24"/>
        </w:rPr>
        <w:t>that: -</w:t>
      </w:r>
    </w:p>
    <w:p w14:paraId="04AA66D3" w14:textId="0E44B9D3" w:rsidR="00336654" w:rsidRDefault="00ED472C" w:rsidP="00336654">
      <w:pPr>
        <w:pStyle w:val="ListParagraph"/>
        <w:spacing w:line="240" w:lineRule="auto"/>
        <w:rPr>
          <w:rFonts w:cs="Times New Roman"/>
          <w:szCs w:val="24"/>
        </w:rPr>
      </w:pPr>
      <w:r>
        <w:rPr>
          <w:rFonts w:cs="Times New Roman"/>
          <w:sz w:val="22"/>
        </w:rPr>
        <w:t>“</w:t>
      </w:r>
      <w:r w:rsidR="00336654" w:rsidRPr="00336654">
        <w:rPr>
          <w:rFonts w:cs="Times New Roman"/>
          <w:sz w:val="22"/>
        </w:rPr>
        <w:t xml:space="preserve">On this well settled expression of the law, with which I respectfully agree, it is clear that the directive given by </w:t>
      </w:r>
      <w:r w:rsidR="00336654" w:rsidRPr="00336654">
        <w:rPr>
          <w:rFonts w:cs="Times New Roman"/>
          <w:smallCaps/>
          <w:sz w:val="22"/>
        </w:rPr>
        <w:t xml:space="preserve">Sandura JP </w:t>
      </w:r>
      <w:r w:rsidR="00336654" w:rsidRPr="00336654">
        <w:rPr>
          <w:rFonts w:cs="Times New Roman"/>
          <w:sz w:val="22"/>
        </w:rPr>
        <w:t>was not a judgment. It did not decide the merits. It was merely a procedural ruling that oral evidence was necessary before the factual disputes could be determined. Consequently, and by virtue of s43 (1) of the (High Court) Act, it was not appealable</w:t>
      </w:r>
      <w:r w:rsidR="00336654">
        <w:rPr>
          <w:rFonts w:cs="Times New Roman"/>
          <w:szCs w:val="24"/>
        </w:rPr>
        <w:t>.</w:t>
      </w:r>
      <w:r>
        <w:rPr>
          <w:rFonts w:cs="Times New Roman"/>
          <w:szCs w:val="24"/>
        </w:rPr>
        <w:t>”</w:t>
      </w:r>
      <w:r w:rsidR="00336654">
        <w:rPr>
          <w:rFonts w:cs="Times New Roman"/>
          <w:szCs w:val="24"/>
        </w:rPr>
        <w:t xml:space="preserve">  </w:t>
      </w:r>
    </w:p>
    <w:p w14:paraId="7C494064" w14:textId="2120F5AB" w:rsidR="00776582" w:rsidRPr="00ED472C" w:rsidRDefault="003277C9" w:rsidP="00776582">
      <w:pPr>
        <w:pStyle w:val="ListParagraph"/>
        <w:numPr>
          <w:ilvl w:val="0"/>
          <w:numId w:val="5"/>
        </w:numPr>
        <w:rPr>
          <w:rFonts w:cs="Times New Roman"/>
          <w:szCs w:val="24"/>
        </w:rPr>
      </w:pPr>
      <w:r>
        <w:rPr>
          <w:rFonts w:cs="Times New Roman"/>
          <w:szCs w:val="24"/>
        </w:rPr>
        <w:t xml:space="preserve">In this matter, Mr </w:t>
      </w:r>
      <w:r w:rsidRPr="00776582">
        <w:rPr>
          <w:rFonts w:cs="Times New Roman"/>
          <w:i/>
          <w:iCs/>
          <w:szCs w:val="24"/>
        </w:rPr>
        <w:t>Madhuku</w:t>
      </w:r>
      <w:r>
        <w:rPr>
          <w:rFonts w:cs="Times New Roman"/>
          <w:szCs w:val="24"/>
        </w:rPr>
        <w:t xml:space="preserve"> argued that as long as an interlocutory order terminates proceedings at that moment, it</w:t>
      </w:r>
      <w:r w:rsidR="00ED472C">
        <w:rPr>
          <w:rFonts w:cs="Times New Roman"/>
          <w:szCs w:val="24"/>
        </w:rPr>
        <w:t xml:space="preserve"> is </w:t>
      </w:r>
      <w:r>
        <w:rPr>
          <w:rFonts w:cs="Times New Roman"/>
          <w:szCs w:val="24"/>
        </w:rPr>
        <w:t xml:space="preserve">appealable. </w:t>
      </w:r>
      <w:r w:rsidR="00ED472C">
        <w:rPr>
          <w:rFonts w:cs="Times New Roman"/>
          <w:szCs w:val="24"/>
        </w:rPr>
        <w:t xml:space="preserve">In light of the authorities I have referred to above, his </w:t>
      </w:r>
      <w:r>
        <w:rPr>
          <w:rFonts w:cs="Times New Roman"/>
          <w:szCs w:val="24"/>
        </w:rPr>
        <w:t xml:space="preserve">argument does not seem to find support in the law. </w:t>
      </w:r>
      <w:r w:rsidR="00ED472C">
        <w:rPr>
          <w:rFonts w:cs="Times New Roman"/>
          <w:szCs w:val="24"/>
        </w:rPr>
        <w:t xml:space="preserve">In addition, </w:t>
      </w:r>
      <w:r w:rsidR="00776582">
        <w:rPr>
          <w:rFonts w:cs="Times New Roman"/>
          <w:szCs w:val="24"/>
        </w:rPr>
        <w:t xml:space="preserve">I am of the view that Mr </w:t>
      </w:r>
      <w:r w:rsidR="00776582" w:rsidRPr="003277C9">
        <w:rPr>
          <w:rFonts w:cs="Times New Roman"/>
          <w:i/>
          <w:iCs/>
          <w:szCs w:val="24"/>
        </w:rPr>
        <w:t>Madhuku</w:t>
      </w:r>
      <w:r w:rsidR="00776582">
        <w:rPr>
          <w:rFonts w:cs="Times New Roman"/>
          <w:szCs w:val="24"/>
        </w:rPr>
        <w:t xml:space="preserve">’s submission that the category of interlocutory orders falling into non-appealable orders are those that for instance rule on who has the duty to begin or </w:t>
      </w:r>
      <w:r w:rsidR="005F4ED7">
        <w:rPr>
          <w:rFonts w:cs="Times New Roman"/>
          <w:szCs w:val="24"/>
        </w:rPr>
        <w:t>the number of</w:t>
      </w:r>
      <w:r w:rsidR="00776582">
        <w:rPr>
          <w:rFonts w:cs="Times New Roman"/>
          <w:szCs w:val="24"/>
        </w:rPr>
        <w:t xml:space="preserve"> minutes </w:t>
      </w:r>
      <w:r w:rsidR="005F4ED7">
        <w:rPr>
          <w:rFonts w:cs="Times New Roman"/>
          <w:szCs w:val="24"/>
        </w:rPr>
        <w:t xml:space="preserve">in which </w:t>
      </w:r>
      <w:r w:rsidR="00776582">
        <w:rPr>
          <w:rFonts w:cs="Times New Roman"/>
          <w:szCs w:val="24"/>
        </w:rPr>
        <w:t>a litigant can make submis</w:t>
      </w:r>
      <w:r w:rsidR="005F4ED7">
        <w:rPr>
          <w:rFonts w:cs="Times New Roman"/>
          <w:szCs w:val="24"/>
        </w:rPr>
        <w:t xml:space="preserve">sions </w:t>
      </w:r>
      <w:r w:rsidR="00776582">
        <w:rPr>
          <w:rFonts w:cs="Times New Roman"/>
          <w:szCs w:val="24"/>
        </w:rPr>
        <w:t xml:space="preserve">is a much narrower and very limited scope of non-appealable orders.  </w:t>
      </w:r>
      <w:r w:rsidRPr="00ED472C">
        <w:rPr>
          <w:rFonts w:cs="Times New Roman"/>
          <w:szCs w:val="24"/>
        </w:rPr>
        <w:t xml:space="preserve">From a reading of the authorities, it occurs to me that as long as an interlocutory order </w:t>
      </w:r>
      <w:r w:rsidR="00776582" w:rsidRPr="00ED472C">
        <w:rPr>
          <w:rFonts w:cs="Times New Roman"/>
          <w:szCs w:val="24"/>
        </w:rPr>
        <w:t xml:space="preserve">is a procedural ruling that </w:t>
      </w:r>
      <w:r w:rsidRPr="00ED472C">
        <w:rPr>
          <w:rFonts w:cs="Times New Roman"/>
          <w:szCs w:val="24"/>
        </w:rPr>
        <w:t>does not decide on the merits</w:t>
      </w:r>
      <w:r w:rsidR="00776582" w:rsidRPr="00ED472C">
        <w:rPr>
          <w:rFonts w:eastAsia="Calibri" w:cs="Times New Roman"/>
          <w:szCs w:val="24"/>
          <w:lang w:val="en-US"/>
        </w:rPr>
        <w:t xml:space="preserve"> and as long as it is such that it does not dispose of any or a portion of the issues in the main action or suit or it irreparably anticipates or precludes some of the relief which would or might be given at the hearing</w:t>
      </w:r>
      <w:r w:rsidRPr="00ED472C">
        <w:rPr>
          <w:rFonts w:cs="Times New Roman"/>
          <w:szCs w:val="24"/>
        </w:rPr>
        <w:t xml:space="preserve">, it is </w:t>
      </w:r>
      <w:r w:rsidR="00776582" w:rsidRPr="00ED472C">
        <w:rPr>
          <w:rFonts w:cs="Times New Roman"/>
          <w:szCs w:val="24"/>
        </w:rPr>
        <w:t>not appealable.</w:t>
      </w:r>
      <w:r w:rsidRPr="00ED472C">
        <w:rPr>
          <w:rFonts w:cs="Times New Roman"/>
          <w:szCs w:val="24"/>
        </w:rPr>
        <w:t xml:space="preserve"> </w:t>
      </w:r>
    </w:p>
    <w:p w14:paraId="768CEB53" w14:textId="12E6140F" w:rsidR="008E0174" w:rsidRDefault="00ED472C" w:rsidP="0002765D">
      <w:pPr>
        <w:pStyle w:val="ListParagraph"/>
        <w:numPr>
          <w:ilvl w:val="0"/>
          <w:numId w:val="5"/>
        </w:numPr>
        <w:rPr>
          <w:rFonts w:cs="Times New Roman"/>
          <w:szCs w:val="24"/>
        </w:rPr>
      </w:pPr>
      <w:r>
        <w:rPr>
          <w:rFonts w:cs="Times New Roman"/>
          <w:szCs w:val="24"/>
        </w:rPr>
        <w:t>Turning to the order in this matter, it did not decide on the merits of the matter, neither did it dispose of any of the issues in the main action either in whole or in part. It did not irreparably anticipate or preclude some of the</w:t>
      </w:r>
      <w:r w:rsidR="005F4ED7">
        <w:rPr>
          <w:rFonts w:cs="Times New Roman"/>
          <w:szCs w:val="24"/>
        </w:rPr>
        <w:t xml:space="preserve"> relief</w:t>
      </w:r>
      <w:r>
        <w:rPr>
          <w:rFonts w:cs="Times New Roman"/>
          <w:szCs w:val="24"/>
        </w:rPr>
        <w:t xml:space="preserve"> which would or might be given at the hearing. </w:t>
      </w:r>
      <w:r w:rsidR="00EF23F2">
        <w:rPr>
          <w:rFonts w:cs="Times New Roman"/>
          <w:szCs w:val="24"/>
        </w:rPr>
        <w:t>The order d</w:t>
      </w:r>
      <w:r w:rsidR="005F4ED7">
        <w:rPr>
          <w:rFonts w:cs="Times New Roman"/>
          <w:szCs w:val="24"/>
        </w:rPr>
        <w:t>id</w:t>
      </w:r>
      <w:r w:rsidR="00EF23F2">
        <w:rPr>
          <w:rFonts w:cs="Times New Roman"/>
          <w:szCs w:val="24"/>
        </w:rPr>
        <w:t xml:space="preserve"> not give any definitive or final or even interim judgment in regard to the relief claimed by the applicant in the main matter. </w:t>
      </w:r>
      <w:r w:rsidR="00913903">
        <w:rPr>
          <w:rFonts w:cs="Times New Roman"/>
          <w:szCs w:val="24"/>
        </w:rPr>
        <w:t xml:space="preserve">The order was merely a direction as </w:t>
      </w:r>
      <w:r w:rsidR="00913903">
        <w:rPr>
          <w:rFonts w:cs="Times New Roman"/>
          <w:szCs w:val="24"/>
        </w:rPr>
        <w:lastRenderedPageBreak/>
        <w:t xml:space="preserve">to the manner in which the case should proceed. </w:t>
      </w:r>
      <w:r w:rsidR="005F4ED7">
        <w:rPr>
          <w:rFonts w:cs="Times New Roman"/>
          <w:szCs w:val="24"/>
        </w:rPr>
        <w:t>A referral to the opposed roll is more or less similar to a referral to trial. Case authority has already settled that a referral to trial is not appealable, and the same should follow for a referral to the opposed roll</w:t>
      </w:r>
      <w:r w:rsidR="00764A0C">
        <w:rPr>
          <w:rFonts w:cs="Times New Roman"/>
          <w:szCs w:val="24"/>
        </w:rPr>
        <w:t xml:space="preserve">. </w:t>
      </w:r>
    </w:p>
    <w:p w14:paraId="47E568E8" w14:textId="77777777" w:rsidR="00764A0C" w:rsidRDefault="00764A0C" w:rsidP="00764A0C">
      <w:pPr>
        <w:pStyle w:val="ListParagraph"/>
        <w:ind w:left="502"/>
        <w:rPr>
          <w:rFonts w:cs="Times New Roman"/>
          <w:szCs w:val="24"/>
        </w:rPr>
      </w:pPr>
    </w:p>
    <w:p w14:paraId="18726386" w14:textId="530BC92C" w:rsidR="0002765D" w:rsidRPr="0002765D" w:rsidRDefault="0002765D" w:rsidP="0002765D">
      <w:pPr>
        <w:pStyle w:val="ListParagraph"/>
        <w:ind w:left="502"/>
        <w:rPr>
          <w:rFonts w:cs="Times New Roman"/>
          <w:b/>
          <w:bCs/>
          <w:szCs w:val="24"/>
          <w:u w:val="single"/>
        </w:rPr>
      </w:pPr>
      <w:r w:rsidRPr="0002765D">
        <w:rPr>
          <w:rFonts w:cs="Times New Roman"/>
          <w:b/>
          <w:bCs/>
          <w:szCs w:val="24"/>
          <w:u w:val="single"/>
        </w:rPr>
        <w:t>CONCLUSION</w:t>
      </w:r>
    </w:p>
    <w:p w14:paraId="0FDB06DB" w14:textId="46F664C5" w:rsidR="00A11FFE" w:rsidRPr="00A11FFE" w:rsidRDefault="00913903" w:rsidP="009252D6">
      <w:pPr>
        <w:pStyle w:val="ListParagraph"/>
        <w:numPr>
          <w:ilvl w:val="0"/>
          <w:numId w:val="5"/>
        </w:numPr>
        <w:spacing w:after="200"/>
        <w:ind w:left="142"/>
        <w:rPr>
          <w:rFonts w:cs="Times New Roman"/>
          <w:b/>
          <w:bCs/>
          <w:szCs w:val="24"/>
          <w:u w:val="single"/>
        </w:rPr>
      </w:pPr>
      <w:r>
        <w:rPr>
          <w:rFonts w:cs="Times New Roman"/>
          <w:szCs w:val="24"/>
        </w:rPr>
        <w:t xml:space="preserve">The parties in this matter acknowledge that </w:t>
      </w:r>
      <w:r w:rsidR="004D5659" w:rsidRPr="004D5659">
        <w:rPr>
          <w:rFonts w:cs="Times New Roman"/>
          <w:szCs w:val="24"/>
        </w:rPr>
        <w:t>from the authorities coming out of the High Court</w:t>
      </w:r>
      <w:r>
        <w:rPr>
          <w:rFonts w:cs="Times New Roman"/>
          <w:szCs w:val="24"/>
        </w:rPr>
        <w:t xml:space="preserve">, </w:t>
      </w:r>
      <w:r w:rsidR="004D5659" w:rsidRPr="004D5659">
        <w:rPr>
          <w:rFonts w:cs="Times New Roman"/>
          <w:szCs w:val="24"/>
        </w:rPr>
        <w:t>there is a di</w:t>
      </w:r>
      <w:r w:rsidR="003C17E4">
        <w:rPr>
          <w:rFonts w:cs="Times New Roman"/>
          <w:szCs w:val="24"/>
        </w:rPr>
        <w:t>fference</w:t>
      </w:r>
      <w:r w:rsidR="004D5659" w:rsidRPr="004D5659">
        <w:rPr>
          <w:rFonts w:cs="Times New Roman"/>
          <w:szCs w:val="24"/>
        </w:rPr>
        <w:t xml:space="preserve"> of opinion on the procedure to follow in dealing with an opposed summons for provisional sentence</w:t>
      </w:r>
      <w:r>
        <w:rPr>
          <w:rFonts w:cs="Times New Roman"/>
          <w:szCs w:val="24"/>
        </w:rPr>
        <w:t xml:space="preserve">. The cases of </w:t>
      </w:r>
      <w:r w:rsidRPr="003C17E4">
        <w:rPr>
          <w:rFonts w:cs="Times New Roman"/>
          <w:i/>
          <w:iCs/>
          <w:szCs w:val="24"/>
        </w:rPr>
        <w:t xml:space="preserve">Zimbank v Interfin Merchant Bank of Zimbabwe Ltd </w:t>
      </w:r>
      <w:r>
        <w:rPr>
          <w:rFonts w:cs="Times New Roman"/>
          <w:szCs w:val="24"/>
        </w:rPr>
        <w:t>2005 (1) ZLR 114 (H)</w:t>
      </w:r>
      <w:r w:rsidR="003C17E4">
        <w:rPr>
          <w:rFonts w:cs="Times New Roman"/>
          <w:szCs w:val="24"/>
        </w:rPr>
        <w:t xml:space="preserve">; </w:t>
      </w:r>
      <w:r w:rsidR="003C17E4" w:rsidRPr="00CF0ADC">
        <w:rPr>
          <w:rFonts w:cs="Times New Roman"/>
          <w:i/>
          <w:iCs/>
          <w:szCs w:val="24"/>
        </w:rPr>
        <w:t>Al Shams Global BVI Ltd v Equity Properties (Pvt) Ltd supra</w:t>
      </w:r>
      <w:r w:rsidR="003C17E4">
        <w:rPr>
          <w:rFonts w:cs="Times New Roman"/>
          <w:szCs w:val="24"/>
        </w:rPr>
        <w:t xml:space="preserve">; </w:t>
      </w:r>
      <w:r w:rsidR="003C17E4" w:rsidRPr="0094163C">
        <w:rPr>
          <w:rFonts w:cs="Times New Roman"/>
          <w:i/>
          <w:iCs/>
          <w:szCs w:val="24"/>
        </w:rPr>
        <w:t xml:space="preserve">Spar Harare </w:t>
      </w:r>
      <w:r w:rsidR="003C17E4">
        <w:rPr>
          <w:rFonts w:cs="Times New Roman"/>
          <w:i/>
          <w:iCs/>
          <w:szCs w:val="24"/>
        </w:rPr>
        <w:t>Private Limited</w:t>
      </w:r>
      <w:r w:rsidR="003C17E4" w:rsidRPr="0094163C">
        <w:rPr>
          <w:rFonts w:cs="Times New Roman"/>
          <w:i/>
          <w:iCs/>
          <w:szCs w:val="24"/>
        </w:rPr>
        <w:t xml:space="preserve"> </w:t>
      </w:r>
      <w:r w:rsidR="003C17E4">
        <w:rPr>
          <w:rFonts w:cs="Times New Roman"/>
          <w:i/>
          <w:iCs/>
          <w:szCs w:val="24"/>
        </w:rPr>
        <w:t>t/a Spar Eastern Region</w:t>
      </w:r>
      <w:r w:rsidR="003C17E4" w:rsidRPr="0094163C">
        <w:rPr>
          <w:rFonts w:cs="Times New Roman"/>
          <w:i/>
          <w:iCs/>
          <w:szCs w:val="24"/>
        </w:rPr>
        <w:t xml:space="preserve"> </w:t>
      </w:r>
      <w:r w:rsidR="003C17E4" w:rsidRPr="0094163C">
        <w:rPr>
          <w:rFonts w:cs="Times New Roman"/>
          <w:szCs w:val="24"/>
        </w:rPr>
        <w:t>v</w:t>
      </w:r>
      <w:r w:rsidR="003C17E4" w:rsidRPr="0094163C">
        <w:rPr>
          <w:rFonts w:cs="Times New Roman"/>
          <w:i/>
          <w:iCs/>
          <w:szCs w:val="24"/>
        </w:rPr>
        <w:t xml:space="preserve"> Munava Enterprises </w:t>
      </w:r>
      <w:r w:rsidR="003C17E4">
        <w:rPr>
          <w:rFonts w:cs="Times New Roman"/>
          <w:i/>
          <w:iCs/>
          <w:szCs w:val="24"/>
        </w:rPr>
        <w:t>Private Limited</w:t>
      </w:r>
      <w:r w:rsidR="003C17E4" w:rsidRPr="0094163C">
        <w:rPr>
          <w:rFonts w:cs="Times New Roman"/>
          <w:i/>
          <w:iCs/>
          <w:szCs w:val="24"/>
        </w:rPr>
        <w:t xml:space="preserve"> &amp; Ors</w:t>
      </w:r>
      <w:r w:rsidR="003C17E4">
        <w:rPr>
          <w:rFonts w:cs="Times New Roman"/>
          <w:szCs w:val="24"/>
        </w:rPr>
        <w:t xml:space="preserve"> </w:t>
      </w:r>
      <w:r w:rsidR="003C17E4" w:rsidRPr="00CF0ADC">
        <w:rPr>
          <w:rFonts w:cs="Times New Roman"/>
          <w:i/>
          <w:iCs/>
          <w:szCs w:val="24"/>
        </w:rPr>
        <w:t>supra</w:t>
      </w:r>
      <w:r w:rsidR="003C17E4">
        <w:rPr>
          <w:rFonts w:cs="Times New Roman"/>
          <w:szCs w:val="24"/>
        </w:rPr>
        <w:t xml:space="preserve">; </w:t>
      </w:r>
      <w:r w:rsidR="003C17E4" w:rsidRPr="0094163C">
        <w:rPr>
          <w:rFonts w:cs="Times New Roman"/>
          <w:i/>
          <w:iCs/>
          <w:szCs w:val="24"/>
        </w:rPr>
        <w:t xml:space="preserve">Mazengwa </w:t>
      </w:r>
      <w:r w:rsidR="003C17E4" w:rsidRPr="006606DA">
        <w:rPr>
          <w:rFonts w:cs="Times New Roman"/>
          <w:szCs w:val="24"/>
        </w:rPr>
        <w:t>v</w:t>
      </w:r>
      <w:r w:rsidR="003C17E4" w:rsidRPr="0094163C">
        <w:rPr>
          <w:rFonts w:cs="Times New Roman"/>
          <w:i/>
          <w:iCs/>
          <w:szCs w:val="24"/>
        </w:rPr>
        <w:t xml:space="preserve"> Njanike</w:t>
      </w:r>
      <w:r w:rsidR="003C17E4">
        <w:rPr>
          <w:rFonts w:cs="Times New Roman"/>
          <w:szCs w:val="24"/>
        </w:rPr>
        <w:t xml:space="preserve"> </w:t>
      </w:r>
      <w:r w:rsidR="003C17E4" w:rsidRPr="00CF0ADC">
        <w:rPr>
          <w:rFonts w:cs="Times New Roman"/>
          <w:i/>
          <w:iCs/>
          <w:szCs w:val="24"/>
        </w:rPr>
        <w:t>supra</w:t>
      </w:r>
      <w:r w:rsidR="003C17E4">
        <w:rPr>
          <w:rFonts w:cs="Times New Roman"/>
          <w:szCs w:val="24"/>
        </w:rPr>
        <w:t xml:space="preserve">, </w:t>
      </w:r>
      <w:r w:rsidR="003C17E4" w:rsidRPr="006606DA">
        <w:rPr>
          <w:rFonts w:cs="Times New Roman"/>
          <w:i/>
          <w:iCs/>
          <w:szCs w:val="24"/>
        </w:rPr>
        <w:t xml:space="preserve">Mavindidze &amp; Anor </w:t>
      </w:r>
      <w:r w:rsidR="003C17E4" w:rsidRPr="006606DA">
        <w:rPr>
          <w:rFonts w:cs="Times New Roman"/>
          <w:szCs w:val="24"/>
        </w:rPr>
        <w:t>v</w:t>
      </w:r>
      <w:r w:rsidR="003C17E4" w:rsidRPr="006606DA">
        <w:rPr>
          <w:rFonts w:cs="Times New Roman"/>
          <w:i/>
          <w:iCs/>
          <w:szCs w:val="24"/>
        </w:rPr>
        <w:t xml:space="preserve"> Mukonoweshuro</w:t>
      </w:r>
      <w:r w:rsidR="003C17E4">
        <w:rPr>
          <w:rFonts w:cs="Times New Roman"/>
          <w:i/>
          <w:iCs/>
          <w:szCs w:val="24"/>
        </w:rPr>
        <w:t xml:space="preserve"> supra</w:t>
      </w:r>
      <w:r w:rsidR="003C17E4">
        <w:rPr>
          <w:rFonts w:cs="Times New Roman"/>
          <w:szCs w:val="24"/>
        </w:rPr>
        <w:t xml:space="preserve">; </w:t>
      </w:r>
      <w:r w:rsidR="003C17E4" w:rsidRPr="006606DA">
        <w:rPr>
          <w:rFonts w:cs="Times New Roman"/>
          <w:i/>
          <w:iCs/>
          <w:szCs w:val="24"/>
        </w:rPr>
        <w:t xml:space="preserve">Sibanda </w:t>
      </w:r>
      <w:r w:rsidR="003C17E4" w:rsidRPr="006606DA">
        <w:rPr>
          <w:rFonts w:cs="Times New Roman"/>
          <w:szCs w:val="24"/>
        </w:rPr>
        <w:t xml:space="preserve">v </w:t>
      </w:r>
      <w:r w:rsidR="003C17E4" w:rsidRPr="006606DA">
        <w:rPr>
          <w:rFonts w:cs="Times New Roman"/>
          <w:i/>
          <w:iCs/>
          <w:szCs w:val="24"/>
        </w:rPr>
        <w:t>Mushapaidze</w:t>
      </w:r>
      <w:r w:rsidR="003C17E4">
        <w:rPr>
          <w:rFonts w:cs="Times New Roman"/>
          <w:szCs w:val="24"/>
        </w:rPr>
        <w:t xml:space="preserve"> </w:t>
      </w:r>
      <w:r w:rsidR="003C17E4" w:rsidRPr="003C17E4">
        <w:rPr>
          <w:rFonts w:cs="Times New Roman"/>
          <w:i/>
          <w:iCs/>
          <w:szCs w:val="24"/>
        </w:rPr>
        <w:t>supra</w:t>
      </w:r>
      <w:r w:rsidR="003C17E4">
        <w:rPr>
          <w:rFonts w:cs="Times New Roman"/>
          <w:szCs w:val="24"/>
        </w:rPr>
        <w:t xml:space="preserve">, </w:t>
      </w:r>
      <w:r w:rsidR="003C17E4" w:rsidRPr="003C17E4">
        <w:rPr>
          <w:rFonts w:cs="Times New Roman"/>
          <w:i/>
          <w:iCs/>
          <w:szCs w:val="24"/>
        </w:rPr>
        <w:t xml:space="preserve">Zimbabwe Leaf Tobacco Co (Pvt) Ltd </w:t>
      </w:r>
      <w:r w:rsidR="003C17E4" w:rsidRPr="003C17E4">
        <w:rPr>
          <w:rFonts w:cs="Times New Roman"/>
          <w:szCs w:val="24"/>
        </w:rPr>
        <w:t>v</w:t>
      </w:r>
      <w:r w:rsidR="003C17E4" w:rsidRPr="003C17E4">
        <w:rPr>
          <w:rFonts w:cs="Times New Roman"/>
          <w:i/>
          <w:iCs/>
          <w:szCs w:val="24"/>
        </w:rPr>
        <w:t xml:space="preserve"> Cooke</w:t>
      </w:r>
      <w:r w:rsidR="003C17E4">
        <w:rPr>
          <w:rFonts w:cs="Times New Roman"/>
          <w:szCs w:val="24"/>
        </w:rPr>
        <w:t xml:space="preserve"> 2016 (2) ZLR 673 (H) and to an extent, the most recent decision in </w:t>
      </w:r>
      <w:r w:rsidR="003C17E4" w:rsidRPr="003C17E4">
        <w:rPr>
          <w:rFonts w:cs="Times New Roman"/>
          <w:i/>
          <w:iCs/>
          <w:szCs w:val="24"/>
        </w:rPr>
        <w:t xml:space="preserve">Kreamon Investments (Pvt) Ltd </w:t>
      </w:r>
      <w:r w:rsidR="003C17E4" w:rsidRPr="003C17E4">
        <w:rPr>
          <w:rFonts w:cs="Times New Roman"/>
          <w:szCs w:val="24"/>
        </w:rPr>
        <w:t>v</w:t>
      </w:r>
      <w:r w:rsidR="003C17E4" w:rsidRPr="003C17E4">
        <w:rPr>
          <w:rFonts w:cs="Times New Roman"/>
          <w:i/>
          <w:iCs/>
          <w:szCs w:val="24"/>
        </w:rPr>
        <w:t xml:space="preserve"> FMC Finance &amp; Ors</w:t>
      </w:r>
      <w:r w:rsidR="003C17E4">
        <w:rPr>
          <w:rFonts w:cs="Times New Roman"/>
          <w:szCs w:val="24"/>
        </w:rPr>
        <w:t xml:space="preserve"> </w:t>
      </w:r>
      <w:r w:rsidR="003C17E4" w:rsidRPr="003C17E4">
        <w:rPr>
          <w:rFonts w:cs="Times New Roman"/>
          <w:i/>
          <w:iCs/>
          <w:szCs w:val="24"/>
        </w:rPr>
        <w:t>supra</w:t>
      </w:r>
      <w:r w:rsidR="00764A0C" w:rsidRPr="00764A0C">
        <w:rPr>
          <w:rFonts w:cs="Times New Roman"/>
          <w:szCs w:val="24"/>
        </w:rPr>
        <w:t>,</w:t>
      </w:r>
      <w:r w:rsidR="003C17E4" w:rsidRPr="00764A0C">
        <w:rPr>
          <w:rFonts w:cs="Times New Roman"/>
          <w:szCs w:val="24"/>
        </w:rPr>
        <w:t xml:space="preserve"> </w:t>
      </w:r>
      <w:r w:rsidR="003C17E4">
        <w:rPr>
          <w:rFonts w:cs="Times New Roman"/>
          <w:szCs w:val="24"/>
        </w:rPr>
        <w:t>demonstrate the divergent positions that have been</w:t>
      </w:r>
      <w:r w:rsidR="0002765D">
        <w:rPr>
          <w:rFonts w:cs="Times New Roman"/>
          <w:szCs w:val="24"/>
        </w:rPr>
        <w:t xml:space="preserve"> taken </w:t>
      </w:r>
      <w:r w:rsidR="003C17E4">
        <w:rPr>
          <w:rFonts w:cs="Times New Roman"/>
          <w:szCs w:val="24"/>
        </w:rPr>
        <w:t xml:space="preserve">by the High Court in opposed provisional sentence matters. Indeed, there is cause to argue that there is need to have </w:t>
      </w:r>
      <w:r w:rsidR="004D5659" w:rsidRPr="004D5659">
        <w:rPr>
          <w:rFonts w:cs="Times New Roman"/>
          <w:szCs w:val="24"/>
        </w:rPr>
        <w:t>a definitive pronouncement on the issue</w:t>
      </w:r>
      <w:r w:rsidR="003C17E4">
        <w:rPr>
          <w:rFonts w:cs="Times New Roman"/>
          <w:szCs w:val="24"/>
        </w:rPr>
        <w:t xml:space="preserve">. </w:t>
      </w:r>
    </w:p>
    <w:p w14:paraId="73BE9E71" w14:textId="63255824" w:rsidR="0019157B" w:rsidRPr="0019157B" w:rsidRDefault="003C17E4" w:rsidP="009252D6">
      <w:pPr>
        <w:pStyle w:val="ListParagraph"/>
        <w:numPr>
          <w:ilvl w:val="0"/>
          <w:numId w:val="5"/>
        </w:numPr>
        <w:spacing w:after="200"/>
        <w:ind w:left="142"/>
        <w:rPr>
          <w:rFonts w:cs="Times New Roman"/>
          <w:b/>
          <w:bCs/>
          <w:szCs w:val="24"/>
          <w:u w:val="single"/>
        </w:rPr>
      </w:pPr>
      <w:r>
        <w:rPr>
          <w:rFonts w:cs="Times New Roman"/>
          <w:szCs w:val="24"/>
        </w:rPr>
        <w:t>However, the court is constrained</w:t>
      </w:r>
      <w:r w:rsidR="0039415C">
        <w:rPr>
          <w:rFonts w:cs="Times New Roman"/>
          <w:szCs w:val="24"/>
        </w:rPr>
        <w:t>,</w:t>
      </w:r>
      <w:r>
        <w:rPr>
          <w:rFonts w:cs="Times New Roman"/>
          <w:szCs w:val="24"/>
        </w:rPr>
        <w:t xml:space="preserve"> by operation of the law and </w:t>
      </w:r>
      <w:r w:rsidR="00A11FFE">
        <w:rPr>
          <w:rFonts w:cs="Times New Roman"/>
          <w:szCs w:val="24"/>
        </w:rPr>
        <w:t xml:space="preserve">guiding </w:t>
      </w:r>
      <w:r>
        <w:rPr>
          <w:rFonts w:cs="Times New Roman"/>
          <w:szCs w:val="24"/>
        </w:rPr>
        <w:t>judicial precedent</w:t>
      </w:r>
      <w:r w:rsidR="00525218">
        <w:rPr>
          <w:rFonts w:cs="Times New Roman"/>
          <w:szCs w:val="24"/>
        </w:rPr>
        <w:t xml:space="preserve">, to overlook </w:t>
      </w:r>
      <w:r w:rsidR="0039415C">
        <w:rPr>
          <w:rFonts w:cs="Times New Roman"/>
          <w:szCs w:val="24"/>
        </w:rPr>
        <w:t xml:space="preserve">the nature of the order issued in this matter. </w:t>
      </w:r>
      <w:r w:rsidR="0002765D">
        <w:rPr>
          <w:rFonts w:cs="Times New Roman"/>
          <w:szCs w:val="24"/>
        </w:rPr>
        <w:t xml:space="preserve">The nature of the order is </w:t>
      </w:r>
      <w:r w:rsidR="004D5659" w:rsidRPr="004D5659">
        <w:rPr>
          <w:rFonts w:cs="Times New Roman"/>
          <w:szCs w:val="24"/>
        </w:rPr>
        <w:t>insufficient to overcome the established principles regarding appealable interlocutory orders.</w:t>
      </w:r>
      <w:r w:rsidR="0039415C">
        <w:rPr>
          <w:rFonts w:cs="Times New Roman"/>
          <w:szCs w:val="24"/>
        </w:rPr>
        <w:t xml:space="preserve"> The respondents’ preliminary point is therefore merited. </w:t>
      </w:r>
    </w:p>
    <w:p w14:paraId="2296B348" w14:textId="77777777" w:rsidR="00A11FFE" w:rsidRPr="00A11FFE" w:rsidRDefault="0019157B" w:rsidP="00A11FFE">
      <w:pPr>
        <w:pStyle w:val="ListParagraph"/>
        <w:numPr>
          <w:ilvl w:val="0"/>
          <w:numId w:val="5"/>
        </w:numPr>
        <w:spacing w:after="200"/>
        <w:ind w:left="142"/>
        <w:rPr>
          <w:rFonts w:cs="Times New Roman"/>
          <w:b/>
          <w:bCs/>
          <w:szCs w:val="24"/>
          <w:u w:val="single"/>
        </w:rPr>
      </w:pPr>
      <w:r>
        <w:rPr>
          <w:rFonts w:cs="Times New Roman"/>
          <w:szCs w:val="24"/>
        </w:rPr>
        <w:t>I digress momentarily to observe that s4 (5) of the High Court Act seems to have a mechanism by which this question can be definitively dealt with and a binding position reached. It provides:</w:t>
      </w:r>
    </w:p>
    <w:p w14:paraId="15E4AB60" w14:textId="77777777" w:rsidR="00A11FFE" w:rsidRPr="00A11FFE" w:rsidRDefault="00A11FFE" w:rsidP="00A11FFE">
      <w:pPr>
        <w:pStyle w:val="ListParagraph"/>
        <w:autoSpaceDE w:val="0"/>
        <w:autoSpaceDN w:val="0"/>
        <w:adjustRightInd w:val="0"/>
        <w:spacing w:after="0" w:line="240" w:lineRule="auto"/>
        <w:ind w:left="502"/>
        <w:rPr>
          <w:rFonts w:cs="Times New Roman"/>
          <w:color w:val="231F20"/>
          <w:sz w:val="22"/>
          <w:lang w:val="en-ZW"/>
          <w14:ligatures w14:val="standardContextual"/>
        </w:rPr>
      </w:pPr>
      <w:r w:rsidRPr="00A11FFE">
        <w:rPr>
          <w:rFonts w:cs="Times New Roman"/>
          <w:color w:val="231F20"/>
          <w:sz w:val="22"/>
          <w:lang w:val="en-ZW"/>
          <w14:ligatures w14:val="standardContextual"/>
        </w:rPr>
        <w:t>(5) If a matter being heard by the High Court involves a difficult question of law or if at any stage</w:t>
      </w:r>
    </w:p>
    <w:p w14:paraId="67926290" w14:textId="23F612A6" w:rsidR="00A11FFE" w:rsidRPr="00764A0C" w:rsidRDefault="00A11FFE" w:rsidP="00764A0C">
      <w:pPr>
        <w:pStyle w:val="ListParagraph"/>
        <w:autoSpaceDE w:val="0"/>
        <w:autoSpaceDN w:val="0"/>
        <w:adjustRightInd w:val="0"/>
        <w:spacing w:after="0" w:line="240" w:lineRule="auto"/>
        <w:ind w:left="502"/>
        <w:rPr>
          <w:rFonts w:cs="Times New Roman"/>
          <w:color w:val="231F20"/>
          <w:sz w:val="22"/>
          <w:lang w:val="en-ZW"/>
          <w14:ligatures w14:val="standardContextual"/>
        </w:rPr>
      </w:pPr>
      <w:r w:rsidRPr="00A11FFE">
        <w:rPr>
          <w:rFonts w:cs="Times New Roman"/>
          <w:color w:val="231F20"/>
          <w:sz w:val="22"/>
          <w:lang w:val="en-ZW"/>
          <w14:ligatures w14:val="standardContextual"/>
        </w:rPr>
        <w:t>during the hearing of a matter by one or more judges such a question arises, the presiding judge may direct that the hearing of that matter or the hearing in respect of that question shall proceed before such greater number of judges than two as may be determined by the Chief Justice or the Judge President, and thereupon the decision of the majority of such judges shall be the decision of the High Court.</w:t>
      </w:r>
    </w:p>
    <w:p w14:paraId="1208D1C0" w14:textId="2E7BBA53" w:rsidR="0002765D" w:rsidRPr="0002765D" w:rsidRDefault="00A11FFE" w:rsidP="0002765D">
      <w:pPr>
        <w:pStyle w:val="ListParagraph"/>
        <w:numPr>
          <w:ilvl w:val="0"/>
          <w:numId w:val="5"/>
        </w:numPr>
        <w:spacing w:after="200"/>
        <w:ind w:left="142"/>
        <w:rPr>
          <w:rFonts w:cs="Times New Roman"/>
          <w:b/>
          <w:bCs/>
          <w:szCs w:val="24"/>
          <w:u w:val="single"/>
        </w:rPr>
      </w:pPr>
      <w:r w:rsidRPr="00A11FFE">
        <w:rPr>
          <w:rFonts w:cs="Times New Roman"/>
          <w:szCs w:val="24"/>
          <w:lang w:val="en-US"/>
        </w:rPr>
        <w:t>I</w:t>
      </w:r>
      <w:r w:rsidR="00764A0C">
        <w:rPr>
          <w:rFonts w:cs="Times New Roman"/>
          <w:szCs w:val="24"/>
          <w:lang w:val="en-US"/>
        </w:rPr>
        <w:t xml:space="preserve">n my opinion, it </w:t>
      </w:r>
      <w:r w:rsidRPr="00A11FFE">
        <w:rPr>
          <w:rFonts w:cs="Times New Roman"/>
          <w:szCs w:val="24"/>
          <w:lang w:val="en-US"/>
        </w:rPr>
        <w:t xml:space="preserve">would appear that an apt opportunity arising, </w:t>
      </w:r>
      <w:r w:rsidR="0039415C">
        <w:rPr>
          <w:rFonts w:cs="Times New Roman"/>
          <w:szCs w:val="24"/>
          <w:lang w:val="en-US"/>
        </w:rPr>
        <w:t xml:space="preserve">a litigant </w:t>
      </w:r>
      <w:r w:rsidR="00E81ADB">
        <w:rPr>
          <w:rFonts w:cs="Times New Roman"/>
          <w:szCs w:val="24"/>
          <w:lang w:val="en-US"/>
        </w:rPr>
        <w:t xml:space="preserve">who is so inclined </w:t>
      </w:r>
      <w:r w:rsidRPr="00A11FFE">
        <w:rPr>
          <w:rFonts w:cs="Times New Roman"/>
          <w:szCs w:val="24"/>
          <w:lang w:val="en-US"/>
        </w:rPr>
        <w:t xml:space="preserve">can persuade </w:t>
      </w:r>
      <w:r w:rsidR="0039415C">
        <w:rPr>
          <w:rFonts w:cs="Times New Roman"/>
          <w:szCs w:val="24"/>
          <w:lang w:val="en-US"/>
        </w:rPr>
        <w:t>the High Court</w:t>
      </w:r>
      <w:r w:rsidRPr="00A11FFE">
        <w:rPr>
          <w:rFonts w:cs="Times New Roman"/>
          <w:szCs w:val="24"/>
          <w:lang w:val="en-US"/>
        </w:rPr>
        <w:t xml:space="preserve"> to proceed in terms of s4 (5) of the Act</w:t>
      </w:r>
      <w:r w:rsidR="00764A0C">
        <w:rPr>
          <w:rFonts w:cs="Times New Roman"/>
          <w:szCs w:val="24"/>
          <w:lang w:val="en-US"/>
        </w:rPr>
        <w:t xml:space="preserve"> and motivate for a greater number of judges to sit and determine this question</w:t>
      </w:r>
      <w:r w:rsidRPr="00A11FFE">
        <w:rPr>
          <w:rFonts w:cs="Times New Roman"/>
          <w:szCs w:val="24"/>
          <w:lang w:val="en-US"/>
        </w:rPr>
        <w:t>. However, this is not a</w:t>
      </w:r>
      <w:r w:rsidR="00764A0C">
        <w:rPr>
          <w:rFonts w:cs="Times New Roman"/>
          <w:szCs w:val="24"/>
          <w:lang w:val="en-US"/>
        </w:rPr>
        <w:t>n issue</w:t>
      </w:r>
      <w:r w:rsidRPr="00A11FFE">
        <w:rPr>
          <w:rFonts w:cs="Times New Roman"/>
          <w:szCs w:val="24"/>
          <w:lang w:val="en-US"/>
        </w:rPr>
        <w:t xml:space="preserve"> I have </w:t>
      </w:r>
      <w:r w:rsidRPr="00A11FFE">
        <w:rPr>
          <w:rFonts w:cs="Times New Roman"/>
          <w:szCs w:val="24"/>
          <w:lang w:val="en-US"/>
        </w:rPr>
        <w:lastRenderedPageBreak/>
        <w:t>been called upon to determine and would leave that discourse open for proper judicial ventilation</w:t>
      </w:r>
      <w:r w:rsidR="0002765D">
        <w:rPr>
          <w:rFonts w:cs="Times New Roman"/>
          <w:szCs w:val="24"/>
          <w:lang w:val="en-US"/>
        </w:rPr>
        <w:t xml:space="preserve"> at an opportune moment</w:t>
      </w:r>
      <w:r>
        <w:rPr>
          <w:rFonts w:cs="Times New Roman"/>
          <w:szCs w:val="24"/>
          <w:lang w:val="en-US"/>
        </w:rPr>
        <w:t>.</w:t>
      </w:r>
      <w:r w:rsidR="00764A0C">
        <w:rPr>
          <w:rFonts w:cs="Times New Roman"/>
          <w:szCs w:val="24"/>
          <w:lang w:val="en-US"/>
        </w:rPr>
        <w:t xml:space="preserve"> </w:t>
      </w:r>
    </w:p>
    <w:p w14:paraId="03BE6970" w14:textId="71B0D9E4" w:rsidR="00592FAC" w:rsidRPr="0002765D" w:rsidRDefault="00A11FFE" w:rsidP="0002765D">
      <w:pPr>
        <w:pStyle w:val="ListParagraph"/>
        <w:numPr>
          <w:ilvl w:val="0"/>
          <w:numId w:val="5"/>
        </w:numPr>
        <w:spacing w:after="200"/>
        <w:ind w:left="142"/>
        <w:rPr>
          <w:rFonts w:cs="Times New Roman"/>
          <w:b/>
          <w:bCs/>
          <w:szCs w:val="24"/>
          <w:u w:val="single"/>
        </w:rPr>
      </w:pPr>
      <w:r>
        <w:rPr>
          <w:rFonts w:cs="Times New Roman"/>
          <w:szCs w:val="24"/>
          <w:lang w:val="en-US"/>
        </w:rPr>
        <w:t xml:space="preserve"> </w:t>
      </w:r>
      <w:r w:rsidRPr="00A11FFE">
        <w:rPr>
          <w:rFonts w:cs="Times New Roman"/>
          <w:szCs w:val="24"/>
        </w:rPr>
        <w:t xml:space="preserve">Reverting to the issue at hand, </w:t>
      </w:r>
      <w:r>
        <w:rPr>
          <w:rFonts w:cs="Times New Roman"/>
          <w:szCs w:val="24"/>
        </w:rPr>
        <w:t>on the basis of the foregoing reasons, t</w:t>
      </w:r>
      <w:r w:rsidR="0054302D" w:rsidRPr="00A11FFE">
        <w:rPr>
          <w:rFonts w:cs="Times New Roman"/>
          <w:szCs w:val="24"/>
        </w:rPr>
        <w:t>he third preliminary point</w:t>
      </w:r>
      <w:r w:rsidR="0039415C">
        <w:rPr>
          <w:rFonts w:cs="Times New Roman"/>
          <w:szCs w:val="24"/>
        </w:rPr>
        <w:t xml:space="preserve"> </w:t>
      </w:r>
      <w:r w:rsidR="0054302D" w:rsidRPr="00A11FFE">
        <w:rPr>
          <w:rFonts w:cs="Times New Roman"/>
          <w:szCs w:val="24"/>
        </w:rPr>
        <w:t xml:space="preserve">is </w:t>
      </w:r>
      <w:r w:rsidR="0039415C">
        <w:rPr>
          <w:rFonts w:cs="Times New Roman"/>
          <w:szCs w:val="24"/>
        </w:rPr>
        <w:t xml:space="preserve">upheld. It is also </w:t>
      </w:r>
      <w:r w:rsidR="0054302D" w:rsidRPr="00A11FFE">
        <w:rPr>
          <w:rFonts w:cs="Times New Roman"/>
          <w:szCs w:val="24"/>
        </w:rPr>
        <w:t xml:space="preserve">dispositive of this matter. </w:t>
      </w:r>
      <w:r w:rsidR="004D5659" w:rsidRPr="0002765D">
        <w:rPr>
          <w:rFonts w:cs="Times New Roman"/>
          <w:szCs w:val="24"/>
        </w:rPr>
        <w:t xml:space="preserve">Regarding costs, </w:t>
      </w:r>
      <w:r w:rsidR="00592FAC" w:rsidRPr="0002765D">
        <w:rPr>
          <w:rFonts w:cs="Times New Roman"/>
          <w:szCs w:val="24"/>
        </w:rPr>
        <w:t xml:space="preserve">given the consensus in this matter that there is a divergence of opinion on the procedure in opposed provisional sentence matters, I take the view that no party should be mulcted with the costs of this application. </w:t>
      </w:r>
    </w:p>
    <w:p w14:paraId="2144AD76" w14:textId="77777777" w:rsidR="00592FAC" w:rsidRPr="00592FAC" w:rsidRDefault="00592FAC" w:rsidP="00592FAC">
      <w:pPr>
        <w:pStyle w:val="ListParagraph"/>
        <w:spacing w:after="200"/>
        <w:ind w:left="-218"/>
        <w:rPr>
          <w:rFonts w:cs="Times New Roman"/>
          <w:b/>
          <w:bCs/>
          <w:szCs w:val="24"/>
          <w:u w:val="single"/>
        </w:rPr>
      </w:pPr>
    </w:p>
    <w:p w14:paraId="2EC82A15" w14:textId="1ECEEF48" w:rsidR="00F23943" w:rsidRPr="00592FAC" w:rsidRDefault="00166D7E" w:rsidP="00592FAC">
      <w:pPr>
        <w:pStyle w:val="ListParagraph"/>
        <w:spacing w:after="200"/>
        <w:ind w:left="-218"/>
        <w:rPr>
          <w:rFonts w:cs="Times New Roman"/>
          <w:b/>
          <w:bCs/>
          <w:szCs w:val="24"/>
          <w:u w:val="single"/>
        </w:rPr>
      </w:pPr>
      <w:r w:rsidRPr="00592FAC">
        <w:rPr>
          <w:rFonts w:cs="Times New Roman"/>
          <w:b/>
          <w:bCs/>
          <w:szCs w:val="24"/>
          <w:u w:val="single"/>
        </w:rPr>
        <w:t>ORDER</w:t>
      </w:r>
    </w:p>
    <w:p w14:paraId="69B51C88" w14:textId="47B08D21" w:rsidR="002B2FC6" w:rsidRDefault="002B2FC6" w:rsidP="008E0174">
      <w:pPr>
        <w:pStyle w:val="ListParagraph"/>
        <w:numPr>
          <w:ilvl w:val="0"/>
          <w:numId w:val="5"/>
        </w:numPr>
        <w:spacing w:after="0"/>
        <w:rPr>
          <w:rFonts w:cs="Times New Roman"/>
          <w:szCs w:val="24"/>
        </w:rPr>
      </w:pPr>
      <w:r>
        <w:rPr>
          <w:rFonts w:cs="Times New Roman"/>
          <w:szCs w:val="24"/>
        </w:rPr>
        <w:t xml:space="preserve">In the result, </w:t>
      </w:r>
      <w:r w:rsidR="004D5659">
        <w:rPr>
          <w:rFonts w:cs="Times New Roman"/>
          <w:szCs w:val="24"/>
        </w:rPr>
        <w:t>the following order is made:</w:t>
      </w:r>
    </w:p>
    <w:p w14:paraId="1D391682" w14:textId="2D29EB5A" w:rsidR="0054302D" w:rsidRDefault="002B2FC6" w:rsidP="00FA7C46">
      <w:pPr>
        <w:pStyle w:val="ListParagraph"/>
        <w:numPr>
          <w:ilvl w:val="0"/>
          <w:numId w:val="22"/>
        </w:numPr>
        <w:spacing w:after="0"/>
        <w:rPr>
          <w:rFonts w:cs="Times New Roman"/>
          <w:szCs w:val="24"/>
        </w:rPr>
      </w:pPr>
      <w:r w:rsidRPr="004D5659">
        <w:rPr>
          <w:rFonts w:cs="Times New Roman"/>
          <w:szCs w:val="24"/>
        </w:rPr>
        <w:t xml:space="preserve">The </w:t>
      </w:r>
      <w:r w:rsidR="0054302D">
        <w:rPr>
          <w:rFonts w:cs="Times New Roman"/>
          <w:szCs w:val="24"/>
        </w:rPr>
        <w:t xml:space="preserve">first and second preliminary points be and are hereby dismissed. </w:t>
      </w:r>
    </w:p>
    <w:p w14:paraId="41632CA8" w14:textId="55D0BE47" w:rsidR="0054302D" w:rsidRDefault="0054302D" w:rsidP="00FA7C46">
      <w:pPr>
        <w:pStyle w:val="ListParagraph"/>
        <w:numPr>
          <w:ilvl w:val="0"/>
          <w:numId w:val="22"/>
        </w:numPr>
        <w:spacing w:after="0"/>
        <w:rPr>
          <w:rFonts w:cs="Times New Roman"/>
          <w:szCs w:val="24"/>
        </w:rPr>
      </w:pPr>
      <w:r>
        <w:rPr>
          <w:rFonts w:cs="Times New Roman"/>
          <w:szCs w:val="24"/>
        </w:rPr>
        <w:t xml:space="preserve">The third preliminary point be and is hereby upheld. </w:t>
      </w:r>
    </w:p>
    <w:p w14:paraId="552B8354" w14:textId="3B1FC5FF" w:rsidR="00A73CD4" w:rsidRDefault="0054302D" w:rsidP="00FA7C46">
      <w:pPr>
        <w:pStyle w:val="ListParagraph"/>
        <w:numPr>
          <w:ilvl w:val="0"/>
          <w:numId w:val="22"/>
        </w:numPr>
        <w:spacing w:after="0"/>
        <w:rPr>
          <w:rFonts w:cs="Times New Roman"/>
          <w:szCs w:val="24"/>
        </w:rPr>
      </w:pPr>
      <w:r>
        <w:rPr>
          <w:rFonts w:cs="Times New Roman"/>
          <w:szCs w:val="24"/>
        </w:rPr>
        <w:t xml:space="preserve">The </w:t>
      </w:r>
      <w:r w:rsidR="00161C50" w:rsidRPr="004D5659">
        <w:rPr>
          <w:rFonts w:cs="Times New Roman"/>
          <w:szCs w:val="24"/>
        </w:rPr>
        <w:t xml:space="preserve">application </w:t>
      </w:r>
      <w:r w:rsidR="004D5659">
        <w:rPr>
          <w:rFonts w:cs="Times New Roman"/>
          <w:szCs w:val="24"/>
        </w:rPr>
        <w:t xml:space="preserve">for leave to appeal </w:t>
      </w:r>
      <w:r w:rsidR="00161C50" w:rsidRPr="004D5659">
        <w:rPr>
          <w:rFonts w:cs="Times New Roman"/>
          <w:szCs w:val="24"/>
        </w:rPr>
        <w:t xml:space="preserve">be and is hereby </w:t>
      </w:r>
      <w:r w:rsidR="00FA7C46" w:rsidRPr="004D5659">
        <w:rPr>
          <w:rFonts w:cs="Times New Roman"/>
          <w:szCs w:val="24"/>
        </w:rPr>
        <w:t>dismisse</w:t>
      </w:r>
      <w:r w:rsidR="00592FAC">
        <w:rPr>
          <w:rFonts w:cs="Times New Roman"/>
          <w:szCs w:val="24"/>
        </w:rPr>
        <w:t xml:space="preserve">d. </w:t>
      </w:r>
    </w:p>
    <w:p w14:paraId="6D51ACC6" w14:textId="00712D37" w:rsidR="00592FAC" w:rsidRPr="004D5659" w:rsidRDefault="00592FAC" w:rsidP="00FA7C46">
      <w:pPr>
        <w:pStyle w:val="ListParagraph"/>
        <w:numPr>
          <w:ilvl w:val="0"/>
          <w:numId w:val="22"/>
        </w:numPr>
        <w:spacing w:after="0"/>
        <w:rPr>
          <w:rFonts w:cs="Times New Roman"/>
          <w:szCs w:val="24"/>
        </w:rPr>
      </w:pPr>
      <w:r>
        <w:rPr>
          <w:rFonts w:cs="Times New Roman"/>
          <w:szCs w:val="24"/>
        </w:rPr>
        <w:t xml:space="preserve">There shall be no order as to costs. </w:t>
      </w:r>
    </w:p>
    <w:p w14:paraId="79722353" w14:textId="77777777" w:rsidR="002F7CF6" w:rsidRPr="00D55BA2" w:rsidRDefault="002F7CF6" w:rsidP="002F7CF6">
      <w:pPr>
        <w:spacing w:after="0"/>
        <w:rPr>
          <w:rFonts w:cs="Times New Roman"/>
          <w:szCs w:val="24"/>
        </w:rPr>
      </w:pPr>
    </w:p>
    <w:p w14:paraId="6BF41205" w14:textId="7A7DDD68" w:rsidR="006C36B3" w:rsidRPr="00D55BA2" w:rsidRDefault="006F48ED" w:rsidP="002F7CF6">
      <w:pPr>
        <w:spacing w:after="0"/>
        <w:rPr>
          <w:rFonts w:cs="Times New Roman"/>
          <w:szCs w:val="24"/>
        </w:rPr>
      </w:pPr>
      <w:r w:rsidRPr="00D55BA2">
        <w:rPr>
          <w:rFonts w:cs="Times New Roman"/>
          <w:b/>
          <w:bCs/>
          <w:smallCaps/>
          <w:szCs w:val="24"/>
        </w:rPr>
        <w:t>Mushure</w:t>
      </w:r>
      <w:r w:rsidR="004D120C" w:rsidRPr="00D55BA2">
        <w:rPr>
          <w:rFonts w:cs="Times New Roman"/>
          <w:b/>
          <w:bCs/>
          <w:szCs w:val="24"/>
        </w:rPr>
        <w:t xml:space="preserve"> </w:t>
      </w:r>
      <w:r w:rsidR="002F7CF6" w:rsidRPr="00D55BA2">
        <w:rPr>
          <w:rFonts w:cs="Times New Roman"/>
          <w:b/>
          <w:bCs/>
          <w:szCs w:val="24"/>
        </w:rPr>
        <w:t>J</w:t>
      </w:r>
      <w:r w:rsidR="002F7CF6" w:rsidRPr="00D55BA2">
        <w:rPr>
          <w:rFonts w:cs="Times New Roman"/>
          <w:szCs w:val="24"/>
        </w:rPr>
        <w:t>:……………………………..</w:t>
      </w:r>
      <w:r w:rsidR="00DD6E17" w:rsidRPr="00D55BA2">
        <w:rPr>
          <w:rFonts w:cs="Times New Roman"/>
          <w:szCs w:val="24"/>
        </w:rPr>
        <w:t xml:space="preserve"> </w:t>
      </w:r>
    </w:p>
    <w:p w14:paraId="56E6881F" w14:textId="30731F0F" w:rsidR="006C36B3" w:rsidRPr="00D55BA2" w:rsidRDefault="00E72252" w:rsidP="006C36B3">
      <w:pPr>
        <w:spacing w:after="0" w:line="240" w:lineRule="auto"/>
        <w:rPr>
          <w:rFonts w:cs="Times New Roman"/>
          <w:szCs w:val="24"/>
        </w:rPr>
      </w:pPr>
      <w:r>
        <w:rPr>
          <w:rFonts w:cs="Times New Roman"/>
          <w:i/>
          <w:iCs/>
          <w:szCs w:val="24"/>
        </w:rPr>
        <w:t>Atherstone &amp; Cook</w:t>
      </w:r>
      <w:r w:rsidR="006C36B3" w:rsidRPr="00D55BA2">
        <w:rPr>
          <w:rFonts w:cs="Times New Roman"/>
          <w:szCs w:val="24"/>
        </w:rPr>
        <w:t xml:space="preserve">, </w:t>
      </w:r>
      <w:r w:rsidR="00161C50">
        <w:rPr>
          <w:rFonts w:cs="Times New Roman"/>
          <w:szCs w:val="24"/>
        </w:rPr>
        <w:t>applicant</w:t>
      </w:r>
      <w:r w:rsidR="006C36B3" w:rsidRPr="00D55BA2">
        <w:rPr>
          <w:rFonts w:cs="Times New Roman"/>
          <w:szCs w:val="24"/>
        </w:rPr>
        <w:t>’s legal practitioners</w:t>
      </w:r>
    </w:p>
    <w:p w14:paraId="3C2D36D1" w14:textId="55088A85" w:rsidR="006C36B3" w:rsidRPr="00D55BA2" w:rsidRDefault="00E72252" w:rsidP="006C36B3">
      <w:pPr>
        <w:spacing w:after="0" w:line="240" w:lineRule="auto"/>
        <w:rPr>
          <w:rFonts w:cs="Times New Roman"/>
          <w:szCs w:val="24"/>
        </w:rPr>
      </w:pPr>
      <w:r>
        <w:rPr>
          <w:rFonts w:cs="Times New Roman"/>
          <w:i/>
          <w:iCs/>
          <w:szCs w:val="24"/>
        </w:rPr>
        <w:t>Lawman Law Chambers</w:t>
      </w:r>
      <w:r w:rsidR="00161C50">
        <w:rPr>
          <w:rFonts w:cs="Times New Roman"/>
          <w:i/>
          <w:iCs/>
          <w:szCs w:val="24"/>
        </w:rPr>
        <w:t>,</w:t>
      </w:r>
      <w:r w:rsidR="00694343">
        <w:rPr>
          <w:rFonts w:cs="Times New Roman"/>
          <w:szCs w:val="24"/>
        </w:rPr>
        <w:t xml:space="preserve"> </w:t>
      </w:r>
      <w:r w:rsidR="00161C50">
        <w:rPr>
          <w:rFonts w:cs="Times New Roman"/>
          <w:szCs w:val="24"/>
        </w:rPr>
        <w:t>respondent</w:t>
      </w:r>
      <w:r w:rsidR="00860916" w:rsidRPr="00D55BA2">
        <w:rPr>
          <w:rFonts w:cs="Times New Roman"/>
          <w:szCs w:val="24"/>
        </w:rPr>
        <w:t>s</w:t>
      </w:r>
      <w:r>
        <w:rPr>
          <w:rFonts w:cs="Times New Roman"/>
          <w:szCs w:val="24"/>
        </w:rPr>
        <w:t>’</w:t>
      </w:r>
      <w:r w:rsidR="00860916" w:rsidRPr="00D55BA2">
        <w:rPr>
          <w:rFonts w:cs="Times New Roman"/>
          <w:szCs w:val="24"/>
        </w:rPr>
        <w:t xml:space="preserve"> leg</w:t>
      </w:r>
      <w:r w:rsidR="00161C50">
        <w:rPr>
          <w:rFonts w:cs="Times New Roman"/>
          <w:szCs w:val="24"/>
        </w:rPr>
        <w:t>al</w:t>
      </w:r>
      <w:r w:rsidR="00860916" w:rsidRPr="00D55BA2">
        <w:rPr>
          <w:rFonts w:cs="Times New Roman"/>
          <w:szCs w:val="24"/>
        </w:rPr>
        <w:t xml:space="preserve"> practitioners</w:t>
      </w:r>
    </w:p>
    <w:p w14:paraId="354A8338" w14:textId="77777777" w:rsidR="0050061B" w:rsidRDefault="0050061B">
      <w:pPr>
        <w:rPr>
          <w:lang w:val="en-ZW"/>
        </w:rPr>
      </w:pPr>
    </w:p>
    <w:p w14:paraId="56FB1745" w14:textId="77777777" w:rsidR="00B82660" w:rsidRPr="00221185" w:rsidRDefault="00B82660">
      <w:pPr>
        <w:rPr>
          <w:lang w:val="en-ZW"/>
        </w:rPr>
      </w:pPr>
    </w:p>
    <w:sectPr w:rsidR="00B82660" w:rsidRPr="00221185">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053345" w14:textId="77777777" w:rsidR="00D06DF7" w:rsidRPr="00D55BA2" w:rsidRDefault="00D06DF7" w:rsidP="0050061B">
      <w:pPr>
        <w:spacing w:after="0" w:line="240" w:lineRule="auto"/>
      </w:pPr>
      <w:r w:rsidRPr="00D55BA2">
        <w:separator/>
      </w:r>
    </w:p>
  </w:endnote>
  <w:endnote w:type="continuationSeparator" w:id="0">
    <w:p w14:paraId="6536A1F7" w14:textId="77777777" w:rsidR="00D06DF7" w:rsidRPr="00D55BA2" w:rsidRDefault="00D06DF7" w:rsidP="0050061B">
      <w:pPr>
        <w:spacing w:after="0" w:line="240" w:lineRule="auto"/>
      </w:pPr>
      <w:r w:rsidRPr="00D55B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57BF3E" w14:textId="77777777" w:rsidR="00D06DF7" w:rsidRPr="00D55BA2" w:rsidRDefault="00D06DF7" w:rsidP="0050061B">
      <w:pPr>
        <w:spacing w:after="0" w:line="240" w:lineRule="auto"/>
      </w:pPr>
      <w:r w:rsidRPr="00D55BA2">
        <w:separator/>
      </w:r>
    </w:p>
  </w:footnote>
  <w:footnote w:type="continuationSeparator" w:id="0">
    <w:p w14:paraId="1A89FA49" w14:textId="77777777" w:rsidR="00D06DF7" w:rsidRPr="00D55BA2" w:rsidRDefault="00D06DF7" w:rsidP="0050061B">
      <w:pPr>
        <w:spacing w:after="0" w:line="240" w:lineRule="auto"/>
      </w:pPr>
      <w:r w:rsidRPr="00D55BA2">
        <w:continuationSeparator/>
      </w:r>
    </w:p>
  </w:footnote>
  <w:footnote w:id="1">
    <w:p w14:paraId="3601C7A9" w14:textId="719F34B4" w:rsidR="00FC3051" w:rsidRPr="00FC3051" w:rsidRDefault="00FC3051">
      <w:pPr>
        <w:pStyle w:val="FootnoteText"/>
        <w:rPr>
          <w:lang w:val="en-ZW"/>
        </w:rPr>
      </w:pPr>
      <w:r>
        <w:rPr>
          <w:rStyle w:val="FootnoteReference"/>
        </w:rPr>
        <w:footnoteRef/>
      </w:r>
      <w:r w:rsidRPr="00FC3051">
        <w:rPr>
          <w:lang w:val="en-ZW"/>
        </w:rPr>
        <w:t xml:space="preserve"> Pretoria Garrison Institutes v Danish Variety Pro</w:t>
      </w:r>
      <w:r>
        <w:rPr>
          <w:lang w:val="en-ZW"/>
        </w:rPr>
        <w:t>ducts 1948 (1)</w:t>
      </w:r>
      <w:r w:rsidR="003277C9">
        <w:rPr>
          <w:lang w:val="en-ZW"/>
        </w:rPr>
        <w:t xml:space="preserve"> SA 839 (A)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475316"/>
      <w:docPartObj>
        <w:docPartGallery w:val="Page Numbers (Top of Page)"/>
        <w:docPartUnique/>
      </w:docPartObj>
    </w:sdtPr>
    <w:sdtEndPr/>
    <w:sdtContent>
      <w:p w14:paraId="23AFBDC0" w14:textId="222FF7E4" w:rsidR="0050061B" w:rsidRPr="00D55BA2" w:rsidRDefault="0050061B">
        <w:pPr>
          <w:pStyle w:val="Header"/>
          <w:jc w:val="right"/>
        </w:pPr>
        <w:r w:rsidRPr="00D55BA2">
          <w:fldChar w:fldCharType="begin"/>
        </w:r>
        <w:r w:rsidRPr="00D55BA2">
          <w:instrText xml:space="preserve"> PAGE   \* MERGEFORMAT </w:instrText>
        </w:r>
        <w:r w:rsidRPr="00D55BA2">
          <w:fldChar w:fldCharType="separate"/>
        </w:r>
        <w:r w:rsidR="001E0B98">
          <w:rPr>
            <w:noProof/>
          </w:rPr>
          <w:t>1</w:t>
        </w:r>
        <w:r w:rsidRPr="00D55BA2">
          <w:fldChar w:fldCharType="end"/>
        </w:r>
      </w:p>
      <w:p w14:paraId="13FB4644" w14:textId="1F19CDAB" w:rsidR="0050061B" w:rsidRPr="00D55BA2" w:rsidRDefault="0050061B">
        <w:pPr>
          <w:pStyle w:val="Header"/>
          <w:jc w:val="right"/>
        </w:pPr>
        <w:r w:rsidRPr="00D55BA2">
          <w:t>HH</w:t>
        </w:r>
        <w:r w:rsidR="007226BD">
          <w:t xml:space="preserve"> </w:t>
        </w:r>
        <w:r w:rsidR="006A14E6">
          <w:t>328</w:t>
        </w:r>
        <w:r w:rsidR="008C31E5" w:rsidRPr="00D55BA2">
          <w:t>/2</w:t>
        </w:r>
        <w:r w:rsidR="005A4B57">
          <w:t>6</w:t>
        </w:r>
        <w:r w:rsidR="00C67540" w:rsidRPr="00D55BA2">
          <w:t xml:space="preserve"> </w:t>
        </w:r>
      </w:p>
      <w:p w14:paraId="7DA34577" w14:textId="77777777" w:rsidR="0062325F" w:rsidRDefault="0050061B">
        <w:pPr>
          <w:pStyle w:val="Header"/>
          <w:jc w:val="right"/>
        </w:pPr>
        <w:r w:rsidRPr="00D55BA2">
          <w:t>HCH</w:t>
        </w:r>
        <w:r w:rsidR="00F347E7" w:rsidRPr="00D55BA2">
          <w:t xml:space="preserve">C </w:t>
        </w:r>
        <w:r w:rsidR="00D72F8A">
          <w:t>570</w:t>
        </w:r>
        <w:r w:rsidR="00F347E7" w:rsidRPr="00D55BA2">
          <w:t>/25</w:t>
        </w:r>
      </w:p>
      <w:p w14:paraId="1C56E07F" w14:textId="0D72AA31" w:rsidR="0050061B" w:rsidRPr="00D55BA2" w:rsidRDefault="0062325F">
        <w:pPr>
          <w:pStyle w:val="Header"/>
          <w:jc w:val="right"/>
        </w:pPr>
        <w:r>
          <w:t>Ref: HCHC455/25</w:t>
        </w:r>
      </w:p>
    </w:sdtContent>
  </w:sdt>
  <w:p w14:paraId="45CCDEA2" w14:textId="77777777" w:rsidR="0050061B" w:rsidRPr="00D55BA2" w:rsidRDefault="005006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A0759"/>
    <w:multiLevelType w:val="hybridMultilevel"/>
    <w:tmpl w:val="41A4826C"/>
    <w:lvl w:ilvl="0" w:tplc="D2B03CC2">
      <w:start w:val="11"/>
      <w:numFmt w:val="decimal"/>
      <w:lvlText w:val="%1."/>
      <w:lvlJc w:val="left"/>
      <w:pPr>
        <w:ind w:left="1806" w:hanging="360"/>
      </w:pPr>
      <w:rPr>
        <w:rFonts w:hint="default"/>
      </w:rPr>
    </w:lvl>
    <w:lvl w:ilvl="1" w:tplc="30090019" w:tentative="1">
      <w:start w:val="1"/>
      <w:numFmt w:val="lowerLetter"/>
      <w:lvlText w:val="%2."/>
      <w:lvlJc w:val="left"/>
      <w:pPr>
        <w:ind w:left="2526" w:hanging="360"/>
      </w:pPr>
    </w:lvl>
    <w:lvl w:ilvl="2" w:tplc="3009001B" w:tentative="1">
      <w:start w:val="1"/>
      <w:numFmt w:val="lowerRoman"/>
      <w:lvlText w:val="%3."/>
      <w:lvlJc w:val="right"/>
      <w:pPr>
        <w:ind w:left="3246" w:hanging="180"/>
      </w:pPr>
    </w:lvl>
    <w:lvl w:ilvl="3" w:tplc="3009000F" w:tentative="1">
      <w:start w:val="1"/>
      <w:numFmt w:val="decimal"/>
      <w:lvlText w:val="%4."/>
      <w:lvlJc w:val="left"/>
      <w:pPr>
        <w:ind w:left="3966" w:hanging="360"/>
      </w:pPr>
    </w:lvl>
    <w:lvl w:ilvl="4" w:tplc="30090019" w:tentative="1">
      <w:start w:val="1"/>
      <w:numFmt w:val="lowerLetter"/>
      <w:lvlText w:val="%5."/>
      <w:lvlJc w:val="left"/>
      <w:pPr>
        <w:ind w:left="4686" w:hanging="360"/>
      </w:pPr>
    </w:lvl>
    <w:lvl w:ilvl="5" w:tplc="3009001B" w:tentative="1">
      <w:start w:val="1"/>
      <w:numFmt w:val="lowerRoman"/>
      <w:lvlText w:val="%6."/>
      <w:lvlJc w:val="right"/>
      <w:pPr>
        <w:ind w:left="5406" w:hanging="180"/>
      </w:pPr>
    </w:lvl>
    <w:lvl w:ilvl="6" w:tplc="3009000F" w:tentative="1">
      <w:start w:val="1"/>
      <w:numFmt w:val="decimal"/>
      <w:lvlText w:val="%7."/>
      <w:lvlJc w:val="left"/>
      <w:pPr>
        <w:ind w:left="6126" w:hanging="360"/>
      </w:pPr>
    </w:lvl>
    <w:lvl w:ilvl="7" w:tplc="30090019" w:tentative="1">
      <w:start w:val="1"/>
      <w:numFmt w:val="lowerLetter"/>
      <w:lvlText w:val="%8."/>
      <w:lvlJc w:val="left"/>
      <w:pPr>
        <w:ind w:left="6846" w:hanging="360"/>
      </w:pPr>
    </w:lvl>
    <w:lvl w:ilvl="8" w:tplc="3009001B" w:tentative="1">
      <w:start w:val="1"/>
      <w:numFmt w:val="lowerRoman"/>
      <w:lvlText w:val="%9."/>
      <w:lvlJc w:val="right"/>
      <w:pPr>
        <w:ind w:left="7566" w:hanging="180"/>
      </w:pPr>
    </w:lvl>
  </w:abstractNum>
  <w:abstractNum w:abstractNumId="1">
    <w:nsid w:val="05AC38EC"/>
    <w:multiLevelType w:val="hybridMultilevel"/>
    <w:tmpl w:val="CCCA152A"/>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0A2F5B09"/>
    <w:multiLevelType w:val="hybridMultilevel"/>
    <w:tmpl w:val="5F98C8B2"/>
    <w:lvl w:ilvl="0" w:tplc="B5B0A890">
      <w:start w:val="5"/>
      <w:numFmt w:val="decimal"/>
      <w:lvlText w:val="%1."/>
      <w:lvlJc w:val="left"/>
      <w:pPr>
        <w:ind w:left="1070" w:hanging="360"/>
      </w:pPr>
      <w:rPr>
        <w:rFonts w:hint="default"/>
      </w:rPr>
    </w:lvl>
    <w:lvl w:ilvl="1" w:tplc="30090019">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3">
    <w:nsid w:val="0B5C0BC5"/>
    <w:multiLevelType w:val="multilevel"/>
    <w:tmpl w:val="0B5C0BC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D727178"/>
    <w:multiLevelType w:val="multilevel"/>
    <w:tmpl w:val="0D727178"/>
    <w:lvl w:ilvl="0">
      <w:start w:val="1"/>
      <w:numFmt w:val="decimal"/>
      <w:lvlText w:val="[%1]"/>
      <w:lvlJc w:val="left"/>
      <w:pPr>
        <w:ind w:left="907" w:hanging="907"/>
      </w:pPr>
      <w:rPr>
        <w:rFonts w:hint="default"/>
        <w:b w:val="0"/>
        <w:i w:val="0"/>
        <w:color w:val="auto"/>
      </w:rPr>
    </w:lvl>
    <w:lvl w:ilvl="1">
      <w:start w:val="1"/>
      <w:numFmt w:val="lowerRoman"/>
      <w:lvlText w:val="%2."/>
      <w:lvlJc w:val="left"/>
      <w:pPr>
        <w:ind w:left="1091" w:hanging="720"/>
      </w:pPr>
      <w:rPr>
        <w:rFonts w:hint="default"/>
        <w:b w:val="0"/>
      </w:r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5">
    <w:nsid w:val="0DC60F89"/>
    <w:multiLevelType w:val="hybridMultilevel"/>
    <w:tmpl w:val="9CD64B1C"/>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nsid w:val="0F0B5BDD"/>
    <w:multiLevelType w:val="multilevel"/>
    <w:tmpl w:val="0F0B5BDD"/>
    <w:lvl w:ilvl="0">
      <w:start w:val="1"/>
      <w:numFmt w:val="decimal"/>
      <w:lvlText w:val="[%1]"/>
      <w:lvlJc w:val="left"/>
      <w:pPr>
        <w:ind w:left="720" w:hanging="360"/>
      </w:pPr>
      <w:rPr>
        <w:rFonts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50E7F47"/>
    <w:multiLevelType w:val="hybridMultilevel"/>
    <w:tmpl w:val="09DCA47C"/>
    <w:lvl w:ilvl="0" w:tplc="018E17F2">
      <w:start w:val="1"/>
      <w:numFmt w:val="decimal"/>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17A12024"/>
    <w:multiLevelType w:val="hybridMultilevel"/>
    <w:tmpl w:val="DA7A12AC"/>
    <w:lvl w:ilvl="0" w:tplc="83E088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957444C"/>
    <w:multiLevelType w:val="multilevel"/>
    <w:tmpl w:val="BCEC421A"/>
    <w:lvl w:ilvl="0">
      <w:start w:val="11"/>
      <w:numFmt w:val="decimal"/>
      <w:lvlText w:val="%1."/>
      <w:lvlJc w:val="left"/>
      <w:pPr>
        <w:ind w:left="444" w:hanging="444"/>
      </w:pPr>
      <w:rPr>
        <w:rFonts w:hint="default"/>
      </w:rPr>
    </w:lvl>
    <w:lvl w:ilvl="1">
      <w:start w:val="1"/>
      <w:numFmt w:val="decimal"/>
      <w:lvlText w:val="%1.%2."/>
      <w:lvlJc w:val="left"/>
      <w:pPr>
        <w:ind w:left="2250" w:hanging="444"/>
      </w:pPr>
      <w:rPr>
        <w:rFonts w:hint="default"/>
      </w:rPr>
    </w:lvl>
    <w:lvl w:ilvl="2">
      <w:start w:val="1"/>
      <w:numFmt w:val="decimal"/>
      <w:lvlText w:val="%1.%2.%3."/>
      <w:lvlJc w:val="left"/>
      <w:pPr>
        <w:ind w:left="4332" w:hanging="720"/>
      </w:pPr>
      <w:rPr>
        <w:rFonts w:hint="default"/>
      </w:rPr>
    </w:lvl>
    <w:lvl w:ilvl="3">
      <w:start w:val="1"/>
      <w:numFmt w:val="decimal"/>
      <w:lvlText w:val="%1.%2.%3.%4."/>
      <w:lvlJc w:val="left"/>
      <w:pPr>
        <w:ind w:left="6138" w:hanging="720"/>
      </w:pPr>
      <w:rPr>
        <w:rFonts w:hint="default"/>
      </w:rPr>
    </w:lvl>
    <w:lvl w:ilvl="4">
      <w:start w:val="1"/>
      <w:numFmt w:val="decimal"/>
      <w:lvlText w:val="%1.%2.%3.%4.%5."/>
      <w:lvlJc w:val="left"/>
      <w:pPr>
        <w:ind w:left="8304" w:hanging="1080"/>
      </w:pPr>
      <w:rPr>
        <w:rFonts w:hint="default"/>
      </w:rPr>
    </w:lvl>
    <w:lvl w:ilvl="5">
      <w:start w:val="1"/>
      <w:numFmt w:val="decimal"/>
      <w:lvlText w:val="%1.%2.%3.%4.%5.%6."/>
      <w:lvlJc w:val="left"/>
      <w:pPr>
        <w:ind w:left="10110" w:hanging="1080"/>
      </w:pPr>
      <w:rPr>
        <w:rFonts w:hint="default"/>
      </w:rPr>
    </w:lvl>
    <w:lvl w:ilvl="6">
      <w:start w:val="1"/>
      <w:numFmt w:val="decimal"/>
      <w:lvlText w:val="%1.%2.%3.%4.%5.%6.%7."/>
      <w:lvlJc w:val="left"/>
      <w:pPr>
        <w:ind w:left="12276" w:hanging="1440"/>
      </w:pPr>
      <w:rPr>
        <w:rFonts w:hint="default"/>
      </w:rPr>
    </w:lvl>
    <w:lvl w:ilvl="7">
      <w:start w:val="1"/>
      <w:numFmt w:val="decimal"/>
      <w:lvlText w:val="%1.%2.%3.%4.%5.%6.%7.%8."/>
      <w:lvlJc w:val="left"/>
      <w:pPr>
        <w:ind w:left="14082" w:hanging="1440"/>
      </w:pPr>
      <w:rPr>
        <w:rFonts w:hint="default"/>
      </w:rPr>
    </w:lvl>
    <w:lvl w:ilvl="8">
      <w:start w:val="1"/>
      <w:numFmt w:val="decimal"/>
      <w:lvlText w:val="%1.%2.%3.%4.%5.%6.%7.%8.%9."/>
      <w:lvlJc w:val="left"/>
      <w:pPr>
        <w:ind w:left="16248" w:hanging="1800"/>
      </w:pPr>
      <w:rPr>
        <w:rFonts w:hint="default"/>
      </w:rPr>
    </w:lvl>
  </w:abstractNum>
  <w:abstractNum w:abstractNumId="10">
    <w:nsid w:val="19AB5BC2"/>
    <w:multiLevelType w:val="hybridMultilevel"/>
    <w:tmpl w:val="F83822E8"/>
    <w:lvl w:ilvl="0" w:tplc="FAC63E78">
      <w:start w:val="1"/>
      <w:numFmt w:val="decimal"/>
      <w:lvlText w:val="[%1]"/>
      <w:lvlJc w:val="left"/>
      <w:pPr>
        <w:ind w:left="907" w:hanging="547"/>
      </w:pPr>
      <w:rPr>
        <w:rFonts w:hint="default"/>
        <w:b w:val="0"/>
        <w:i w:val="0"/>
        <w:color w:val="auto"/>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1BAC509F"/>
    <w:multiLevelType w:val="hybridMultilevel"/>
    <w:tmpl w:val="7424F64A"/>
    <w:lvl w:ilvl="0" w:tplc="3009000F">
      <w:start w:val="5"/>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21F74971"/>
    <w:multiLevelType w:val="hybridMultilevel"/>
    <w:tmpl w:val="BB16C0D2"/>
    <w:lvl w:ilvl="0" w:tplc="DED883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7FC1DE5"/>
    <w:multiLevelType w:val="hybridMultilevel"/>
    <w:tmpl w:val="612064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nsid w:val="29640A07"/>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ACC0473"/>
    <w:multiLevelType w:val="multilevel"/>
    <w:tmpl w:val="A61ACEAE"/>
    <w:lvl w:ilvl="0">
      <w:start w:val="11"/>
      <w:numFmt w:val="decimal"/>
      <w:lvlText w:val="%1"/>
      <w:lvlJc w:val="left"/>
      <w:pPr>
        <w:ind w:left="384" w:hanging="384"/>
      </w:pPr>
      <w:rPr>
        <w:rFonts w:hint="default"/>
      </w:rPr>
    </w:lvl>
    <w:lvl w:ilvl="1">
      <w:start w:val="1"/>
      <w:numFmt w:val="decimal"/>
      <w:lvlText w:val="%1.%2"/>
      <w:lvlJc w:val="left"/>
      <w:pPr>
        <w:ind w:left="2634" w:hanging="384"/>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440" w:hanging="1440"/>
      </w:pPr>
      <w:rPr>
        <w:rFonts w:hint="default"/>
      </w:rPr>
    </w:lvl>
  </w:abstractNum>
  <w:abstractNum w:abstractNumId="16">
    <w:nsid w:val="2B337113"/>
    <w:multiLevelType w:val="multilevel"/>
    <w:tmpl w:val="5D420722"/>
    <w:lvl w:ilvl="0">
      <w:start w:val="10"/>
      <w:numFmt w:val="decimal"/>
      <w:lvlText w:val="%1"/>
      <w:lvlJc w:val="left"/>
      <w:pPr>
        <w:ind w:left="384" w:hanging="384"/>
      </w:pPr>
      <w:rPr>
        <w:rFonts w:hint="default"/>
      </w:rPr>
    </w:lvl>
    <w:lvl w:ilvl="1">
      <w:start w:val="1"/>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17">
    <w:nsid w:val="2E842CAD"/>
    <w:multiLevelType w:val="hybridMultilevel"/>
    <w:tmpl w:val="1022533E"/>
    <w:lvl w:ilvl="0" w:tplc="3009000F">
      <w:start w:val="1"/>
      <w:numFmt w:val="decimal"/>
      <w:lvlText w:val="%1."/>
      <w:lvlJc w:val="left"/>
      <w:pPr>
        <w:ind w:left="720" w:hanging="360"/>
      </w:pPr>
    </w:lvl>
    <w:lvl w:ilvl="1" w:tplc="0728DF58">
      <w:start w:val="1"/>
      <w:numFmt w:val="decimal"/>
      <w:lvlText w:val="%2."/>
      <w:lvlJc w:val="left"/>
      <w:pPr>
        <w:ind w:left="1440" w:hanging="360"/>
      </w:pPr>
      <w:rPr>
        <w:rFonts w:ascii="Times New Roman" w:eastAsiaTheme="minorHAnsi" w:hAnsi="Times New Roman" w:cs="Times New Roman"/>
      </w:r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8">
    <w:nsid w:val="2FDD7F07"/>
    <w:multiLevelType w:val="hybridMultilevel"/>
    <w:tmpl w:val="FF946518"/>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9">
    <w:nsid w:val="30E50305"/>
    <w:multiLevelType w:val="hybridMultilevel"/>
    <w:tmpl w:val="EC3C605E"/>
    <w:lvl w:ilvl="0" w:tplc="22A68BF2">
      <w:start w:val="1"/>
      <w:numFmt w:val="decimal"/>
      <w:lvlText w:val="[%1]"/>
      <w:lvlJc w:val="left"/>
      <w:pPr>
        <w:ind w:left="1440" w:hanging="360"/>
      </w:pPr>
      <w:rPr>
        <w:rFonts w:hint="default"/>
        <w:b w:val="0"/>
        <w:bCs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0">
    <w:nsid w:val="32594169"/>
    <w:multiLevelType w:val="hybridMultilevel"/>
    <w:tmpl w:val="49D03CB6"/>
    <w:lvl w:ilvl="0" w:tplc="2A0464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3F56E9A"/>
    <w:multiLevelType w:val="hybridMultilevel"/>
    <w:tmpl w:val="27C05EA4"/>
    <w:lvl w:ilvl="0" w:tplc="5F1654FE">
      <w:start w:val="1"/>
      <w:numFmt w:val="decimal"/>
      <w:lvlText w:val="[%1]"/>
      <w:lvlJc w:val="left"/>
      <w:pPr>
        <w:ind w:left="360" w:hanging="360"/>
      </w:pPr>
      <w:rPr>
        <w:rFonts w:hint="default"/>
      </w:rPr>
    </w:lvl>
    <w:lvl w:ilvl="1" w:tplc="90405B08">
      <w:start w:val="1"/>
      <w:numFmt w:val="lowerLetter"/>
      <w:lvlText w:val="(%2)"/>
      <w:lvlJc w:val="left"/>
      <w:pPr>
        <w:ind w:left="1080" w:hanging="360"/>
      </w:pPr>
      <w:rPr>
        <w:rFonts w:hint="default"/>
      </w:r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22">
    <w:nsid w:val="38815F80"/>
    <w:multiLevelType w:val="hybridMultilevel"/>
    <w:tmpl w:val="F3A6A8AA"/>
    <w:lvl w:ilvl="0" w:tplc="2954C804">
      <w:start w:val="1"/>
      <w:numFmt w:val="decimal"/>
      <w:suff w:val="space"/>
      <w:lvlText w:val="[%1]"/>
      <w:lvlJc w:val="left"/>
      <w:pPr>
        <w:ind w:left="360" w:hanging="360"/>
      </w:pPr>
      <w:rPr>
        <w:rFonts w:hint="default"/>
        <w:b w:val="0"/>
        <w:i w:val="0"/>
        <w:color w:val="auto"/>
        <w:sz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3">
    <w:nsid w:val="39470791"/>
    <w:multiLevelType w:val="hybridMultilevel"/>
    <w:tmpl w:val="FFCE1F10"/>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nsid w:val="396C266D"/>
    <w:multiLevelType w:val="multilevel"/>
    <w:tmpl w:val="0E5ADB2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DD60C1D"/>
    <w:multiLevelType w:val="hybridMultilevel"/>
    <w:tmpl w:val="5E60F278"/>
    <w:lvl w:ilvl="0" w:tplc="CEC8546A">
      <w:start w:val="1"/>
      <w:numFmt w:val="decimal"/>
      <w:lvlText w:val="[%1]"/>
      <w:lvlJc w:val="left"/>
      <w:pPr>
        <w:ind w:left="360" w:hanging="360"/>
      </w:pPr>
      <w:rPr>
        <w:rFonts w:ascii="Times New Roman" w:hAnsi="Times New Roman" w:cs="Times New Roman" w:hint="default"/>
        <w:b w:val="0"/>
        <w:i w:val="0"/>
        <w:sz w:val="24"/>
        <w:szCs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26">
    <w:nsid w:val="3E7729E6"/>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nsid w:val="3E7B2670"/>
    <w:multiLevelType w:val="hybridMultilevel"/>
    <w:tmpl w:val="87FC5F92"/>
    <w:lvl w:ilvl="0" w:tplc="41A0ED70">
      <w:start w:val="1"/>
      <w:numFmt w:val="decimal"/>
      <w:lvlText w:val="[%1]"/>
      <w:lvlJc w:val="left"/>
      <w:pPr>
        <w:ind w:left="1070" w:hanging="360"/>
      </w:pPr>
      <w:rPr>
        <w:rFonts w:hint="default"/>
        <w:i w:val="0"/>
      </w:rPr>
    </w:lvl>
    <w:lvl w:ilvl="1" w:tplc="30090019">
      <w:start w:val="1"/>
      <w:numFmt w:val="lowerLetter"/>
      <w:lvlText w:val="%2."/>
      <w:lvlJc w:val="left"/>
      <w:pPr>
        <w:ind w:left="2444" w:hanging="360"/>
      </w:pPr>
    </w:lvl>
    <w:lvl w:ilvl="2" w:tplc="3009001B" w:tentative="1">
      <w:start w:val="1"/>
      <w:numFmt w:val="lowerRoman"/>
      <w:lvlText w:val="%3."/>
      <w:lvlJc w:val="right"/>
      <w:pPr>
        <w:ind w:left="3164" w:hanging="180"/>
      </w:pPr>
    </w:lvl>
    <w:lvl w:ilvl="3" w:tplc="3009000F" w:tentative="1">
      <w:start w:val="1"/>
      <w:numFmt w:val="decimal"/>
      <w:lvlText w:val="%4."/>
      <w:lvlJc w:val="left"/>
      <w:pPr>
        <w:ind w:left="3884" w:hanging="360"/>
      </w:pPr>
    </w:lvl>
    <w:lvl w:ilvl="4" w:tplc="30090019" w:tentative="1">
      <w:start w:val="1"/>
      <w:numFmt w:val="lowerLetter"/>
      <w:lvlText w:val="%5."/>
      <w:lvlJc w:val="left"/>
      <w:pPr>
        <w:ind w:left="4604" w:hanging="360"/>
      </w:pPr>
    </w:lvl>
    <w:lvl w:ilvl="5" w:tplc="3009001B" w:tentative="1">
      <w:start w:val="1"/>
      <w:numFmt w:val="lowerRoman"/>
      <w:lvlText w:val="%6."/>
      <w:lvlJc w:val="right"/>
      <w:pPr>
        <w:ind w:left="5324" w:hanging="180"/>
      </w:pPr>
    </w:lvl>
    <w:lvl w:ilvl="6" w:tplc="3009000F" w:tentative="1">
      <w:start w:val="1"/>
      <w:numFmt w:val="decimal"/>
      <w:lvlText w:val="%7."/>
      <w:lvlJc w:val="left"/>
      <w:pPr>
        <w:ind w:left="6044" w:hanging="360"/>
      </w:pPr>
    </w:lvl>
    <w:lvl w:ilvl="7" w:tplc="30090019" w:tentative="1">
      <w:start w:val="1"/>
      <w:numFmt w:val="lowerLetter"/>
      <w:lvlText w:val="%8."/>
      <w:lvlJc w:val="left"/>
      <w:pPr>
        <w:ind w:left="6764" w:hanging="360"/>
      </w:pPr>
    </w:lvl>
    <w:lvl w:ilvl="8" w:tplc="3009001B" w:tentative="1">
      <w:start w:val="1"/>
      <w:numFmt w:val="lowerRoman"/>
      <w:lvlText w:val="%9."/>
      <w:lvlJc w:val="right"/>
      <w:pPr>
        <w:ind w:left="7484" w:hanging="180"/>
      </w:pPr>
    </w:lvl>
  </w:abstractNum>
  <w:abstractNum w:abstractNumId="28">
    <w:nsid w:val="3EC54AF5"/>
    <w:multiLevelType w:val="hybridMultilevel"/>
    <w:tmpl w:val="94425022"/>
    <w:lvl w:ilvl="0" w:tplc="359AAA8C">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9">
    <w:nsid w:val="455A5ABF"/>
    <w:multiLevelType w:val="hybridMultilevel"/>
    <w:tmpl w:val="38D46A36"/>
    <w:lvl w:ilvl="0" w:tplc="969C80FE">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0">
    <w:nsid w:val="46130070"/>
    <w:multiLevelType w:val="hybridMultilevel"/>
    <w:tmpl w:val="45A2D5AA"/>
    <w:lvl w:ilvl="0" w:tplc="F1FACD3E">
      <w:start w:val="9"/>
      <w:numFmt w:val="lowerLetter"/>
      <w:lvlText w:val="%1."/>
      <w:lvlJc w:val="left"/>
      <w:pPr>
        <w:ind w:left="862" w:hanging="360"/>
      </w:pPr>
      <w:rPr>
        <w:rFonts w:hint="default"/>
      </w:rPr>
    </w:lvl>
    <w:lvl w:ilvl="1" w:tplc="30090019" w:tentative="1">
      <w:start w:val="1"/>
      <w:numFmt w:val="lowerLetter"/>
      <w:lvlText w:val="%2."/>
      <w:lvlJc w:val="left"/>
      <w:pPr>
        <w:ind w:left="1582" w:hanging="360"/>
      </w:pPr>
    </w:lvl>
    <w:lvl w:ilvl="2" w:tplc="3009001B" w:tentative="1">
      <w:start w:val="1"/>
      <w:numFmt w:val="lowerRoman"/>
      <w:lvlText w:val="%3."/>
      <w:lvlJc w:val="right"/>
      <w:pPr>
        <w:ind w:left="2302" w:hanging="180"/>
      </w:pPr>
    </w:lvl>
    <w:lvl w:ilvl="3" w:tplc="3009000F" w:tentative="1">
      <w:start w:val="1"/>
      <w:numFmt w:val="decimal"/>
      <w:lvlText w:val="%4."/>
      <w:lvlJc w:val="left"/>
      <w:pPr>
        <w:ind w:left="3022" w:hanging="360"/>
      </w:pPr>
    </w:lvl>
    <w:lvl w:ilvl="4" w:tplc="30090019" w:tentative="1">
      <w:start w:val="1"/>
      <w:numFmt w:val="lowerLetter"/>
      <w:lvlText w:val="%5."/>
      <w:lvlJc w:val="left"/>
      <w:pPr>
        <w:ind w:left="3742" w:hanging="360"/>
      </w:pPr>
    </w:lvl>
    <w:lvl w:ilvl="5" w:tplc="3009001B" w:tentative="1">
      <w:start w:val="1"/>
      <w:numFmt w:val="lowerRoman"/>
      <w:lvlText w:val="%6."/>
      <w:lvlJc w:val="right"/>
      <w:pPr>
        <w:ind w:left="4462" w:hanging="180"/>
      </w:pPr>
    </w:lvl>
    <w:lvl w:ilvl="6" w:tplc="3009000F" w:tentative="1">
      <w:start w:val="1"/>
      <w:numFmt w:val="decimal"/>
      <w:lvlText w:val="%7."/>
      <w:lvlJc w:val="left"/>
      <w:pPr>
        <w:ind w:left="5182" w:hanging="360"/>
      </w:pPr>
    </w:lvl>
    <w:lvl w:ilvl="7" w:tplc="30090019" w:tentative="1">
      <w:start w:val="1"/>
      <w:numFmt w:val="lowerLetter"/>
      <w:lvlText w:val="%8."/>
      <w:lvlJc w:val="left"/>
      <w:pPr>
        <w:ind w:left="5902" w:hanging="360"/>
      </w:pPr>
    </w:lvl>
    <w:lvl w:ilvl="8" w:tplc="3009001B" w:tentative="1">
      <w:start w:val="1"/>
      <w:numFmt w:val="lowerRoman"/>
      <w:lvlText w:val="%9."/>
      <w:lvlJc w:val="right"/>
      <w:pPr>
        <w:ind w:left="6622" w:hanging="180"/>
      </w:pPr>
    </w:lvl>
  </w:abstractNum>
  <w:abstractNum w:abstractNumId="31">
    <w:nsid w:val="46363A06"/>
    <w:multiLevelType w:val="multilevel"/>
    <w:tmpl w:val="4CC82610"/>
    <w:lvl w:ilvl="0">
      <w:start w:val="10"/>
      <w:numFmt w:val="decimal"/>
      <w:lvlText w:val="%1"/>
      <w:lvlJc w:val="left"/>
      <w:pPr>
        <w:ind w:left="384" w:hanging="384"/>
      </w:pPr>
      <w:rPr>
        <w:rFonts w:hint="default"/>
      </w:rPr>
    </w:lvl>
    <w:lvl w:ilvl="1">
      <w:start w:val="3"/>
      <w:numFmt w:val="decimal"/>
      <w:lvlText w:val="%1.%2"/>
      <w:lvlJc w:val="left"/>
      <w:pPr>
        <w:ind w:left="2544" w:hanging="384"/>
      </w:pPr>
      <w:rPr>
        <w:rFonts w:hint="default"/>
      </w:rPr>
    </w:lvl>
    <w:lvl w:ilvl="2">
      <w:start w:val="1"/>
      <w:numFmt w:val="decimal"/>
      <w:lvlText w:val="%1.%2.%3"/>
      <w:lvlJc w:val="left"/>
      <w:pPr>
        <w:ind w:left="5040" w:hanging="720"/>
      </w:pPr>
      <w:rPr>
        <w:rFonts w:hint="default"/>
      </w:rPr>
    </w:lvl>
    <w:lvl w:ilvl="3">
      <w:start w:val="1"/>
      <w:numFmt w:val="decimal"/>
      <w:lvlText w:val="%1.%2.%3.%4"/>
      <w:lvlJc w:val="left"/>
      <w:pPr>
        <w:ind w:left="7200" w:hanging="720"/>
      </w:pPr>
      <w:rPr>
        <w:rFonts w:hint="default"/>
      </w:rPr>
    </w:lvl>
    <w:lvl w:ilvl="4">
      <w:start w:val="1"/>
      <w:numFmt w:val="decimal"/>
      <w:lvlText w:val="%1.%2.%3.%4.%5"/>
      <w:lvlJc w:val="left"/>
      <w:pPr>
        <w:ind w:left="9720" w:hanging="1080"/>
      </w:pPr>
      <w:rPr>
        <w:rFonts w:hint="default"/>
      </w:rPr>
    </w:lvl>
    <w:lvl w:ilvl="5">
      <w:start w:val="1"/>
      <w:numFmt w:val="decimal"/>
      <w:lvlText w:val="%1.%2.%3.%4.%5.%6"/>
      <w:lvlJc w:val="left"/>
      <w:pPr>
        <w:ind w:left="11880" w:hanging="1080"/>
      </w:pPr>
      <w:rPr>
        <w:rFonts w:hint="default"/>
      </w:rPr>
    </w:lvl>
    <w:lvl w:ilvl="6">
      <w:start w:val="1"/>
      <w:numFmt w:val="decimal"/>
      <w:lvlText w:val="%1.%2.%3.%4.%5.%6.%7"/>
      <w:lvlJc w:val="left"/>
      <w:pPr>
        <w:ind w:left="14400" w:hanging="1440"/>
      </w:pPr>
      <w:rPr>
        <w:rFonts w:hint="default"/>
      </w:rPr>
    </w:lvl>
    <w:lvl w:ilvl="7">
      <w:start w:val="1"/>
      <w:numFmt w:val="decimal"/>
      <w:lvlText w:val="%1.%2.%3.%4.%5.%6.%7.%8"/>
      <w:lvlJc w:val="left"/>
      <w:pPr>
        <w:ind w:left="16560" w:hanging="1440"/>
      </w:pPr>
      <w:rPr>
        <w:rFonts w:hint="default"/>
      </w:rPr>
    </w:lvl>
    <w:lvl w:ilvl="8">
      <w:start w:val="1"/>
      <w:numFmt w:val="decimal"/>
      <w:lvlText w:val="%1.%2.%3.%4.%5.%6.%7.%8.%9"/>
      <w:lvlJc w:val="left"/>
      <w:pPr>
        <w:ind w:left="18720" w:hanging="1440"/>
      </w:pPr>
      <w:rPr>
        <w:rFonts w:hint="default"/>
      </w:rPr>
    </w:lvl>
  </w:abstractNum>
  <w:abstractNum w:abstractNumId="32">
    <w:nsid w:val="48D00B1E"/>
    <w:multiLevelType w:val="multilevel"/>
    <w:tmpl w:val="48D00B1E"/>
    <w:lvl w:ilvl="0">
      <w:start w:val="1"/>
      <w:numFmt w:val="decimal"/>
      <w:lvlText w:val="3.%1."/>
      <w:lvlJc w:val="left"/>
      <w:pPr>
        <w:ind w:left="1446" w:hanging="360"/>
      </w:pPr>
      <w:rPr>
        <w:rFonts w:hint="default"/>
      </w:rPr>
    </w:lvl>
    <w:lvl w:ilvl="1">
      <w:start w:val="1"/>
      <w:numFmt w:val="lowerLetter"/>
      <w:lvlText w:val="%2."/>
      <w:lvlJc w:val="left"/>
      <w:pPr>
        <w:ind w:left="2166" w:hanging="360"/>
      </w:pPr>
    </w:lvl>
    <w:lvl w:ilvl="2">
      <w:start w:val="1"/>
      <w:numFmt w:val="lowerRoman"/>
      <w:lvlText w:val="%3."/>
      <w:lvlJc w:val="right"/>
      <w:pPr>
        <w:ind w:left="2886" w:hanging="180"/>
      </w:pPr>
    </w:lvl>
    <w:lvl w:ilvl="3">
      <w:start w:val="1"/>
      <w:numFmt w:val="decimal"/>
      <w:lvlText w:val="%4."/>
      <w:lvlJc w:val="left"/>
      <w:pPr>
        <w:ind w:left="3606" w:hanging="360"/>
      </w:pPr>
    </w:lvl>
    <w:lvl w:ilvl="4">
      <w:start w:val="1"/>
      <w:numFmt w:val="lowerLetter"/>
      <w:lvlText w:val="%5."/>
      <w:lvlJc w:val="left"/>
      <w:pPr>
        <w:ind w:left="4326" w:hanging="360"/>
      </w:pPr>
    </w:lvl>
    <w:lvl w:ilvl="5">
      <w:start w:val="1"/>
      <w:numFmt w:val="lowerRoman"/>
      <w:lvlText w:val="%6."/>
      <w:lvlJc w:val="right"/>
      <w:pPr>
        <w:ind w:left="5046" w:hanging="180"/>
      </w:pPr>
    </w:lvl>
    <w:lvl w:ilvl="6">
      <w:start w:val="1"/>
      <w:numFmt w:val="decimal"/>
      <w:lvlText w:val="%7."/>
      <w:lvlJc w:val="left"/>
      <w:pPr>
        <w:ind w:left="5766" w:hanging="360"/>
      </w:pPr>
    </w:lvl>
    <w:lvl w:ilvl="7">
      <w:start w:val="1"/>
      <w:numFmt w:val="lowerLetter"/>
      <w:lvlText w:val="%8."/>
      <w:lvlJc w:val="left"/>
      <w:pPr>
        <w:ind w:left="6486" w:hanging="360"/>
      </w:pPr>
    </w:lvl>
    <w:lvl w:ilvl="8">
      <w:start w:val="1"/>
      <w:numFmt w:val="lowerRoman"/>
      <w:lvlText w:val="%9."/>
      <w:lvlJc w:val="right"/>
      <w:pPr>
        <w:ind w:left="7206" w:hanging="180"/>
      </w:pPr>
    </w:lvl>
  </w:abstractNum>
  <w:abstractNum w:abstractNumId="33">
    <w:nsid w:val="49BF65CE"/>
    <w:multiLevelType w:val="hybridMultilevel"/>
    <w:tmpl w:val="7FFED238"/>
    <w:lvl w:ilvl="0" w:tplc="74BCC48E">
      <w:start w:val="1"/>
      <w:numFmt w:val="decimal"/>
      <w:lvlText w:val="[%1]"/>
      <w:lvlJc w:val="left"/>
      <w:pPr>
        <w:ind w:left="502" w:hanging="360"/>
      </w:pPr>
      <w:rPr>
        <w:rFonts w:hint="default"/>
        <w:b w:val="0"/>
        <w:bCs w:val="0"/>
        <w:i w:val="0"/>
        <w:iCs w:val="0"/>
        <w:sz w:val="24"/>
        <w:szCs w:val="24"/>
      </w:rPr>
    </w:lvl>
    <w:lvl w:ilvl="1" w:tplc="30090019">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34">
    <w:nsid w:val="510043CB"/>
    <w:multiLevelType w:val="hybridMultilevel"/>
    <w:tmpl w:val="8E98DAD2"/>
    <w:lvl w:ilvl="0" w:tplc="ED186CE2">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5">
    <w:nsid w:val="53F36A8E"/>
    <w:multiLevelType w:val="hybridMultilevel"/>
    <w:tmpl w:val="401CFAF8"/>
    <w:lvl w:ilvl="0" w:tplc="74E61F40">
      <w:start w:val="1"/>
      <w:numFmt w:val="lowerLetter"/>
      <w:lvlText w:val="(%1)"/>
      <w:lvlJc w:val="left"/>
      <w:pPr>
        <w:ind w:left="2588" w:hanging="360"/>
      </w:pPr>
      <w:rPr>
        <w:rFonts w:hint="default"/>
      </w:rPr>
    </w:lvl>
    <w:lvl w:ilvl="1" w:tplc="30090019" w:tentative="1">
      <w:start w:val="1"/>
      <w:numFmt w:val="lowerLetter"/>
      <w:lvlText w:val="%2."/>
      <w:lvlJc w:val="left"/>
      <w:pPr>
        <w:ind w:left="3308" w:hanging="360"/>
      </w:pPr>
    </w:lvl>
    <w:lvl w:ilvl="2" w:tplc="3009001B" w:tentative="1">
      <w:start w:val="1"/>
      <w:numFmt w:val="lowerRoman"/>
      <w:lvlText w:val="%3."/>
      <w:lvlJc w:val="right"/>
      <w:pPr>
        <w:ind w:left="4028" w:hanging="180"/>
      </w:pPr>
    </w:lvl>
    <w:lvl w:ilvl="3" w:tplc="3009000F" w:tentative="1">
      <w:start w:val="1"/>
      <w:numFmt w:val="decimal"/>
      <w:lvlText w:val="%4."/>
      <w:lvlJc w:val="left"/>
      <w:pPr>
        <w:ind w:left="4748" w:hanging="360"/>
      </w:pPr>
    </w:lvl>
    <w:lvl w:ilvl="4" w:tplc="30090019" w:tentative="1">
      <w:start w:val="1"/>
      <w:numFmt w:val="lowerLetter"/>
      <w:lvlText w:val="%5."/>
      <w:lvlJc w:val="left"/>
      <w:pPr>
        <w:ind w:left="5468" w:hanging="360"/>
      </w:pPr>
    </w:lvl>
    <w:lvl w:ilvl="5" w:tplc="3009001B" w:tentative="1">
      <w:start w:val="1"/>
      <w:numFmt w:val="lowerRoman"/>
      <w:lvlText w:val="%6."/>
      <w:lvlJc w:val="right"/>
      <w:pPr>
        <w:ind w:left="6188" w:hanging="180"/>
      </w:pPr>
    </w:lvl>
    <w:lvl w:ilvl="6" w:tplc="3009000F" w:tentative="1">
      <w:start w:val="1"/>
      <w:numFmt w:val="decimal"/>
      <w:lvlText w:val="%7."/>
      <w:lvlJc w:val="left"/>
      <w:pPr>
        <w:ind w:left="6908" w:hanging="360"/>
      </w:pPr>
    </w:lvl>
    <w:lvl w:ilvl="7" w:tplc="30090019" w:tentative="1">
      <w:start w:val="1"/>
      <w:numFmt w:val="lowerLetter"/>
      <w:lvlText w:val="%8."/>
      <w:lvlJc w:val="left"/>
      <w:pPr>
        <w:ind w:left="7628" w:hanging="360"/>
      </w:pPr>
    </w:lvl>
    <w:lvl w:ilvl="8" w:tplc="3009001B" w:tentative="1">
      <w:start w:val="1"/>
      <w:numFmt w:val="lowerRoman"/>
      <w:lvlText w:val="%9."/>
      <w:lvlJc w:val="right"/>
      <w:pPr>
        <w:ind w:left="8348" w:hanging="180"/>
      </w:pPr>
    </w:lvl>
  </w:abstractNum>
  <w:abstractNum w:abstractNumId="36">
    <w:nsid w:val="56B10A1B"/>
    <w:multiLevelType w:val="hybridMultilevel"/>
    <w:tmpl w:val="47481BC0"/>
    <w:lvl w:ilvl="0" w:tplc="03A8B2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7B73F49"/>
    <w:multiLevelType w:val="hybridMultilevel"/>
    <w:tmpl w:val="C6949534"/>
    <w:lvl w:ilvl="0" w:tplc="FFFFFFFF">
      <w:start w:val="1"/>
      <w:numFmt w:val="decimal"/>
      <w:lvlText w:val="[%1]"/>
      <w:lvlJc w:val="left"/>
      <w:pPr>
        <w:ind w:left="502" w:hanging="360"/>
      </w:pPr>
      <w:rPr>
        <w:rFonts w:hint="default"/>
        <w:b w:val="0"/>
        <w:bCs w:val="0"/>
        <w:i w:val="0"/>
        <w:iCs w:val="0"/>
        <w:sz w:val="24"/>
        <w:szCs w:val="24"/>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nsid w:val="5AF70C5F"/>
    <w:multiLevelType w:val="hybridMultilevel"/>
    <w:tmpl w:val="C8E8295C"/>
    <w:lvl w:ilvl="0" w:tplc="A5265044">
      <w:start w:val="1"/>
      <w:numFmt w:val="lowerRoman"/>
      <w:lvlText w:val="(%1)"/>
      <w:lvlJc w:val="left"/>
      <w:pPr>
        <w:ind w:left="2583" w:hanging="720"/>
      </w:pPr>
      <w:rPr>
        <w:rFonts w:hint="default"/>
      </w:rPr>
    </w:lvl>
    <w:lvl w:ilvl="1" w:tplc="30090019">
      <w:start w:val="1"/>
      <w:numFmt w:val="lowerLetter"/>
      <w:lvlText w:val="%2."/>
      <w:lvlJc w:val="left"/>
      <w:pPr>
        <w:ind w:left="2943" w:hanging="360"/>
      </w:pPr>
    </w:lvl>
    <w:lvl w:ilvl="2" w:tplc="3009001B" w:tentative="1">
      <w:start w:val="1"/>
      <w:numFmt w:val="lowerRoman"/>
      <w:lvlText w:val="%3."/>
      <w:lvlJc w:val="right"/>
      <w:pPr>
        <w:ind w:left="3663" w:hanging="180"/>
      </w:pPr>
    </w:lvl>
    <w:lvl w:ilvl="3" w:tplc="3009000F" w:tentative="1">
      <w:start w:val="1"/>
      <w:numFmt w:val="decimal"/>
      <w:lvlText w:val="%4."/>
      <w:lvlJc w:val="left"/>
      <w:pPr>
        <w:ind w:left="4383" w:hanging="360"/>
      </w:pPr>
    </w:lvl>
    <w:lvl w:ilvl="4" w:tplc="30090019" w:tentative="1">
      <w:start w:val="1"/>
      <w:numFmt w:val="lowerLetter"/>
      <w:lvlText w:val="%5."/>
      <w:lvlJc w:val="left"/>
      <w:pPr>
        <w:ind w:left="5103" w:hanging="360"/>
      </w:pPr>
    </w:lvl>
    <w:lvl w:ilvl="5" w:tplc="3009001B" w:tentative="1">
      <w:start w:val="1"/>
      <w:numFmt w:val="lowerRoman"/>
      <w:lvlText w:val="%6."/>
      <w:lvlJc w:val="right"/>
      <w:pPr>
        <w:ind w:left="5823" w:hanging="180"/>
      </w:pPr>
    </w:lvl>
    <w:lvl w:ilvl="6" w:tplc="3009000F" w:tentative="1">
      <w:start w:val="1"/>
      <w:numFmt w:val="decimal"/>
      <w:lvlText w:val="%7."/>
      <w:lvlJc w:val="left"/>
      <w:pPr>
        <w:ind w:left="6543" w:hanging="360"/>
      </w:pPr>
    </w:lvl>
    <w:lvl w:ilvl="7" w:tplc="30090019" w:tentative="1">
      <w:start w:val="1"/>
      <w:numFmt w:val="lowerLetter"/>
      <w:lvlText w:val="%8."/>
      <w:lvlJc w:val="left"/>
      <w:pPr>
        <w:ind w:left="7263" w:hanging="360"/>
      </w:pPr>
    </w:lvl>
    <w:lvl w:ilvl="8" w:tplc="3009001B" w:tentative="1">
      <w:start w:val="1"/>
      <w:numFmt w:val="lowerRoman"/>
      <w:lvlText w:val="%9."/>
      <w:lvlJc w:val="right"/>
      <w:pPr>
        <w:ind w:left="7983" w:hanging="180"/>
      </w:pPr>
    </w:lvl>
  </w:abstractNum>
  <w:abstractNum w:abstractNumId="39">
    <w:nsid w:val="5C9B5F13"/>
    <w:multiLevelType w:val="hybridMultilevel"/>
    <w:tmpl w:val="6234BF7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nsid w:val="61456915"/>
    <w:multiLevelType w:val="hybridMultilevel"/>
    <w:tmpl w:val="12662696"/>
    <w:lvl w:ilvl="0" w:tplc="CEDED5AA">
      <w:start w:val="1"/>
      <w:numFmt w:val="decimal"/>
      <w:lvlText w:val="[%1]"/>
      <w:lvlJc w:val="left"/>
      <w:pPr>
        <w:ind w:left="720" w:hanging="360"/>
      </w:pPr>
      <w:rPr>
        <w:rFonts w:hint="default"/>
        <w:sz w:val="24"/>
        <w:szCs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1">
    <w:nsid w:val="64846E2B"/>
    <w:multiLevelType w:val="hybridMultilevel"/>
    <w:tmpl w:val="4800B30E"/>
    <w:lvl w:ilvl="0" w:tplc="3D5ECFD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2">
    <w:nsid w:val="6CAF4459"/>
    <w:multiLevelType w:val="hybridMultilevel"/>
    <w:tmpl w:val="E4C28E9C"/>
    <w:lvl w:ilvl="0" w:tplc="FEBE41B4">
      <w:start w:val="1"/>
      <w:numFmt w:val="decimal"/>
      <w:lvlText w:val="%1."/>
      <w:lvlJc w:val="left"/>
      <w:pPr>
        <w:ind w:left="1347" w:hanging="360"/>
      </w:pPr>
      <w:rPr>
        <w:rFonts w:hint="default"/>
      </w:rPr>
    </w:lvl>
    <w:lvl w:ilvl="1" w:tplc="30090019" w:tentative="1">
      <w:start w:val="1"/>
      <w:numFmt w:val="lowerLetter"/>
      <w:lvlText w:val="%2."/>
      <w:lvlJc w:val="left"/>
      <w:pPr>
        <w:ind w:left="2067" w:hanging="360"/>
      </w:pPr>
    </w:lvl>
    <w:lvl w:ilvl="2" w:tplc="3009001B" w:tentative="1">
      <w:start w:val="1"/>
      <w:numFmt w:val="lowerRoman"/>
      <w:lvlText w:val="%3."/>
      <w:lvlJc w:val="right"/>
      <w:pPr>
        <w:ind w:left="2787" w:hanging="180"/>
      </w:pPr>
    </w:lvl>
    <w:lvl w:ilvl="3" w:tplc="3009000F" w:tentative="1">
      <w:start w:val="1"/>
      <w:numFmt w:val="decimal"/>
      <w:lvlText w:val="%4."/>
      <w:lvlJc w:val="left"/>
      <w:pPr>
        <w:ind w:left="3507" w:hanging="360"/>
      </w:pPr>
    </w:lvl>
    <w:lvl w:ilvl="4" w:tplc="30090019" w:tentative="1">
      <w:start w:val="1"/>
      <w:numFmt w:val="lowerLetter"/>
      <w:lvlText w:val="%5."/>
      <w:lvlJc w:val="left"/>
      <w:pPr>
        <w:ind w:left="4227" w:hanging="360"/>
      </w:pPr>
    </w:lvl>
    <w:lvl w:ilvl="5" w:tplc="3009001B" w:tentative="1">
      <w:start w:val="1"/>
      <w:numFmt w:val="lowerRoman"/>
      <w:lvlText w:val="%6."/>
      <w:lvlJc w:val="right"/>
      <w:pPr>
        <w:ind w:left="4947" w:hanging="180"/>
      </w:pPr>
    </w:lvl>
    <w:lvl w:ilvl="6" w:tplc="3009000F" w:tentative="1">
      <w:start w:val="1"/>
      <w:numFmt w:val="decimal"/>
      <w:lvlText w:val="%7."/>
      <w:lvlJc w:val="left"/>
      <w:pPr>
        <w:ind w:left="5667" w:hanging="360"/>
      </w:pPr>
    </w:lvl>
    <w:lvl w:ilvl="7" w:tplc="30090019" w:tentative="1">
      <w:start w:val="1"/>
      <w:numFmt w:val="lowerLetter"/>
      <w:lvlText w:val="%8."/>
      <w:lvlJc w:val="left"/>
      <w:pPr>
        <w:ind w:left="6387" w:hanging="360"/>
      </w:pPr>
    </w:lvl>
    <w:lvl w:ilvl="8" w:tplc="3009001B" w:tentative="1">
      <w:start w:val="1"/>
      <w:numFmt w:val="lowerRoman"/>
      <w:lvlText w:val="%9."/>
      <w:lvlJc w:val="right"/>
      <w:pPr>
        <w:ind w:left="7107" w:hanging="180"/>
      </w:pPr>
    </w:lvl>
  </w:abstractNum>
  <w:abstractNum w:abstractNumId="43">
    <w:nsid w:val="6FEC6FC5"/>
    <w:multiLevelType w:val="hybridMultilevel"/>
    <w:tmpl w:val="5238A4B2"/>
    <w:lvl w:ilvl="0" w:tplc="42D20404">
      <w:start w:val="42"/>
      <w:numFmt w:val="decimal"/>
      <w:lvlText w:val="[%1]"/>
      <w:lvlJc w:val="left"/>
      <w:pPr>
        <w:ind w:left="360" w:hanging="360"/>
      </w:pPr>
      <w:rPr>
        <w:rFonts w:ascii="Times New Roman" w:hAnsi="Times New Roman" w:cs="Times New Roman" w:hint="default"/>
        <w:b w:val="0"/>
        <w:bCs w:val="0"/>
        <w:i w:val="0"/>
        <w:iCs w:val="0"/>
        <w:sz w:val="24"/>
        <w:szCs w:val="24"/>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4">
    <w:nsid w:val="75576A0E"/>
    <w:multiLevelType w:val="hybridMultilevel"/>
    <w:tmpl w:val="46EC3B84"/>
    <w:lvl w:ilvl="0" w:tplc="66DC5B5C">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5">
    <w:nsid w:val="7A2D6ED9"/>
    <w:multiLevelType w:val="hybridMultilevel"/>
    <w:tmpl w:val="78C0E9C8"/>
    <w:lvl w:ilvl="0" w:tplc="5F1654FE">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6">
    <w:nsid w:val="7AC10760"/>
    <w:multiLevelType w:val="hybridMultilevel"/>
    <w:tmpl w:val="C3CA96F8"/>
    <w:lvl w:ilvl="0" w:tplc="F898A170">
      <w:start w:val="1"/>
      <w:numFmt w:val="decimal"/>
      <w:lvlText w:val="%1."/>
      <w:lvlJc w:val="left"/>
      <w:pPr>
        <w:ind w:left="927" w:hanging="360"/>
      </w:pPr>
      <w:rPr>
        <w:rFonts w:hint="default"/>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47">
    <w:nsid w:val="7C226E2F"/>
    <w:multiLevelType w:val="multilevel"/>
    <w:tmpl w:val="51EC5CDE"/>
    <w:lvl w:ilvl="0">
      <w:start w:val="5"/>
      <w:numFmt w:val="decimal"/>
      <w:lvlText w:val="%1."/>
      <w:lvlJc w:val="left"/>
      <w:pPr>
        <w:ind w:left="1446" w:hanging="360"/>
      </w:pPr>
      <w:rPr>
        <w:rFonts w:hint="default"/>
      </w:rPr>
    </w:lvl>
    <w:lvl w:ilvl="1">
      <w:start w:val="4"/>
      <w:numFmt w:val="decimal"/>
      <w:isLgl/>
      <w:lvlText w:val="%1.%2"/>
      <w:lvlJc w:val="left"/>
      <w:pPr>
        <w:ind w:left="2544" w:hanging="384"/>
      </w:pPr>
      <w:rPr>
        <w:rFonts w:hint="default"/>
      </w:rPr>
    </w:lvl>
    <w:lvl w:ilvl="2">
      <w:start w:val="1"/>
      <w:numFmt w:val="decimal"/>
      <w:isLgl/>
      <w:lvlText w:val="%1.%2.%3"/>
      <w:lvlJc w:val="left"/>
      <w:pPr>
        <w:ind w:left="3954" w:hanging="720"/>
      </w:pPr>
      <w:rPr>
        <w:rFonts w:hint="default"/>
      </w:rPr>
    </w:lvl>
    <w:lvl w:ilvl="3">
      <w:start w:val="1"/>
      <w:numFmt w:val="decimal"/>
      <w:isLgl/>
      <w:lvlText w:val="%1.%2.%3.%4"/>
      <w:lvlJc w:val="left"/>
      <w:pPr>
        <w:ind w:left="5028" w:hanging="720"/>
      </w:pPr>
      <w:rPr>
        <w:rFonts w:hint="default"/>
      </w:rPr>
    </w:lvl>
    <w:lvl w:ilvl="4">
      <w:start w:val="1"/>
      <w:numFmt w:val="decimal"/>
      <w:isLgl/>
      <w:lvlText w:val="%1.%2.%3.%4.%5"/>
      <w:lvlJc w:val="left"/>
      <w:pPr>
        <w:ind w:left="6462" w:hanging="1080"/>
      </w:pPr>
      <w:rPr>
        <w:rFonts w:hint="default"/>
      </w:rPr>
    </w:lvl>
    <w:lvl w:ilvl="5">
      <w:start w:val="1"/>
      <w:numFmt w:val="decimal"/>
      <w:isLgl/>
      <w:lvlText w:val="%1.%2.%3.%4.%5.%6"/>
      <w:lvlJc w:val="left"/>
      <w:pPr>
        <w:ind w:left="7536" w:hanging="1080"/>
      </w:pPr>
      <w:rPr>
        <w:rFonts w:hint="default"/>
      </w:rPr>
    </w:lvl>
    <w:lvl w:ilvl="6">
      <w:start w:val="1"/>
      <w:numFmt w:val="decimal"/>
      <w:isLgl/>
      <w:lvlText w:val="%1.%2.%3.%4.%5.%6.%7"/>
      <w:lvlJc w:val="left"/>
      <w:pPr>
        <w:ind w:left="8970" w:hanging="1440"/>
      </w:pPr>
      <w:rPr>
        <w:rFonts w:hint="default"/>
      </w:rPr>
    </w:lvl>
    <w:lvl w:ilvl="7">
      <w:start w:val="1"/>
      <w:numFmt w:val="decimal"/>
      <w:isLgl/>
      <w:lvlText w:val="%1.%2.%3.%4.%5.%6.%7.%8"/>
      <w:lvlJc w:val="left"/>
      <w:pPr>
        <w:ind w:left="10044" w:hanging="1440"/>
      </w:pPr>
      <w:rPr>
        <w:rFonts w:hint="default"/>
      </w:rPr>
    </w:lvl>
    <w:lvl w:ilvl="8">
      <w:start w:val="1"/>
      <w:numFmt w:val="decimal"/>
      <w:isLgl/>
      <w:lvlText w:val="%1.%2.%3.%4.%5.%6.%7.%8.%9"/>
      <w:lvlJc w:val="left"/>
      <w:pPr>
        <w:ind w:left="11118" w:hanging="1440"/>
      </w:pPr>
      <w:rPr>
        <w:rFonts w:hint="default"/>
      </w:rPr>
    </w:lvl>
  </w:abstractNum>
  <w:abstractNum w:abstractNumId="48">
    <w:nsid w:val="7F46676B"/>
    <w:multiLevelType w:val="hybridMultilevel"/>
    <w:tmpl w:val="0686B26E"/>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abstractNumId w:val="20"/>
  </w:num>
  <w:num w:numId="2">
    <w:abstractNumId w:val="36"/>
  </w:num>
  <w:num w:numId="3">
    <w:abstractNumId w:val="8"/>
  </w:num>
  <w:num w:numId="4">
    <w:abstractNumId w:val="12"/>
  </w:num>
  <w:num w:numId="5">
    <w:abstractNumId w:val="33"/>
  </w:num>
  <w:num w:numId="6">
    <w:abstractNumId w:val="4"/>
  </w:num>
  <w:num w:numId="7">
    <w:abstractNumId w:val="32"/>
  </w:num>
  <w:num w:numId="8">
    <w:abstractNumId w:val="47"/>
  </w:num>
  <w:num w:numId="9">
    <w:abstractNumId w:val="31"/>
  </w:num>
  <w:num w:numId="10">
    <w:abstractNumId w:val="16"/>
  </w:num>
  <w:num w:numId="11">
    <w:abstractNumId w:val="0"/>
  </w:num>
  <w:num w:numId="12">
    <w:abstractNumId w:val="9"/>
  </w:num>
  <w:num w:numId="13">
    <w:abstractNumId w:val="15"/>
  </w:num>
  <w:num w:numId="14">
    <w:abstractNumId w:val="40"/>
  </w:num>
  <w:num w:numId="15">
    <w:abstractNumId w:val="2"/>
  </w:num>
  <w:num w:numId="16">
    <w:abstractNumId w:val="11"/>
  </w:num>
  <w:num w:numId="17">
    <w:abstractNumId w:val="28"/>
  </w:num>
  <w:num w:numId="18">
    <w:abstractNumId w:val="48"/>
  </w:num>
  <w:num w:numId="19">
    <w:abstractNumId w:val="26"/>
  </w:num>
  <w:num w:numId="20">
    <w:abstractNumId w:val="25"/>
  </w:num>
  <w:num w:numId="21">
    <w:abstractNumId w:val="19"/>
  </w:num>
  <w:num w:numId="22">
    <w:abstractNumId w:val="13"/>
  </w:num>
  <w:num w:numId="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num>
  <w:num w:numId="25">
    <w:abstractNumId w:val="41"/>
  </w:num>
  <w:num w:numId="26">
    <w:abstractNumId w:val="18"/>
  </w:num>
  <w:num w:numId="27">
    <w:abstractNumId w:val="21"/>
  </w:num>
  <w:num w:numId="28">
    <w:abstractNumId w:val="22"/>
  </w:num>
  <w:num w:numId="29">
    <w:abstractNumId w:val="27"/>
  </w:num>
  <w:num w:numId="30">
    <w:abstractNumId w:val="30"/>
  </w:num>
  <w:num w:numId="31">
    <w:abstractNumId w:val="42"/>
  </w:num>
  <w:num w:numId="32">
    <w:abstractNumId w:val="10"/>
  </w:num>
  <w:num w:numId="33">
    <w:abstractNumId w:val="29"/>
  </w:num>
  <w:num w:numId="34">
    <w:abstractNumId w:val="5"/>
  </w:num>
  <w:num w:numId="35">
    <w:abstractNumId w:val="39"/>
  </w:num>
  <w:num w:numId="36">
    <w:abstractNumId w:val="1"/>
  </w:num>
  <w:num w:numId="37">
    <w:abstractNumId w:val="17"/>
  </w:num>
  <w:num w:numId="38">
    <w:abstractNumId w:val="23"/>
  </w:num>
  <w:num w:numId="39">
    <w:abstractNumId w:val="24"/>
  </w:num>
  <w:num w:numId="40">
    <w:abstractNumId w:val="44"/>
  </w:num>
  <w:num w:numId="41">
    <w:abstractNumId w:val="43"/>
  </w:num>
  <w:num w:numId="42">
    <w:abstractNumId w:val="3"/>
  </w:num>
  <w:num w:numId="43">
    <w:abstractNumId w:val="14"/>
  </w:num>
  <w:num w:numId="44">
    <w:abstractNumId w:val="34"/>
  </w:num>
  <w:num w:numId="45">
    <w:abstractNumId w:val="46"/>
  </w:num>
  <w:num w:numId="46">
    <w:abstractNumId w:val="37"/>
  </w:num>
  <w:num w:numId="47">
    <w:abstractNumId w:val="7"/>
  </w:num>
  <w:num w:numId="48">
    <w:abstractNumId w:val="35"/>
  </w:num>
  <w:num w:numId="49">
    <w:abstractNumId w:val="38"/>
  </w:num>
  <w:num w:numId="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061B"/>
    <w:rsid w:val="000048D9"/>
    <w:rsid w:val="00013926"/>
    <w:rsid w:val="00013EF9"/>
    <w:rsid w:val="00015178"/>
    <w:rsid w:val="00016E13"/>
    <w:rsid w:val="0002765D"/>
    <w:rsid w:val="000306C6"/>
    <w:rsid w:val="00031B93"/>
    <w:rsid w:val="00034FD1"/>
    <w:rsid w:val="000364D6"/>
    <w:rsid w:val="00036F86"/>
    <w:rsid w:val="00036FAF"/>
    <w:rsid w:val="0004184A"/>
    <w:rsid w:val="00043079"/>
    <w:rsid w:val="0004410C"/>
    <w:rsid w:val="000464F3"/>
    <w:rsid w:val="000477FC"/>
    <w:rsid w:val="00047C97"/>
    <w:rsid w:val="00062491"/>
    <w:rsid w:val="00065E06"/>
    <w:rsid w:val="00066B11"/>
    <w:rsid w:val="00067CF6"/>
    <w:rsid w:val="00080BF6"/>
    <w:rsid w:val="00082FDA"/>
    <w:rsid w:val="0008328F"/>
    <w:rsid w:val="00085315"/>
    <w:rsid w:val="00086325"/>
    <w:rsid w:val="0009387F"/>
    <w:rsid w:val="0009569E"/>
    <w:rsid w:val="00095E70"/>
    <w:rsid w:val="000A115C"/>
    <w:rsid w:val="000A332D"/>
    <w:rsid w:val="000A3418"/>
    <w:rsid w:val="000A66D6"/>
    <w:rsid w:val="000B0762"/>
    <w:rsid w:val="000B0D57"/>
    <w:rsid w:val="000B1500"/>
    <w:rsid w:val="000B41EC"/>
    <w:rsid w:val="000B747D"/>
    <w:rsid w:val="000C4EB4"/>
    <w:rsid w:val="000C65BC"/>
    <w:rsid w:val="000C75CB"/>
    <w:rsid w:val="000C77EB"/>
    <w:rsid w:val="000D0653"/>
    <w:rsid w:val="000D4128"/>
    <w:rsid w:val="000E0E49"/>
    <w:rsid w:val="000E539B"/>
    <w:rsid w:val="000E59F6"/>
    <w:rsid w:val="000E5A34"/>
    <w:rsid w:val="000E6DC8"/>
    <w:rsid w:val="000F5844"/>
    <w:rsid w:val="000F691D"/>
    <w:rsid w:val="00103862"/>
    <w:rsid w:val="001152C0"/>
    <w:rsid w:val="00117154"/>
    <w:rsid w:val="00122917"/>
    <w:rsid w:val="00126000"/>
    <w:rsid w:val="00130CD2"/>
    <w:rsid w:val="00133196"/>
    <w:rsid w:val="00136D03"/>
    <w:rsid w:val="00137FEC"/>
    <w:rsid w:val="001449D2"/>
    <w:rsid w:val="00144A6B"/>
    <w:rsid w:val="00146EB9"/>
    <w:rsid w:val="001470B7"/>
    <w:rsid w:val="00153DB4"/>
    <w:rsid w:val="0015535F"/>
    <w:rsid w:val="001557F7"/>
    <w:rsid w:val="0015766D"/>
    <w:rsid w:val="0015779C"/>
    <w:rsid w:val="00161C50"/>
    <w:rsid w:val="00163A00"/>
    <w:rsid w:val="00166D7E"/>
    <w:rsid w:val="00171128"/>
    <w:rsid w:val="001726A0"/>
    <w:rsid w:val="00174ACB"/>
    <w:rsid w:val="00177BCB"/>
    <w:rsid w:val="001849BD"/>
    <w:rsid w:val="001904A7"/>
    <w:rsid w:val="0019157B"/>
    <w:rsid w:val="0019274A"/>
    <w:rsid w:val="00193342"/>
    <w:rsid w:val="00194ACB"/>
    <w:rsid w:val="00197DBF"/>
    <w:rsid w:val="001A2261"/>
    <w:rsid w:val="001A26FF"/>
    <w:rsid w:val="001B659D"/>
    <w:rsid w:val="001B67A3"/>
    <w:rsid w:val="001C0155"/>
    <w:rsid w:val="001C7019"/>
    <w:rsid w:val="001D04DA"/>
    <w:rsid w:val="001D65B7"/>
    <w:rsid w:val="001D766F"/>
    <w:rsid w:val="001E0B98"/>
    <w:rsid w:val="001E729A"/>
    <w:rsid w:val="001F48ED"/>
    <w:rsid w:val="001F4ABD"/>
    <w:rsid w:val="001F7F91"/>
    <w:rsid w:val="00202B01"/>
    <w:rsid w:val="00203141"/>
    <w:rsid w:val="00204600"/>
    <w:rsid w:val="00207A3D"/>
    <w:rsid w:val="002123E9"/>
    <w:rsid w:val="002139CB"/>
    <w:rsid w:val="0021406C"/>
    <w:rsid w:val="002147FE"/>
    <w:rsid w:val="00216489"/>
    <w:rsid w:val="00216A53"/>
    <w:rsid w:val="00221185"/>
    <w:rsid w:val="0022203C"/>
    <w:rsid w:val="00224C8A"/>
    <w:rsid w:val="0022522D"/>
    <w:rsid w:val="00227843"/>
    <w:rsid w:val="00231437"/>
    <w:rsid w:val="00233517"/>
    <w:rsid w:val="00236238"/>
    <w:rsid w:val="00240A7A"/>
    <w:rsid w:val="00243CEE"/>
    <w:rsid w:val="0024738A"/>
    <w:rsid w:val="00250D24"/>
    <w:rsid w:val="00252C65"/>
    <w:rsid w:val="00252E4B"/>
    <w:rsid w:val="00252EC6"/>
    <w:rsid w:val="00256BC0"/>
    <w:rsid w:val="002624D2"/>
    <w:rsid w:val="00263695"/>
    <w:rsid w:val="002662D6"/>
    <w:rsid w:val="00277EBB"/>
    <w:rsid w:val="00277EDA"/>
    <w:rsid w:val="002825C4"/>
    <w:rsid w:val="00282FDE"/>
    <w:rsid w:val="00283AAE"/>
    <w:rsid w:val="00285ABA"/>
    <w:rsid w:val="00286A63"/>
    <w:rsid w:val="00287AD4"/>
    <w:rsid w:val="00287DE2"/>
    <w:rsid w:val="00290123"/>
    <w:rsid w:val="00296D0F"/>
    <w:rsid w:val="00297552"/>
    <w:rsid w:val="002A0214"/>
    <w:rsid w:val="002A2964"/>
    <w:rsid w:val="002A4337"/>
    <w:rsid w:val="002B08EA"/>
    <w:rsid w:val="002B10C8"/>
    <w:rsid w:val="002B2FC6"/>
    <w:rsid w:val="002B3DA9"/>
    <w:rsid w:val="002B56DC"/>
    <w:rsid w:val="002B63E5"/>
    <w:rsid w:val="002B6B29"/>
    <w:rsid w:val="002C12C5"/>
    <w:rsid w:val="002C5A01"/>
    <w:rsid w:val="002D115C"/>
    <w:rsid w:val="002D1560"/>
    <w:rsid w:val="002D47F5"/>
    <w:rsid w:val="002D4B1F"/>
    <w:rsid w:val="002E370D"/>
    <w:rsid w:val="002E611A"/>
    <w:rsid w:val="002F0D7C"/>
    <w:rsid w:val="002F392E"/>
    <w:rsid w:val="002F4EAC"/>
    <w:rsid w:val="002F71E2"/>
    <w:rsid w:val="002F7CF6"/>
    <w:rsid w:val="00306BCC"/>
    <w:rsid w:val="00306F12"/>
    <w:rsid w:val="00307C61"/>
    <w:rsid w:val="00313602"/>
    <w:rsid w:val="003139A0"/>
    <w:rsid w:val="00314C4C"/>
    <w:rsid w:val="00322821"/>
    <w:rsid w:val="003228EE"/>
    <w:rsid w:val="003277C9"/>
    <w:rsid w:val="00330BE1"/>
    <w:rsid w:val="00336654"/>
    <w:rsid w:val="00336899"/>
    <w:rsid w:val="00336E42"/>
    <w:rsid w:val="00341A06"/>
    <w:rsid w:val="00346109"/>
    <w:rsid w:val="00347BCF"/>
    <w:rsid w:val="00350A6C"/>
    <w:rsid w:val="00354B53"/>
    <w:rsid w:val="003571B7"/>
    <w:rsid w:val="0036068B"/>
    <w:rsid w:val="00363A66"/>
    <w:rsid w:val="00363FCB"/>
    <w:rsid w:val="00367339"/>
    <w:rsid w:val="00367522"/>
    <w:rsid w:val="00372A84"/>
    <w:rsid w:val="003742D2"/>
    <w:rsid w:val="00380E7C"/>
    <w:rsid w:val="003852F7"/>
    <w:rsid w:val="00385806"/>
    <w:rsid w:val="00386500"/>
    <w:rsid w:val="00387198"/>
    <w:rsid w:val="00391288"/>
    <w:rsid w:val="00392035"/>
    <w:rsid w:val="0039234D"/>
    <w:rsid w:val="0039415C"/>
    <w:rsid w:val="00394A91"/>
    <w:rsid w:val="003960CE"/>
    <w:rsid w:val="003A036A"/>
    <w:rsid w:val="003A11FC"/>
    <w:rsid w:val="003A1A33"/>
    <w:rsid w:val="003A1AD4"/>
    <w:rsid w:val="003A561E"/>
    <w:rsid w:val="003A62FE"/>
    <w:rsid w:val="003A6BA2"/>
    <w:rsid w:val="003A7108"/>
    <w:rsid w:val="003A764D"/>
    <w:rsid w:val="003B561A"/>
    <w:rsid w:val="003C17E4"/>
    <w:rsid w:val="003C4388"/>
    <w:rsid w:val="003C459D"/>
    <w:rsid w:val="003D3F46"/>
    <w:rsid w:val="003D5D70"/>
    <w:rsid w:val="003E1EFC"/>
    <w:rsid w:val="003E265A"/>
    <w:rsid w:val="003E43A9"/>
    <w:rsid w:val="003E655B"/>
    <w:rsid w:val="003E79C2"/>
    <w:rsid w:val="003F0F21"/>
    <w:rsid w:val="003F1262"/>
    <w:rsid w:val="00400D75"/>
    <w:rsid w:val="004023BB"/>
    <w:rsid w:val="00402674"/>
    <w:rsid w:val="00402C3E"/>
    <w:rsid w:val="004033CC"/>
    <w:rsid w:val="00412EA8"/>
    <w:rsid w:val="00412FB4"/>
    <w:rsid w:val="00413720"/>
    <w:rsid w:val="00414885"/>
    <w:rsid w:val="004174E3"/>
    <w:rsid w:val="0042333A"/>
    <w:rsid w:val="00423972"/>
    <w:rsid w:val="00423EDF"/>
    <w:rsid w:val="004240B4"/>
    <w:rsid w:val="00424ED8"/>
    <w:rsid w:val="00427D9B"/>
    <w:rsid w:val="0043143E"/>
    <w:rsid w:val="004413C0"/>
    <w:rsid w:val="0044143D"/>
    <w:rsid w:val="0044258B"/>
    <w:rsid w:val="00446ED3"/>
    <w:rsid w:val="00447A72"/>
    <w:rsid w:val="00447E80"/>
    <w:rsid w:val="00451A88"/>
    <w:rsid w:val="0045719D"/>
    <w:rsid w:val="00457437"/>
    <w:rsid w:val="00461D0B"/>
    <w:rsid w:val="00464239"/>
    <w:rsid w:val="00464BEE"/>
    <w:rsid w:val="00465642"/>
    <w:rsid w:val="00465740"/>
    <w:rsid w:val="00470C5C"/>
    <w:rsid w:val="0047483D"/>
    <w:rsid w:val="00475E81"/>
    <w:rsid w:val="004762F4"/>
    <w:rsid w:val="00477A6A"/>
    <w:rsid w:val="0048356E"/>
    <w:rsid w:val="00487561"/>
    <w:rsid w:val="0049038F"/>
    <w:rsid w:val="0049051E"/>
    <w:rsid w:val="00490BE1"/>
    <w:rsid w:val="00492CEA"/>
    <w:rsid w:val="00496BCE"/>
    <w:rsid w:val="00497E65"/>
    <w:rsid w:val="004A013F"/>
    <w:rsid w:val="004A1D96"/>
    <w:rsid w:val="004A224C"/>
    <w:rsid w:val="004A22A8"/>
    <w:rsid w:val="004A6B2D"/>
    <w:rsid w:val="004A79B9"/>
    <w:rsid w:val="004B6680"/>
    <w:rsid w:val="004C36B5"/>
    <w:rsid w:val="004C58EE"/>
    <w:rsid w:val="004D120C"/>
    <w:rsid w:val="004D2E95"/>
    <w:rsid w:val="004D469B"/>
    <w:rsid w:val="004D5659"/>
    <w:rsid w:val="004D79D1"/>
    <w:rsid w:val="004E1991"/>
    <w:rsid w:val="004E413F"/>
    <w:rsid w:val="004E505C"/>
    <w:rsid w:val="004F31AF"/>
    <w:rsid w:val="004F6C10"/>
    <w:rsid w:val="0050061B"/>
    <w:rsid w:val="00500E0F"/>
    <w:rsid w:val="0050162C"/>
    <w:rsid w:val="005021B9"/>
    <w:rsid w:val="005042A5"/>
    <w:rsid w:val="00507E1B"/>
    <w:rsid w:val="00510609"/>
    <w:rsid w:val="005171DA"/>
    <w:rsid w:val="00521DEB"/>
    <w:rsid w:val="00525218"/>
    <w:rsid w:val="0052561E"/>
    <w:rsid w:val="005262C9"/>
    <w:rsid w:val="0052727F"/>
    <w:rsid w:val="005322F1"/>
    <w:rsid w:val="00532AE7"/>
    <w:rsid w:val="00534FA3"/>
    <w:rsid w:val="00541646"/>
    <w:rsid w:val="0054302D"/>
    <w:rsid w:val="00543BF3"/>
    <w:rsid w:val="0054540B"/>
    <w:rsid w:val="00545B92"/>
    <w:rsid w:val="005462A0"/>
    <w:rsid w:val="005478F5"/>
    <w:rsid w:val="0055346C"/>
    <w:rsid w:val="00553BD6"/>
    <w:rsid w:val="00557124"/>
    <w:rsid w:val="00561FF4"/>
    <w:rsid w:val="0056218B"/>
    <w:rsid w:val="00563CDD"/>
    <w:rsid w:val="005652D6"/>
    <w:rsid w:val="00573CCA"/>
    <w:rsid w:val="00577CC7"/>
    <w:rsid w:val="00580816"/>
    <w:rsid w:val="00580C04"/>
    <w:rsid w:val="00582A77"/>
    <w:rsid w:val="0058304B"/>
    <w:rsid w:val="005841D0"/>
    <w:rsid w:val="00586BFA"/>
    <w:rsid w:val="00587A1B"/>
    <w:rsid w:val="00587DC1"/>
    <w:rsid w:val="00590365"/>
    <w:rsid w:val="00592FAC"/>
    <w:rsid w:val="005A077F"/>
    <w:rsid w:val="005A190F"/>
    <w:rsid w:val="005A4B57"/>
    <w:rsid w:val="005A6530"/>
    <w:rsid w:val="005A7662"/>
    <w:rsid w:val="005A7BB2"/>
    <w:rsid w:val="005B131D"/>
    <w:rsid w:val="005B532B"/>
    <w:rsid w:val="005B618F"/>
    <w:rsid w:val="005C02ED"/>
    <w:rsid w:val="005C11B1"/>
    <w:rsid w:val="005C5A62"/>
    <w:rsid w:val="005C6737"/>
    <w:rsid w:val="005D5CEB"/>
    <w:rsid w:val="005D7FBE"/>
    <w:rsid w:val="005E2724"/>
    <w:rsid w:val="005E3D71"/>
    <w:rsid w:val="005F1EB1"/>
    <w:rsid w:val="005F21AC"/>
    <w:rsid w:val="005F245B"/>
    <w:rsid w:val="005F4ED7"/>
    <w:rsid w:val="005F518D"/>
    <w:rsid w:val="005F620A"/>
    <w:rsid w:val="005F75B1"/>
    <w:rsid w:val="00605E5C"/>
    <w:rsid w:val="00606BD1"/>
    <w:rsid w:val="00610A1F"/>
    <w:rsid w:val="00610AA0"/>
    <w:rsid w:val="0061329D"/>
    <w:rsid w:val="0062187E"/>
    <w:rsid w:val="0062325F"/>
    <w:rsid w:val="006317B1"/>
    <w:rsid w:val="0063709E"/>
    <w:rsid w:val="00637EEA"/>
    <w:rsid w:val="006418C0"/>
    <w:rsid w:val="00642887"/>
    <w:rsid w:val="00643AAA"/>
    <w:rsid w:val="00644D55"/>
    <w:rsid w:val="00652AFD"/>
    <w:rsid w:val="00653478"/>
    <w:rsid w:val="00653A46"/>
    <w:rsid w:val="006542F1"/>
    <w:rsid w:val="0066069F"/>
    <w:rsid w:val="006606DA"/>
    <w:rsid w:val="0066130D"/>
    <w:rsid w:val="006636E9"/>
    <w:rsid w:val="00665E98"/>
    <w:rsid w:val="006676D2"/>
    <w:rsid w:val="0067507F"/>
    <w:rsid w:val="00675AE6"/>
    <w:rsid w:val="00676F1F"/>
    <w:rsid w:val="0067764B"/>
    <w:rsid w:val="00687A6F"/>
    <w:rsid w:val="00693DEA"/>
    <w:rsid w:val="00694343"/>
    <w:rsid w:val="006A14E6"/>
    <w:rsid w:val="006A3007"/>
    <w:rsid w:val="006A41C3"/>
    <w:rsid w:val="006A45C8"/>
    <w:rsid w:val="006A4BE7"/>
    <w:rsid w:val="006B20E7"/>
    <w:rsid w:val="006B405D"/>
    <w:rsid w:val="006C00EA"/>
    <w:rsid w:val="006C36B3"/>
    <w:rsid w:val="006C4411"/>
    <w:rsid w:val="006C4A7E"/>
    <w:rsid w:val="006D093E"/>
    <w:rsid w:val="006D24E9"/>
    <w:rsid w:val="006D3330"/>
    <w:rsid w:val="006D366A"/>
    <w:rsid w:val="006E18EC"/>
    <w:rsid w:val="006E2DA3"/>
    <w:rsid w:val="006E3F58"/>
    <w:rsid w:val="006E6815"/>
    <w:rsid w:val="006F48ED"/>
    <w:rsid w:val="006F5433"/>
    <w:rsid w:val="006F5F96"/>
    <w:rsid w:val="007000B8"/>
    <w:rsid w:val="00703483"/>
    <w:rsid w:val="00704294"/>
    <w:rsid w:val="0070471B"/>
    <w:rsid w:val="00705EDC"/>
    <w:rsid w:val="007063A0"/>
    <w:rsid w:val="00707680"/>
    <w:rsid w:val="00712C00"/>
    <w:rsid w:val="007226BD"/>
    <w:rsid w:val="0072397D"/>
    <w:rsid w:val="00724D95"/>
    <w:rsid w:val="00725827"/>
    <w:rsid w:val="00725E9A"/>
    <w:rsid w:val="00726957"/>
    <w:rsid w:val="0072701F"/>
    <w:rsid w:val="007306E6"/>
    <w:rsid w:val="00737EBF"/>
    <w:rsid w:val="007408F4"/>
    <w:rsid w:val="00753FBD"/>
    <w:rsid w:val="007623BE"/>
    <w:rsid w:val="00763143"/>
    <w:rsid w:val="00764A0C"/>
    <w:rsid w:val="0076634B"/>
    <w:rsid w:val="00766C46"/>
    <w:rsid w:val="007673BA"/>
    <w:rsid w:val="00767DE1"/>
    <w:rsid w:val="007718F3"/>
    <w:rsid w:val="00774524"/>
    <w:rsid w:val="00776582"/>
    <w:rsid w:val="00776AD8"/>
    <w:rsid w:val="0078079B"/>
    <w:rsid w:val="00781D2E"/>
    <w:rsid w:val="00782044"/>
    <w:rsid w:val="00783719"/>
    <w:rsid w:val="00783965"/>
    <w:rsid w:val="00785DE1"/>
    <w:rsid w:val="00785F09"/>
    <w:rsid w:val="0078716A"/>
    <w:rsid w:val="00795046"/>
    <w:rsid w:val="0079741F"/>
    <w:rsid w:val="007A4068"/>
    <w:rsid w:val="007A4132"/>
    <w:rsid w:val="007A4467"/>
    <w:rsid w:val="007A5214"/>
    <w:rsid w:val="007B0F3C"/>
    <w:rsid w:val="007B2498"/>
    <w:rsid w:val="007B30A2"/>
    <w:rsid w:val="007B35E7"/>
    <w:rsid w:val="007B423E"/>
    <w:rsid w:val="007B67EE"/>
    <w:rsid w:val="007B7DE1"/>
    <w:rsid w:val="007C16F9"/>
    <w:rsid w:val="007C46BA"/>
    <w:rsid w:val="007C5C55"/>
    <w:rsid w:val="007C6411"/>
    <w:rsid w:val="007D0A4E"/>
    <w:rsid w:val="007D28BB"/>
    <w:rsid w:val="007D29CE"/>
    <w:rsid w:val="007D2C39"/>
    <w:rsid w:val="007D67BC"/>
    <w:rsid w:val="007E06C4"/>
    <w:rsid w:val="007E309F"/>
    <w:rsid w:val="007E58B8"/>
    <w:rsid w:val="007E59AD"/>
    <w:rsid w:val="007E7038"/>
    <w:rsid w:val="007E7CFC"/>
    <w:rsid w:val="007F2C12"/>
    <w:rsid w:val="007F33DF"/>
    <w:rsid w:val="007F3B17"/>
    <w:rsid w:val="007F782D"/>
    <w:rsid w:val="007F7A64"/>
    <w:rsid w:val="008036AC"/>
    <w:rsid w:val="00803976"/>
    <w:rsid w:val="00804059"/>
    <w:rsid w:val="00810294"/>
    <w:rsid w:val="00812D6B"/>
    <w:rsid w:val="00813F7D"/>
    <w:rsid w:val="00816F2E"/>
    <w:rsid w:val="00820FCC"/>
    <w:rsid w:val="00821E37"/>
    <w:rsid w:val="00822092"/>
    <w:rsid w:val="008233D2"/>
    <w:rsid w:val="00824988"/>
    <w:rsid w:val="00826EB2"/>
    <w:rsid w:val="008304A4"/>
    <w:rsid w:val="00831018"/>
    <w:rsid w:val="008316D2"/>
    <w:rsid w:val="00832A5A"/>
    <w:rsid w:val="00833671"/>
    <w:rsid w:val="00833C66"/>
    <w:rsid w:val="00835755"/>
    <w:rsid w:val="00836276"/>
    <w:rsid w:val="00840E81"/>
    <w:rsid w:val="00841535"/>
    <w:rsid w:val="0084301D"/>
    <w:rsid w:val="00843135"/>
    <w:rsid w:val="008440F7"/>
    <w:rsid w:val="008458A3"/>
    <w:rsid w:val="00847400"/>
    <w:rsid w:val="00847C4C"/>
    <w:rsid w:val="008500CF"/>
    <w:rsid w:val="008502E5"/>
    <w:rsid w:val="008543EF"/>
    <w:rsid w:val="00854644"/>
    <w:rsid w:val="00854706"/>
    <w:rsid w:val="008569D5"/>
    <w:rsid w:val="00856D2C"/>
    <w:rsid w:val="00860916"/>
    <w:rsid w:val="00860B7A"/>
    <w:rsid w:val="00861459"/>
    <w:rsid w:val="00861EFA"/>
    <w:rsid w:val="008630FB"/>
    <w:rsid w:val="0087140F"/>
    <w:rsid w:val="008750A8"/>
    <w:rsid w:val="0088159B"/>
    <w:rsid w:val="00882432"/>
    <w:rsid w:val="008848CD"/>
    <w:rsid w:val="00884C2F"/>
    <w:rsid w:val="00892C93"/>
    <w:rsid w:val="0089383D"/>
    <w:rsid w:val="00894405"/>
    <w:rsid w:val="00894F47"/>
    <w:rsid w:val="00895916"/>
    <w:rsid w:val="008A6CF1"/>
    <w:rsid w:val="008B05B7"/>
    <w:rsid w:val="008B2768"/>
    <w:rsid w:val="008B524F"/>
    <w:rsid w:val="008B569C"/>
    <w:rsid w:val="008C03CE"/>
    <w:rsid w:val="008C31E5"/>
    <w:rsid w:val="008C509B"/>
    <w:rsid w:val="008C72AC"/>
    <w:rsid w:val="008D1122"/>
    <w:rsid w:val="008D24A7"/>
    <w:rsid w:val="008D266C"/>
    <w:rsid w:val="008D2CA0"/>
    <w:rsid w:val="008D6B07"/>
    <w:rsid w:val="008E0174"/>
    <w:rsid w:val="008E02AB"/>
    <w:rsid w:val="008E33FC"/>
    <w:rsid w:val="008E3EB7"/>
    <w:rsid w:val="008E711A"/>
    <w:rsid w:val="008F3854"/>
    <w:rsid w:val="008F5392"/>
    <w:rsid w:val="008F551C"/>
    <w:rsid w:val="008F5AA0"/>
    <w:rsid w:val="0090347A"/>
    <w:rsid w:val="009068BC"/>
    <w:rsid w:val="00911732"/>
    <w:rsid w:val="00913903"/>
    <w:rsid w:val="0091567E"/>
    <w:rsid w:val="0092053D"/>
    <w:rsid w:val="009252D6"/>
    <w:rsid w:val="009340F3"/>
    <w:rsid w:val="00936E21"/>
    <w:rsid w:val="009374D3"/>
    <w:rsid w:val="0094163C"/>
    <w:rsid w:val="009449DD"/>
    <w:rsid w:val="00945952"/>
    <w:rsid w:val="00951D11"/>
    <w:rsid w:val="0095283C"/>
    <w:rsid w:val="0095335B"/>
    <w:rsid w:val="00956BC3"/>
    <w:rsid w:val="0096579C"/>
    <w:rsid w:val="0097534B"/>
    <w:rsid w:val="00975D1A"/>
    <w:rsid w:val="00976DE3"/>
    <w:rsid w:val="00981F85"/>
    <w:rsid w:val="00985DF4"/>
    <w:rsid w:val="009864AB"/>
    <w:rsid w:val="0099312E"/>
    <w:rsid w:val="009977D5"/>
    <w:rsid w:val="009A309A"/>
    <w:rsid w:val="009B065A"/>
    <w:rsid w:val="009B0AD2"/>
    <w:rsid w:val="009B1D9C"/>
    <w:rsid w:val="009B1EAB"/>
    <w:rsid w:val="009B23B7"/>
    <w:rsid w:val="009B2B2E"/>
    <w:rsid w:val="009B42CF"/>
    <w:rsid w:val="009B6A5F"/>
    <w:rsid w:val="009B6BAB"/>
    <w:rsid w:val="009C4AF0"/>
    <w:rsid w:val="009C777F"/>
    <w:rsid w:val="009C798D"/>
    <w:rsid w:val="009C7E7D"/>
    <w:rsid w:val="009D025B"/>
    <w:rsid w:val="009D67E9"/>
    <w:rsid w:val="009F1C35"/>
    <w:rsid w:val="009F4317"/>
    <w:rsid w:val="009F46A3"/>
    <w:rsid w:val="009F5836"/>
    <w:rsid w:val="00A02359"/>
    <w:rsid w:val="00A04535"/>
    <w:rsid w:val="00A058F4"/>
    <w:rsid w:val="00A05971"/>
    <w:rsid w:val="00A07615"/>
    <w:rsid w:val="00A11FFE"/>
    <w:rsid w:val="00A133F2"/>
    <w:rsid w:val="00A152C2"/>
    <w:rsid w:val="00A17BD0"/>
    <w:rsid w:val="00A17F24"/>
    <w:rsid w:val="00A20C16"/>
    <w:rsid w:val="00A27247"/>
    <w:rsid w:val="00A272D3"/>
    <w:rsid w:val="00A31895"/>
    <w:rsid w:val="00A32CA6"/>
    <w:rsid w:val="00A33900"/>
    <w:rsid w:val="00A41C65"/>
    <w:rsid w:val="00A4279A"/>
    <w:rsid w:val="00A4578C"/>
    <w:rsid w:val="00A462C5"/>
    <w:rsid w:val="00A46B45"/>
    <w:rsid w:val="00A46F63"/>
    <w:rsid w:val="00A50138"/>
    <w:rsid w:val="00A504CA"/>
    <w:rsid w:val="00A52543"/>
    <w:rsid w:val="00A525DE"/>
    <w:rsid w:val="00A5420B"/>
    <w:rsid w:val="00A54C2F"/>
    <w:rsid w:val="00A62E77"/>
    <w:rsid w:val="00A62F3D"/>
    <w:rsid w:val="00A65A92"/>
    <w:rsid w:val="00A65CFD"/>
    <w:rsid w:val="00A67852"/>
    <w:rsid w:val="00A701A0"/>
    <w:rsid w:val="00A727CF"/>
    <w:rsid w:val="00A73CD4"/>
    <w:rsid w:val="00A8251A"/>
    <w:rsid w:val="00A82C90"/>
    <w:rsid w:val="00A8432D"/>
    <w:rsid w:val="00A848AF"/>
    <w:rsid w:val="00A84C34"/>
    <w:rsid w:val="00A90358"/>
    <w:rsid w:val="00A95459"/>
    <w:rsid w:val="00A9660E"/>
    <w:rsid w:val="00AA6276"/>
    <w:rsid w:val="00AB0FA9"/>
    <w:rsid w:val="00AB1DBC"/>
    <w:rsid w:val="00AB587C"/>
    <w:rsid w:val="00AB5D11"/>
    <w:rsid w:val="00AB67DD"/>
    <w:rsid w:val="00AB75F4"/>
    <w:rsid w:val="00AC148E"/>
    <w:rsid w:val="00AC788C"/>
    <w:rsid w:val="00AD0401"/>
    <w:rsid w:val="00AD088A"/>
    <w:rsid w:val="00AD26BD"/>
    <w:rsid w:val="00AD4D30"/>
    <w:rsid w:val="00AD6876"/>
    <w:rsid w:val="00AD743F"/>
    <w:rsid w:val="00AD7B84"/>
    <w:rsid w:val="00AE160D"/>
    <w:rsid w:val="00AE4841"/>
    <w:rsid w:val="00AE628F"/>
    <w:rsid w:val="00AE6390"/>
    <w:rsid w:val="00AF214D"/>
    <w:rsid w:val="00AF2999"/>
    <w:rsid w:val="00AF2A7D"/>
    <w:rsid w:val="00AF2AFC"/>
    <w:rsid w:val="00AF2DF9"/>
    <w:rsid w:val="00AF4647"/>
    <w:rsid w:val="00B01BFD"/>
    <w:rsid w:val="00B02C27"/>
    <w:rsid w:val="00B05048"/>
    <w:rsid w:val="00B10CEB"/>
    <w:rsid w:val="00B31421"/>
    <w:rsid w:val="00B32D28"/>
    <w:rsid w:val="00B33764"/>
    <w:rsid w:val="00B41316"/>
    <w:rsid w:val="00B46485"/>
    <w:rsid w:val="00B47337"/>
    <w:rsid w:val="00B5096A"/>
    <w:rsid w:val="00B53844"/>
    <w:rsid w:val="00B5630D"/>
    <w:rsid w:val="00B56381"/>
    <w:rsid w:val="00B60B9C"/>
    <w:rsid w:val="00B63605"/>
    <w:rsid w:val="00B639F8"/>
    <w:rsid w:val="00B6655B"/>
    <w:rsid w:val="00B67DEB"/>
    <w:rsid w:val="00B70556"/>
    <w:rsid w:val="00B7306E"/>
    <w:rsid w:val="00B7488A"/>
    <w:rsid w:val="00B77032"/>
    <w:rsid w:val="00B81626"/>
    <w:rsid w:val="00B825B0"/>
    <w:rsid w:val="00B82660"/>
    <w:rsid w:val="00B829C5"/>
    <w:rsid w:val="00B8486A"/>
    <w:rsid w:val="00B855E8"/>
    <w:rsid w:val="00B960F5"/>
    <w:rsid w:val="00B9726B"/>
    <w:rsid w:val="00B97585"/>
    <w:rsid w:val="00BA0ECE"/>
    <w:rsid w:val="00BA21BC"/>
    <w:rsid w:val="00BB0611"/>
    <w:rsid w:val="00BB1DE5"/>
    <w:rsid w:val="00BC09C1"/>
    <w:rsid w:val="00BC3268"/>
    <w:rsid w:val="00BC5465"/>
    <w:rsid w:val="00BD0922"/>
    <w:rsid w:val="00BD3330"/>
    <w:rsid w:val="00BD509C"/>
    <w:rsid w:val="00BD6E74"/>
    <w:rsid w:val="00BE33A3"/>
    <w:rsid w:val="00BE75D0"/>
    <w:rsid w:val="00BF00F7"/>
    <w:rsid w:val="00BF6300"/>
    <w:rsid w:val="00C00012"/>
    <w:rsid w:val="00C02099"/>
    <w:rsid w:val="00C036BE"/>
    <w:rsid w:val="00C03AE3"/>
    <w:rsid w:val="00C052D0"/>
    <w:rsid w:val="00C05B08"/>
    <w:rsid w:val="00C078AA"/>
    <w:rsid w:val="00C1070F"/>
    <w:rsid w:val="00C1272F"/>
    <w:rsid w:val="00C1526C"/>
    <w:rsid w:val="00C153B6"/>
    <w:rsid w:val="00C17038"/>
    <w:rsid w:val="00C21E19"/>
    <w:rsid w:val="00C26150"/>
    <w:rsid w:val="00C264E8"/>
    <w:rsid w:val="00C351AC"/>
    <w:rsid w:val="00C377DB"/>
    <w:rsid w:val="00C37C27"/>
    <w:rsid w:val="00C47A33"/>
    <w:rsid w:val="00C5155E"/>
    <w:rsid w:val="00C5297D"/>
    <w:rsid w:val="00C52993"/>
    <w:rsid w:val="00C52FC5"/>
    <w:rsid w:val="00C53911"/>
    <w:rsid w:val="00C5547C"/>
    <w:rsid w:val="00C56E16"/>
    <w:rsid w:val="00C56EE6"/>
    <w:rsid w:val="00C57BB4"/>
    <w:rsid w:val="00C62277"/>
    <w:rsid w:val="00C625E4"/>
    <w:rsid w:val="00C63064"/>
    <w:rsid w:val="00C634E8"/>
    <w:rsid w:val="00C650C3"/>
    <w:rsid w:val="00C65158"/>
    <w:rsid w:val="00C659B6"/>
    <w:rsid w:val="00C66267"/>
    <w:rsid w:val="00C67540"/>
    <w:rsid w:val="00C67F51"/>
    <w:rsid w:val="00C70D0C"/>
    <w:rsid w:val="00C72055"/>
    <w:rsid w:val="00C816FB"/>
    <w:rsid w:val="00C8685F"/>
    <w:rsid w:val="00C92AB4"/>
    <w:rsid w:val="00C92D52"/>
    <w:rsid w:val="00CA24F3"/>
    <w:rsid w:val="00CA2CDB"/>
    <w:rsid w:val="00CA3CFC"/>
    <w:rsid w:val="00CA4C6A"/>
    <w:rsid w:val="00CA4E81"/>
    <w:rsid w:val="00CA54E4"/>
    <w:rsid w:val="00CA74D9"/>
    <w:rsid w:val="00CA7FF6"/>
    <w:rsid w:val="00CB09C3"/>
    <w:rsid w:val="00CB3C73"/>
    <w:rsid w:val="00CB5EA1"/>
    <w:rsid w:val="00CB6226"/>
    <w:rsid w:val="00CB685D"/>
    <w:rsid w:val="00CC1EDE"/>
    <w:rsid w:val="00CC50EE"/>
    <w:rsid w:val="00CC5377"/>
    <w:rsid w:val="00CC74E5"/>
    <w:rsid w:val="00CD2739"/>
    <w:rsid w:val="00CD3E75"/>
    <w:rsid w:val="00CD65D7"/>
    <w:rsid w:val="00CE2BF6"/>
    <w:rsid w:val="00CE32CD"/>
    <w:rsid w:val="00CE6359"/>
    <w:rsid w:val="00CF0ADC"/>
    <w:rsid w:val="00CF13E3"/>
    <w:rsid w:val="00CF157C"/>
    <w:rsid w:val="00CF173F"/>
    <w:rsid w:val="00CF27DE"/>
    <w:rsid w:val="00CF666B"/>
    <w:rsid w:val="00D04164"/>
    <w:rsid w:val="00D065D2"/>
    <w:rsid w:val="00D06DF7"/>
    <w:rsid w:val="00D23243"/>
    <w:rsid w:val="00D2562A"/>
    <w:rsid w:val="00D25ACF"/>
    <w:rsid w:val="00D27E92"/>
    <w:rsid w:val="00D3052E"/>
    <w:rsid w:val="00D3374C"/>
    <w:rsid w:val="00D420EB"/>
    <w:rsid w:val="00D443D6"/>
    <w:rsid w:val="00D47177"/>
    <w:rsid w:val="00D517A3"/>
    <w:rsid w:val="00D55BA2"/>
    <w:rsid w:val="00D56598"/>
    <w:rsid w:val="00D61DEE"/>
    <w:rsid w:val="00D63E9C"/>
    <w:rsid w:val="00D664F9"/>
    <w:rsid w:val="00D66A0C"/>
    <w:rsid w:val="00D66E2E"/>
    <w:rsid w:val="00D72F8A"/>
    <w:rsid w:val="00D77B2E"/>
    <w:rsid w:val="00D80E23"/>
    <w:rsid w:val="00D851DA"/>
    <w:rsid w:val="00D86855"/>
    <w:rsid w:val="00D91680"/>
    <w:rsid w:val="00D9205F"/>
    <w:rsid w:val="00D927D4"/>
    <w:rsid w:val="00D95066"/>
    <w:rsid w:val="00D95C5D"/>
    <w:rsid w:val="00D97683"/>
    <w:rsid w:val="00DA217A"/>
    <w:rsid w:val="00DA2780"/>
    <w:rsid w:val="00DA2FB5"/>
    <w:rsid w:val="00DA6760"/>
    <w:rsid w:val="00DB3E90"/>
    <w:rsid w:val="00DB6C4C"/>
    <w:rsid w:val="00DB7FE2"/>
    <w:rsid w:val="00DC4157"/>
    <w:rsid w:val="00DC5B9F"/>
    <w:rsid w:val="00DC681D"/>
    <w:rsid w:val="00DC6843"/>
    <w:rsid w:val="00DC6E95"/>
    <w:rsid w:val="00DD1418"/>
    <w:rsid w:val="00DD19DB"/>
    <w:rsid w:val="00DD425F"/>
    <w:rsid w:val="00DD56DF"/>
    <w:rsid w:val="00DD6E17"/>
    <w:rsid w:val="00DE1884"/>
    <w:rsid w:val="00DF2338"/>
    <w:rsid w:val="00DF2ECC"/>
    <w:rsid w:val="00DF6598"/>
    <w:rsid w:val="00DF71F1"/>
    <w:rsid w:val="00DF7654"/>
    <w:rsid w:val="00E0512C"/>
    <w:rsid w:val="00E062C4"/>
    <w:rsid w:val="00E06426"/>
    <w:rsid w:val="00E105C8"/>
    <w:rsid w:val="00E117FE"/>
    <w:rsid w:val="00E13197"/>
    <w:rsid w:val="00E14458"/>
    <w:rsid w:val="00E17F53"/>
    <w:rsid w:val="00E22143"/>
    <w:rsid w:val="00E235FA"/>
    <w:rsid w:val="00E32E5D"/>
    <w:rsid w:val="00E350D9"/>
    <w:rsid w:val="00E40055"/>
    <w:rsid w:val="00E507BA"/>
    <w:rsid w:val="00E5433A"/>
    <w:rsid w:val="00E57AA2"/>
    <w:rsid w:val="00E60B88"/>
    <w:rsid w:val="00E60C32"/>
    <w:rsid w:val="00E62E6B"/>
    <w:rsid w:val="00E63543"/>
    <w:rsid w:val="00E656C4"/>
    <w:rsid w:val="00E664F4"/>
    <w:rsid w:val="00E676B5"/>
    <w:rsid w:val="00E67DDE"/>
    <w:rsid w:val="00E72252"/>
    <w:rsid w:val="00E73F93"/>
    <w:rsid w:val="00E81ADB"/>
    <w:rsid w:val="00E86895"/>
    <w:rsid w:val="00E94294"/>
    <w:rsid w:val="00E94F73"/>
    <w:rsid w:val="00EA0A5F"/>
    <w:rsid w:val="00EA65B9"/>
    <w:rsid w:val="00EA7CBB"/>
    <w:rsid w:val="00EB6BE0"/>
    <w:rsid w:val="00EC6194"/>
    <w:rsid w:val="00ED0A00"/>
    <w:rsid w:val="00ED0DF4"/>
    <w:rsid w:val="00ED1B2E"/>
    <w:rsid w:val="00ED472C"/>
    <w:rsid w:val="00ED6706"/>
    <w:rsid w:val="00ED7948"/>
    <w:rsid w:val="00ED7E89"/>
    <w:rsid w:val="00ED7FCE"/>
    <w:rsid w:val="00EF1223"/>
    <w:rsid w:val="00EF23F2"/>
    <w:rsid w:val="00EF2CD7"/>
    <w:rsid w:val="00EF4089"/>
    <w:rsid w:val="00EF5752"/>
    <w:rsid w:val="00EF58D4"/>
    <w:rsid w:val="00F005E4"/>
    <w:rsid w:val="00F00AB1"/>
    <w:rsid w:val="00F01F4D"/>
    <w:rsid w:val="00F029D2"/>
    <w:rsid w:val="00F02CB2"/>
    <w:rsid w:val="00F04003"/>
    <w:rsid w:val="00F07FD3"/>
    <w:rsid w:val="00F11EFD"/>
    <w:rsid w:val="00F12084"/>
    <w:rsid w:val="00F13195"/>
    <w:rsid w:val="00F15F29"/>
    <w:rsid w:val="00F17AAA"/>
    <w:rsid w:val="00F17E5D"/>
    <w:rsid w:val="00F205A0"/>
    <w:rsid w:val="00F20C84"/>
    <w:rsid w:val="00F23385"/>
    <w:rsid w:val="00F23943"/>
    <w:rsid w:val="00F27FC4"/>
    <w:rsid w:val="00F30651"/>
    <w:rsid w:val="00F310ED"/>
    <w:rsid w:val="00F31108"/>
    <w:rsid w:val="00F31E7E"/>
    <w:rsid w:val="00F347E7"/>
    <w:rsid w:val="00F37B41"/>
    <w:rsid w:val="00F41867"/>
    <w:rsid w:val="00F45B45"/>
    <w:rsid w:val="00F54484"/>
    <w:rsid w:val="00F57530"/>
    <w:rsid w:val="00F63046"/>
    <w:rsid w:val="00F64CBE"/>
    <w:rsid w:val="00F679FF"/>
    <w:rsid w:val="00F71F96"/>
    <w:rsid w:val="00F840E0"/>
    <w:rsid w:val="00F84103"/>
    <w:rsid w:val="00F8431C"/>
    <w:rsid w:val="00F86C68"/>
    <w:rsid w:val="00F86E0D"/>
    <w:rsid w:val="00F91353"/>
    <w:rsid w:val="00FA1D61"/>
    <w:rsid w:val="00FA306D"/>
    <w:rsid w:val="00FA479F"/>
    <w:rsid w:val="00FA5139"/>
    <w:rsid w:val="00FA7C46"/>
    <w:rsid w:val="00FB2EB6"/>
    <w:rsid w:val="00FB4437"/>
    <w:rsid w:val="00FC0BCD"/>
    <w:rsid w:val="00FC115C"/>
    <w:rsid w:val="00FC3051"/>
    <w:rsid w:val="00FD0420"/>
    <w:rsid w:val="00FD2BBD"/>
    <w:rsid w:val="00FD358D"/>
    <w:rsid w:val="00FD587B"/>
    <w:rsid w:val="00FD7559"/>
    <w:rsid w:val="00FE1F30"/>
    <w:rsid w:val="00FE4C5A"/>
    <w:rsid w:val="00FE7FFD"/>
    <w:rsid w:val="00FF2CF7"/>
    <w:rsid w:val="00FF53FD"/>
    <w:rsid w:val="00FF7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8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47C"/>
    <w:pPr>
      <w:spacing w:line="360" w:lineRule="auto"/>
      <w:jc w:val="both"/>
    </w:pPr>
    <w:rPr>
      <w:rFonts w:ascii="Times New Roman" w:hAnsi="Times New Roman"/>
      <w:kern w:val="0"/>
      <w:sz w:val="24"/>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06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61B"/>
    <w:rPr>
      <w:kern w:val="0"/>
      <w14:ligatures w14:val="none"/>
    </w:rPr>
  </w:style>
  <w:style w:type="paragraph" w:styleId="Footer">
    <w:name w:val="footer"/>
    <w:basedOn w:val="Normal"/>
    <w:link w:val="FooterChar"/>
    <w:uiPriority w:val="99"/>
    <w:unhideWhenUsed/>
    <w:rsid w:val="005006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061B"/>
    <w:rPr>
      <w:kern w:val="0"/>
      <w14:ligatures w14:val="none"/>
    </w:rPr>
  </w:style>
  <w:style w:type="paragraph" w:styleId="ListParagraph">
    <w:name w:val="List Paragraph"/>
    <w:basedOn w:val="Normal"/>
    <w:uiPriority w:val="34"/>
    <w:qFormat/>
    <w:rsid w:val="000B747D"/>
    <w:pPr>
      <w:ind w:left="720"/>
      <w:contextualSpacing/>
    </w:pPr>
  </w:style>
  <w:style w:type="paragraph" w:customStyle="1" w:styleId="Default">
    <w:name w:val="Default"/>
    <w:rsid w:val="00392035"/>
    <w:pPr>
      <w:autoSpaceDE w:val="0"/>
      <w:autoSpaceDN w:val="0"/>
      <w:adjustRightInd w:val="0"/>
      <w:spacing w:after="0" w:line="240" w:lineRule="auto"/>
    </w:pPr>
    <w:rPr>
      <w:rFonts w:ascii="Times New Roman" w:hAnsi="Times New Roman" w:cs="Times New Roman"/>
      <w:color w:val="000000"/>
      <w:kern w:val="0"/>
      <w:sz w:val="24"/>
      <w:szCs w:val="24"/>
      <w:lang w:val="en-ZW"/>
      <w14:ligatures w14:val="none"/>
    </w:rPr>
  </w:style>
  <w:style w:type="paragraph" w:styleId="BodyText">
    <w:name w:val="Body Text"/>
    <w:basedOn w:val="Normal"/>
    <w:link w:val="BodyTextChar"/>
    <w:uiPriority w:val="1"/>
    <w:qFormat/>
    <w:rsid w:val="00DD19DB"/>
    <w:pPr>
      <w:widowControl w:val="0"/>
      <w:autoSpaceDE w:val="0"/>
      <w:autoSpaceDN w:val="0"/>
      <w:spacing w:after="0" w:line="240" w:lineRule="auto"/>
    </w:pPr>
    <w:rPr>
      <w:rFonts w:eastAsia="Times New Roman" w:cs="Times New Roman"/>
      <w:szCs w:val="24"/>
      <w:lang w:val="en-US"/>
    </w:rPr>
  </w:style>
  <w:style w:type="character" w:customStyle="1" w:styleId="BodyTextChar">
    <w:name w:val="Body Text Char"/>
    <w:basedOn w:val="DefaultParagraphFont"/>
    <w:link w:val="BodyText"/>
    <w:uiPriority w:val="1"/>
    <w:rsid w:val="00DD19DB"/>
    <w:rPr>
      <w:rFonts w:ascii="Times New Roman" w:eastAsia="Times New Roman" w:hAnsi="Times New Roman" w:cs="Times New Roman"/>
      <w:kern w:val="0"/>
      <w:sz w:val="24"/>
      <w:szCs w:val="24"/>
      <w14:ligatures w14:val="none"/>
    </w:rPr>
  </w:style>
  <w:style w:type="paragraph" w:styleId="FootnoteText">
    <w:name w:val="footnote text"/>
    <w:basedOn w:val="Normal"/>
    <w:link w:val="FootnoteTextChar"/>
    <w:uiPriority w:val="99"/>
    <w:unhideWhenUsed/>
    <w:rsid w:val="0021406C"/>
    <w:pPr>
      <w:spacing w:after="0" w:line="240" w:lineRule="auto"/>
    </w:pPr>
    <w:rPr>
      <w:sz w:val="20"/>
      <w:szCs w:val="20"/>
      <w:lang w:val="en-US"/>
    </w:rPr>
  </w:style>
  <w:style w:type="character" w:customStyle="1" w:styleId="FootnoteTextChar">
    <w:name w:val="Footnote Text Char"/>
    <w:basedOn w:val="DefaultParagraphFont"/>
    <w:link w:val="FootnoteText"/>
    <w:uiPriority w:val="99"/>
    <w:rsid w:val="0021406C"/>
    <w:rPr>
      <w:kern w:val="0"/>
      <w:sz w:val="20"/>
      <w:szCs w:val="20"/>
      <w14:ligatures w14:val="none"/>
    </w:rPr>
  </w:style>
  <w:style w:type="character" w:styleId="FootnoteReference">
    <w:name w:val="footnote reference"/>
    <w:basedOn w:val="DefaultParagraphFont"/>
    <w:uiPriority w:val="99"/>
    <w:semiHidden/>
    <w:unhideWhenUsed/>
    <w:rsid w:val="0021406C"/>
    <w:rPr>
      <w:vertAlign w:val="superscript"/>
    </w:rPr>
  </w:style>
  <w:style w:type="character" w:styleId="CommentReference">
    <w:name w:val="annotation reference"/>
    <w:basedOn w:val="DefaultParagraphFont"/>
    <w:uiPriority w:val="99"/>
    <w:semiHidden/>
    <w:unhideWhenUsed/>
    <w:rsid w:val="00CF173F"/>
    <w:rPr>
      <w:sz w:val="16"/>
      <w:szCs w:val="16"/>
    </w:rPr>
  </w:style>
  <w:style w:type="paragraph" w:styleId="CommentText">
    <w:name w:val="annotation text"/>
    <w:basedOn w:val="Normal"/>
    <w:link w:val="CommentTextChar"/>
    <w:uiPriority w:val="99"/>
    <w:unhideWhenUsed/>
    <w:rsid w:val="00CF173F"/>
    <w:pPr>
      <w:spacing w:line="240" w:lineRule="auto"/>
    </w:pPr>
    <w:rPr>
      <w:sz w:val="20"/>
      <w:szCs w:val="20"/>
    </w:rPr>
  </w:style>
  <w:style w:type="character" w:customStyle="1" w:styleId="CommentTextChar">
    <w:name w:val="Comment Text Char"/>
    <w:basedOn w:val="DefaultParagraphFont"/>
    <w:link w:val="CommentText"/>
    <w:uiPriority w:val="99"/>
    <w:rsid w:val="00CF173F"/>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173F"/>
    <w:rPr>
      <w:b/>
      <w:bCs/>
    </w:rPr>
  </w:style>
  <w:style w:type="character" w:customStyle="1" w:styleId="CommentSubjectChar">
    <w:name w:val="Comment Subject Char"/>
    <w:basedOn w:val="CommentTextChar"/>
    <w:link w:val="CommentSubject"/>
    <w:uiPriority w:val="99"/>
    <w:semiHidden/>
    <w:rsid w:val="00CF173F"/>
    <w:rPr>
      <w:b/>
      <w:bCs/>
      <w:kern w:val="0"/>
      <w:sz w:val="20"/>
      <w:szCs w:val="20"/>
      <w:lang w:val="en-GB"/>
      <w14:ligatures w14:val="none"/>
    </w:rPr>
  </w:style>
  <w:style w:type="paragraph" w:styleId="BalloonText">
    <w:name w:val="Balloon Text"/>
    <w:basedOn w:val="Normal"/>
    <w:link w:val="BalloonTextChar"/>
    <w:uiPriority w:val="99"/>
    <w:semiHidden/>
    <w:unhideWhenUsed/>
    <w:rsid w:val="00CF17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73F"/>
    <w:rPr>
      <w:rFonts w:ascii="Segoe UI" w:hAnsi="Segoe UI" w:cs="Segoe UI"/>
      <w:kern w:val="0"/>
      <w:sz w:val="18"/>
      <w:szCs w:val="18"/>
      <w:lang w:val="en-GB"/>
      <w14:ligatures w14:val="none"/>
    </w:rPr>
  </w:style>
  <w:style w:type="paragraph" w:styleId="Revision">
    <w:name w:val="Revision"/>
    <w:hidden/>
    <w:uiPriority w:val="99"/>
    <w:semiHidden/>
    <w:rsid w:val="00E507BA"/>
    <w:pPr>
      <w:spacing w:after="0" w:line="240" w:lineRule="auto"/>
    </w:pPr>
    <w:rPr>
      <w:kern w:val="0"/>
      <w:lang w:val="en-GB"/>
      <w14:ligatures w14:val="none"/>
    </w:rPr>
  </w:style>
  <w:style w:type="paragraph" w:styleId="NormalWeb">
    <w:name w:val="Normal (Web)"/>
    <w:basedOn w:val="Normal"/>
    <w:uiPriority w:val="99"/>
    <w:semiHidden/>
    <w:unhideWhenUsed/>
    <w:rsid w:val="000C75CB"/>
    <w:pPr>
      <w:spacing w:before="100" w:beforeAutospacing="1" w:after="100" w:afterAutospacing="1" w:line="240" w:lineRule="auto"/>
      <w:jc w:val="left"/>
    </w:pPr>
    <w:rPr>
      <w:rFonts w:eastAsia="Times New Roman" w:cs="Times New Roman"/>
      <w:szCs w:val="24"/>
      <w:lang w:val="en-ZW" w:eastAsia="en-ZW"/>
    </w:rPr>
  </w:style>
  <w:style w:type="character" w:styleId="Emphasis">
    <w:name w:val="Emphasis"/>
    <w:basedOn w:val="DefaultParagraphFont"/>
    <w:uiPriority w:val="20"/>
    <w:qFormat/>
    <w:rsid w:val="000C75CB"/>
    <w:rPr>
      <w:i/>
      <w:iCs/>
    </w:rPr>
  </w:style>
  <w:style w:type="character" w:styleId="Hyperlink">
    <w:name w:val="Hyperlink"/>
    <w:basedOn w:val="DefaultParagraphFont"/>
    <w:uiPriority w:val="99"/>
    <w:unhideWhenUsed/>
    <w:rsid w:val="00785DE1"/>
    <w:rPr>
      <w:color w:val="0563C1" w:themeColor="hyperlink"/>
      <w:u w:val="single"/>
    </w:rPr>
  </w:style>
  <w:style w:type="character" w:customStyle="1" w:styleId="UnresolvedMention">
    <w:name w:val="Unresolved Mention"/>
    <w:basedOn w:val="DefaultParagraphFont"/>
    <w:uiPriority w:val="99"/>
    <w:semiHidden/>
    <w:unhideWhenUsed/>
    <w:rsid w:val="00785DE1"/>
    <w:rPr>
      <w:color w:val="605E5C"/>
      <w:shd w:val="clear" w:color="auto" w:fill="E1DFDD"/>
    </w:rPr>
  </w:style>
  <w:style w:type="paragraph" w:styleId="NoSpacing">
    <w:name w:val="No Spacing"/>
    <w:uiPriority w:val="1"/>
    <w:qFormat/>
    <w:rsid w:val="009864AB"/>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1CD73-C82D-48E6-96FE-A9B1386BA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5482</Words>
  <Characters>31249</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2026-02-27T12:42:00Z</cp:lastPrinted>
  <dcterms:created xsi:type="dcterms:W3CDTF">2026-05-04T11:40:00Z</dcterms:created>
  <dcterms:modified xsi:type="dcterms:W3CDTF">2026-05-04T11:40:00Z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8d3b3ed7-2aa1-4f88-a08e-f3681ab17c77</vt:lpwstr>
  </property>
</Properties>
</file>