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548EF" w14:textId="77777777" w:rsidR="00033E12" w:rsidRDefault="0049639E">
      <w:pPr>
        <w:spacing w:after="0" w:line="259" w:lineRule="auto"/>
        <w:ind w:left="0" w:firstLine="0"/>
        <w:jc w:val="right"/>
      </w:pPr>
      <w:r>
        <w:rPr>
          <w:rFonts w:ascii="Calibri" w:eastAsia="Calibri" w:hAnsi="Calibri" w:cs="Calibri"/>
          <w:sz w:val="22"/>
        </w:rPr>
        <w:t xml:space="preserve"> </w:t>
      </w:r>
    </w:p>
    <w:p w14:paraId="658BB165" w14:textId="77777777" w:rsidR="00033E12" w:rsidRDefault="0049639E">
      <w:pPr>
        <w:spacing w:after="176" w:line="259" w:lineRule="auto"/>
        <w:ind w:left="0" w:firstLine="0"/>
        <w:jc w:val="left"/>
      </w:pPr>
      <w:r>
        <w:rPr>
          <w:rFonts w:ascii="Calibri" w:eastAsia="Calibri" w:hAnsi="Calibri" w:cs="Calibri"/>
          <w:sz w:val="22"/>
        </w:rPr>
        <w:t xml:space="preserve"> </w:t>
      </w:r>
    </w:p>
    <w:p w14:paraId="3B214EDA" w14:textId="77777777" w:rsidR="00033E12" w:rsidRDefault="0049639E">
      <w:pPr>
        <w:spacing w:after="9" w:line="259" w:lineRule="auto"/>
        <w:ind w:left="0" w:firstLine="0"/>
        <w:jc w:val="left"/>
      </w:pPr>
      <w:r>
        <w:rPr>
          <w:b/>
        </w:rPr>
        <w:t xml:space="preserve"> </w:t>
      </w:r>
    </w:p>
    <w:p w14:paraId="07DAE5E7" w14:textId="46673034" w:rsidR="00033E12" w:rsidRDefault="0049639E">
      <w:pPr>
        <w:tabs>
          <w:tab w:val="center" w:pos="5041"/>
          <w:tab w:val="center" w:pos="7319"/>
        </w:tabs>
        <w:spacing w:after="3" w:line="259" w:lineRule="auto"/>
        <w:ind w:left="-15" w:firstLine="0"/>
        <w:jc w:val="left"/>
      </w:pPr>
      <w:r>
        <w:rPr>
          <w:b/>
        </w:rPr>
        <w:t xml:space="preserve">IN THE LABOUR COURT OF ZIMBABWE </w:t>
      </w:r>
      <w:r>
        <w:rPr>
          <w:b/>
        </w:rPr>
        <w:tab/>
        <w:t xml:space="preserve">  </w:t>
      </w:r>
      <w:r>
        <w:rPr>
          <w:b/>
        </w:rPr>
        <w:tab/>
        <w:t xml:space="preserve"> JUDGMENT NO LC/H/</w:t>
      </w:r>
      <w:r w:rsidR="002D4A9A">
        <w:rPr>
          <w:b/>
        </w:rPr>
        <w:t>203</w:t>
      </w:r>
      <w:r>
        <w:rPr>
          <w:b/>
        </w:rPr>
        <w:t xml:space="preserve">/2026 </w:t>
      </w:r>
    </w:p>
    <w:p w14:paraId="73B28730" w14:textId="77777777" w:rsidR="00033E12" w:rsidRDefault="0049639E">
      <w:pPr>
        <w:spacing w:after="9" w:line="259" w:lineRule="auto"/>
        <w:ind w:left="0" w:firstLine="0"/>
        <w:jc w:val="left"/>
      </w:pPr>
      <w:r>
        <w:rPr>
          <w:b/>
        </w:rPr>
        <w:t xml:space="preserve"> </w:t>
      </w:r>
    </w:p>
    <w:p w14:paraId="4A2F9C2E" w14:textId="77777777" w:rsidR="002D4A9A" w:rsidRDefault="0049639E">
      <w:pPr>
        <w:spacing w:after="3" w:line="259" w:lineRule="auto"/>
        <w:ind w:left="-5" w:right="34"/>
        <w:rPr>
          <w:b/>
        </w:rPr>
      </w:pPr>
      <w:r>
        <w:rPr>
          <w:b/>
        </w:rPr>
        <w:t xml:space="preserve">HARARE, 22 MAY 2026 </w:t>
      </w:r>
      <w:r>
        <w:rPr>
          <w:b/>
        </w:rPr>
        <w:tab/>
        <w:t xml:space="preserve"> </w:t>
      </w:r>
      <w:r>
        <w:rPr>
          <w:b/>
        </w:rPr>
        <w:tab/>
        <w:t xml:space="preserve"> </w:t>
      </w:r>
      <w:r>
        <w:rPr>
          <w:b/>
        </w:rPr>
        <w:tab/>
        <w:t xml:space="preserve"> </w:t>
      </w:r>
      <w:r>
        <w:rPr>
          <w:b/>
        </w:rPr>
        <w:tab/>
        <w:t xml:space="preserve">             CASE NO LC/H/300/26  </w:t>
      </w:r>
    </w:p>
    <w:p w14:paraId="22F92617" w14:textId="7FB126EF" w:rsidR="00033E12" w:rsidRDefault="0049639E">
      <w:pPr>
        <w:spacing w:after="3" w:line="259" w:lineRule="auto"/>
        <w:ind w:left="-5" w:right="34"/>
      </w:pPr>
      <w:r>
        <w:rPr>
          <w:b/>
        </w:rPr>
        <w:t xml:space="preserve">&amp; 4 JUNE 2026                                 </w:t>
      </w:r>
      <w:r>
        <w:rPr>
          <w:b/>
        </w:rPr>
        <w:tab/>
        <w:t xml:space="preserve"> </w:t>
      </w:r>
      <w:r>
        <w:rPr>
          <w:b/>
        </w:rPr>
        <w:tab/>
        <w:t xml:space="preserve"> </w:t>
      </w:r>
      <w:r>
        <w:rPr>
          <w:b/>
        </w:rPr>
        <w:tab/>
        <w:t xml:space="preserve"> </w:t>
      </w:r>
    </w:p>
    <w:p w14:paraId="4B36F82D" w14:textId="77777777" w:rsidR="00033E12" w:rsidRDefault="0049639E">
      <w:pPr>
        <w:spacing w:after="0" w:line="259" w:lineRule="auto"/>
        <w:ind w:left="0" w:firstLine="0"/>
        <w:jc w:val="left"/>
      </w:pPr>
      <w:r>
        <w:t xml:space="preserve"> </w:t>
      </w:r>
    </w:p>
    <w:p w14:paraId="16DBBC8D" w14:textId="77777777" w:rsidR="00033E12" w:rsidRDefault="0049639E">
      <w:pPr>
        <w:spacing w:after="0" w:line="259" w:lineRule="auto"/>
        <w:ind w:left="0" w:firstLine="0"/>
        <w:jc w:val="left"/>
      </w:pPr>
      <w:r>
        <w:t xml:space="preserve"> </w:t>
      </w:r>
    </w:p>
    <w:p w14:paraId="06DD3DC6" w14:textId="77777777" w:rsidR="00033E12" w:rsidRDefault="0049639E">
      <w:pPr>
        <w:spacing w:line="259" w:lineRule="auto"/>
        <w:ind w:left="-5" w:right="42"/>
      </w:pPr>
      <w:r>
        <w:t xml:space="preserve">In the matter between: - </w:t>
      </w:r>
    </w:p>
    <w:p w14:paraId="70979285" w14:textId="77777777" w:rsidR="00033E12" w:rsidRDefault="0049639E">
      <w:pPr>
        <w:spacing w:after="0" w:line="259" w:lineRule="auto"/>
        <w:ind w:left="0" w:firstLine="0"/>
        <w:jc w:val="left"/>
      </w:pPr>
      <w:r>
        <w:t xml:space="preserve"> </w:t>
      </w:r>
    </w:p>
    <w:p w14:paraId="01DCDE00" w14:textId="77777777" w:rsidR="00033E12" w:rsidRDefault="0049639E">
      <w:pPr>
        <w:spacing w:after="0" w:line="259" w:lineRule="auto"/>
        <w:ind w:left="0" w:firstLine="0"/>
        <w:jc w:val="left"/>
      </w:pPr>
      <w:r>
        <w:rPr>
          <w:b/>
        </w:rPr>
        <w:t xml:space="preserve"> </w:t>
      </w:r>
    </w:p>
    <w:p w14:paraId="113D45D9" w14:textId="77777777" w:rsidR="00033E12" w:rsidRDefault="0049639E">
      <w:pPr>
        <w:spacing w:after="0" w:line="259" w:lineRule="auto"/>
        <w:ind w:left="0" w:firstLine="0"/>
        <w:jc w:val="left"/>
      </w:pPr>
      <w:r>
        <w:rPr>
          <w:b/>
        </w:rPr>
        <w:t xml:space="preserve"> </w:t>
      </w:r>
    </w:p>
    <w:p w14:paraId="76AD50E0" w14:textId="77777777" w:rsidR="00033E12" w:rsidRDefault="0049639E">
      <w:pPr>
        <w:spacing w:after="9" w:line="259" w:lineRule="auto"/>
        <w:ind w:left="0" w:firstLine="0"/>
        <w:jc w:val="left"/>
      </w:pPr>
      <w:r>
        <w:rPr>
          <w:b/>
        </w:rPr>
        <w:t xml:space="preserve"> </w:t>
      </w:r>
    </w:p>
    <w:p w14:paraId="7204974F" w14:textId="77777777" w:rsidR="00033E12" w:rsidRDefault="0049639E">
      <w:pPr>
        <w:tabs>
          <w:tab w:val="center" w:pos="2880"/>
          <w:tab w:val="center" w:pos="3601"/>
          <w:tab w:val="center" w:pos="4321"/>
          <w:tab w:val="center" w:pos="5041"/>
          <w:tab w:val="center" w:pos="6461"/>
        </w:tabs>
        <w:spacing w:after="3" w:line="259" w:lineRule="auto"/>
        <w:ind w:left="-15" w:firstLine="0"/>
        <w:jc w:val="left"/>
      </w:pPr>
      <w:r>
        <w:rPr>
          <w:b/>
        </w:rPr>
        <w:t xml:space="preserve">TORAI MUDYIWA  </w:t>
      </w:r>
      <w:r>
        <w:rPr>
          <w:b/>
        </w:rPr>
        <w:tab/>
        <w:t xml:space="preserve"> </w:t>
      </w:r>
      <w:r>
        <w:rPr>
          <w:b/>
        </w:rPr>
        <w:tab/>
        <w:t xml:space="preserve"> </w:t>
      </w:r>
      <w:r>
        <w:rPr>
          <w:b/>
        </w:rPr>
        <w:tab/>
        <w:t xml:space="preserve"> </w:t>
      </w:r>
      <w:r>
        <w:rPr>
          <w:b/>
        </w:rPr>
        <w:tab/>
        <w:t xml:space="preserve"> </w:t>
      </w:r>
      <w:r>
        <w:rPr>
          <w:b/>
        </w:rPr>
        <w:tab/>
        <w:t xml:space="preserve">APPLICANT </w:t>
      </w:r>
    </w:p>
    <w:p w14:paraId="352DAE28" w14:textId="77777777" w:rsidR="00033E12" w:rsidRDefault="0049639E">
      <w:pPr>
        <w:spacing w:after="0" w:line="259" w:lineRule="auto"/>
        <w:ind w:left="0" w:firstLine="0"/>
        <w:jc w:val="left"/>
      </w:pPr>
      <w:r>
        <w:rPr>
          <w:b/>
        </w:rPr>
        <w:t xml:space="preserve"> </w:t>
      </w:r>
    </w:p>
    <w:p w14:paraId="347F0322" w14:textId="77777777" w:rsidR="00033E12" w:rsidRDefault="0049639E">
      <w:pPr>
        <w:spacing w:after="0" w:line="259" w:lineRule="auto"/>
        <w:ind w:left="0" w:firstLine="0"/>
        <w:jc w:val="left"/>
      </w:pPr>
      <w:r>
        <w:rPr>
          <w:b/>
        </w:rPr>
        <w:t xml:space="preserve"> </w:t>
      </w:r>
    </w:p>
    <w:p w14:paraId="07A7F796" w14:textId="77777777" w:rsidR="00033E12" w:rsidRDefault="0049639E">
      <w:pPr>
        <w:spacing w:after="3" w:line="259" w:lineRule="auto"/>
        <w:ind w:left="-5" w:right="34"/>
      </w:pPr>
      <w:r>
        <w:rPr>
          <w:b/>
        </w:rPr>
        <w:t xml:space="preserve">AND  </w:t>
      </w:r>
    </w:p>
    <w:p w14:paraId="51D1ECDD" w14:textId="77777777" w:rsidR="00033E12" w:rsidRDefault="0049639E">
      <w:pPr>
        <w:spacing w:after="0" w:line="259" w:lineRule="auto"/>
        <w:ind w:left="0" w:firstLine="0"/>
        <w:jc w:val="left"/>
      </w:pPr>
      <w:r>
        <w:rPr>
          <w:b/>
        </w:rPr>
        <w:t xml:space="preserve"> </w:t>
      </w:r>
    </w:p>
    <w:p w14:paraId="7D78BD0A" w14:textId="77777777" w:rsidR="00033E12" w:rsidRDefault="0049639E">
      <w:pPr>
        <w:spacing w:after="9" w:line="259" w:lineRule="auto"/>
        <w:ind w:left="0" w:firstLine="0"/>
        <w:jc w:val="left"/>
      </w:pPr>
      <w:r>
        <w:rPr>
          <w:b/>
        </w:rPr>
        <w:t xml:space="preserve"> </w:t>
      </w:r>
    </w:p>
    <w:p w14:paraId="1BF911E9" w14:textId="77777777" w:rsidR="00033E12" w:rsidRDefault="0049639E">
      <w:pPr>
        <w:tabs>
          <w:tab w:val="center" w:pos="5041"/>
          <w:tab w:val="center" w:pos="6581"/>
        </w:tabs>
        <w:spacing w:after="3" w:line="259" w:lineRule="auto"/>
        <w:ind w:left="-15" w:firstLine="0"/>
        <w:jc w:val="left"/>
      </w:pPr>
      <w:r>
        <w:rPr>
          <w:b/>
        </w:rPr>
        <w:t xml:space="preserve">BUHERA RURAL DISTRICT COUNCIL </w:t>
      </w:r>
      <w:r>
        <w:rPr>
          <w:b/>
        </w:rPr>
        <w:tab/>
        <w:t xml:space="preserve"> </w:t>
      </w:r>
      <w:r>
        <w:rPr>
          <w:b/>
        </w:rPr>
        <w:tab/>
        <w:t xml:space="preserve">RESPONDENT </w:t>
      </w:r>
    </w:p>
    <w:p w14:paraId="3D30D310" w14:textId="77777777" w:rsidR="00033E12" w:rsidRDefault="0049639E">
      <w:pPr>
        <w:spacing w:after="0" w:line="259" w:lineRule="auto"/>
        <w:ind w:left="0" w:firstLine="0"/>
        <w:jc w:val="left"/>
      </w:pPr>
      <w:r>
        <w:rPr>
          <w:b/>
        </w:rPr>
        <w:t xml:space="preserve"> </w:t>
      </w:r>
    </w:p>
    <w:p w14:paraId="151DE83A" w14:textId="77777777" w:rsidR="00033E12" w:rsidRDefault="0049639E">
      <w:pPr>
        <w:spacing w:after="0" w:line="259" w:lineRule="auto"/>
        <w:ind w:left="0" w:firstLine="0"/>
        <w:jc w:val="left"/>
      </w:pPr>
      <w:r>
        <w:rPr>
          <w:b/>
        </w:rPr>
        <w:t xml:space="preserve"> </w:t>
      </w:r>
    </w:p>
    <w:p w14:paraId="3762C3A0" w14:textId="77777777" w:rsidR="00033E12" w:rsidRDefault="0049639E">
      <w:pPr>
        <w:spacing w:after="0" w:line="259" w:lineRule="auto"/>
        <w:ind w:left="0" w:firstLine="0"/>
        <w:jc w:val="left"/>
      </w:pPr>
      <w:r>
        <w:t xml:space="preserve"> </w:t>
      </w:r>
    </w:p>
    <w:p w14:paraId="62F7A0B2" w14:textId="77777777" w:rsidR="00033E12" w:rsidRDefault="0049639E">
      <w:pPr>
        <w:spacing w:line="259" w:lineRule="auto"/>
        <w:ind w:left="-5" w:right="42"/>
      </w:pPr>
      <w:r>
        <w:t xml:space="preserve">Before the Honourable Tsikwa J </w:t>
      </w:r>
    </w:p>
    <w:p w14:paraId="50DCC91F" w14:textId="77777777" w:rsidR="00033E12" w:rsidRDefault="0049639E">
      <w:pPr>
        <w:spacing w:after="9" w:line="259" w:lineRule="auto"/>
        <w:ind w:left="0" w:firstLine="0"/>
        <w:jc w:val="left"/>
      </w:pPr>
      <w:r>
        <w:rPr>
          <w:b/>
        </w:rPr>
        <w:t xml:space="preserve"> </w:t>
      </w:r>
    </w:p>
    <w:p w14:paraId="411C78C9" w14:textId="77777777" w:rsidR="00033E12" w:rsidRDefault="0049639E">
      <w:pPr>
        <w:tabs>
          <w:tab w:val="center" w:pos="2160"/>
          <w:tab w:val="center" w:pos="3420"/>
          <w:tab w:val="center" w:pos="4321"/>
        </w:tabs>
        <w:spacing w:after="3" w:line="259" w:lineRule="auto"/>
        <w:ind w:left="-15" w:firstLine="0"/>
        <w:jc w:val="left"/>
      </w:pPr>
      <w:r>
        <w:rPr>
          <w:b/>
        </w:rPr>
        <w:t xml:space="preserve">For the Applicant </w:t>
      </w:r>
      <w:r>
        <w:rPr>
          <w:b/>
        </w:rPr>
        <w:tab/>
        <w:t xml:space="preserve"> </w:t>
      </w:r>
      <w:r>
        <w:rPr>
          <w:b/>
        </w:rPr>
        <w:tab/>
        <w:t xml:space="preserve">T. Musara </w:t>
      </w:r>
      <w:r>
        <w:rPr>
          <w:b/>
        </w:rPr>
        <w:tab/>
        <w:t xml:space="preserve"> </w:t>
      </w:r>
    </w:p>
    <w:p w14:paraId="7C529EA4" w14:textId="77777777" w:rsidR="00033E12" w:rsidRDefault="0049639E">
      <w:pPr>
        <w:spacing w:after="9" w:line="259" w:lineRule="auto"/>
        <w:ind w:left="0" w:firstLine="0"/>
        <w:jc w:val="left"/>
      </w:pPr>
      <w:r>
        <w:rPr>
          <w:b/>
        </w:rPr>
        <w:t xml:space="preserve"> </w:t>
      </w:r>
    </w:p>
    <w:p w14:paraId="089D01CD" w14:textId="77777777" w:rsidR="00033E12" w:rsidRDefault="0049639E">
      <w:pPr>
        <w:tabs>
          <w:tab w:val="center" w:pos="3507"/>
        </w:tabs>
        <w:spacing w:after="3" w:line="259" w:lineRule="auto"/>
        <w:ind w:left="-15" w:firstLine="0"/>
        <w:jc w:val="left"/>
      </w:pPr>
      <w:r>
        <w:rPr>
          <w:b/>
        </w:rPr>
        <w:t xml:space="preserve">For the Respondent  </w:t>
      </w:r>
      <w:r>
        <w:rPr>
          <w:b/>
        </w:rPr>
        <w:tab/>
        <w:t xml:space="preserve">T. </w:t>
      </w:r>
      <w:proofErr w:type="spellStart"/>
      <w:r>
        <w:rPr>
          <w:b/>
        </w:rPr>
        <w:t>Tambirai</w:t>
      </w:r>
      <w:proofErr w:type="spellEnd"/>
      <w:r>
        <w:rPr>
          <w:b/>
        </w:rPr>
        <w:t xml:space="preserve"> </w:t>
      </w:r>
    </w:p>
    <w:p w14:paraId="0A5AD17E" w14:textId="77777777" w:rsidR="00033E12" w:rsidRDefault="0049639E">
      <w:pPr>
        <w:spacing w:after="0" w:line="259" w:lineRule="auto"/>
        <w:ind w:left="0" w:firstLine="0"/>
        <w:jc w:val="left"/>
      </w:pPr>
      <w:r>
        <w:rPr>
          <w:b/>
        </w:rPr>
        <w:t xml:space="preserve"> </w:t>
      </w:r>
    </w:p>
    <w:p w14:paraId="59239534" w14:textId="77777777" w:rsidR="00033E12" w:rsidRDefault="0049639E">
      <w:pPr>
        <w:spacing w:after="0" w:line="259" w:lineRule="auto"/>
        <w:ind w:left="0" w:firstLine="0"/>
        <w:jc w:val="left"/>
      </w:pPr>
      <w:r>
        <w:rPr>
          <w:b/>
        </w:rPr>
        <w:t xml:space="preserve"> </w:t>
      </w:r>
    </w:p>
    <w:p w14:paraId="451FE234" w14:textId="77777777" w:rsidR="00033E12" w:rsidRDefault="0049639E">
      <w:pPr>
        <w:pStyle w:val="Heading1"/>
        <w:spacing w:after="3"/>
        <w:ind w:left="-5" w:right="34"/>
        <w:jc w:val="both"/>
      </w:pPr>
      <w:r>
        <w:rPr>
          <w:u w:val="none"/>
        </w:rPr>
        <w:t xml:space="preserve">TSIKWA J </w:t>
      </w:r>
    </w:p>
    <w:p w14:paraId="7335B775" w14:textId="77777777" w:rsidR="00033E12" w:rsidRDefault="0049639E">
      <w:pPr>
        <w:spacing w:after="0" w:line="259" w:lineRule="auto"/>
        <w:ind w:left="0" w:firstLine="0"/>
        <w:jc w:val="left"/>
      </w:pPr>
      <w:r>
        <w:rPr>
          <w:b/>
        </w:rPr>
        <w:t xml:space="preserve"> </w:t>
      </w:r>
    </w:p>
    <w:p w14:paraId="6ECC0A26" w14:textId="77777777" w:rsidR="00033E12" w:rsidRDefault="0049639E">
      <w:pPr>
        <w:ind w:left="-5" w:right="42"/>
      </w:pPr>
      <w:r>
        <w:rPr>
          <w:b/>
        </w:rPr>
        <w:t xml:space="preserve"> </w:t>
      </w:r>
      <w:r>
        <w:t xml:space="preserve">The Applicant filed an application for condonation for late filing of an application for   rescission of judgement and an application for rescission of judgement in terms of rule 40 of the Labour Court Rules 2017, the rules. Initially Counsel for the respondent had challenged that the applicant by filing a chamber application had adopted a wrong procedure and used a wrong form. Counsel for the respondent abandoned that alignment after reference was made to Rule 24 which states that use of incorrect form shall not on its own be a ground for dismissing the application. Challenge on the composite nature of the application was not </w:t>
      </w:r>
      <w:proofErr w:type="spellStart"/>
      <w:r>
        <w:t>persued</w:t>
      </w:r>
      <w:proofErr w:type="spellEnd"/>
      <w:r>
        <w:t xml:space="preserve">.  The matter was then argued on merits in its composite nature. For an application for condonation for failure to comply with the rules, the applicant must satisfy the following according to the </w:t>
      </w:r>
      <w:r>
        <w:lastRenderedPageBreak/>
        <w:t xml:space="preserve">case of </w:t>
      </w:r>
      <w:r>
        <w:rPr>
          <w:b/>
        </w:rPr>
        <w:t xml:space="preserve">Kodzwa v Secretory for Health and Anor 1999(1) ZLR 313(SC) </w:t>
      </w:r>
      <w:r>
        <w:t xml:space="preserve">In that case of it was stated as follows: </w:t>
      </w:r>
    </w:p>
    <w:p w14:paraId="24AE3D61" w14:textId="77777777" w:rsidR="00033E12" w:rsidRDefault="0049639E">
      <w:pPr>
        <w:spacing w:line="250" w:lineRule="auto"/>
        <w:ind w:left="730" w:right="42"/>
      </w:pPr>
      <w:r>
        <w:t xml:space="preserve">“The factors which the court should consider in determining an application for condonation are clearly set out in </w:t>
      </w:r>
      <w:proofErr w:type="spellStart"/>
      <w:r>
        <w:rPr>
          <w:b/>
        </w:rPr>
        <w:t>Herbsein</w:t>
      </w:r>
      <w:proofErr w:type="spellEnd"/>
      <w:r>
        <w:rPr>
          <w:b/>
        </w:rPr>
        <w:t xml:space="preserve"> and Van Winsen </w:t>
      </w:r>
      <w:proofErr w:type="gramStart"/>
      <w:r>
        <w:rPr>
          <w:b/>
        </w:rPr>
        <w:t>The</w:t>
      </w:r>
      <w:proofErr w:type="gramEnd"/>
      <w:r>
        <w:t xml:space="preserve"> Civil practice of the High Courts of South Africa 5</w:t>
      </w:r>
      <w:r>
        <w:rPr>
          <w:vertAlign w:val="superscript"/>
        </w:rPr>
        <w:t>th</w:t>
      </w:r>
      <w:r>
        <w:t xml:space="preserve"> edition, </w:t>
      </w:r>
      <w:proofErr w:type="spellStart"/>
      <w:r>
        <w:t>Cilters</w:t>
      </w:r>
      <w:proofErr w:type="spellEnd"/>
      <w:r>
        <w:t xml:space="preserve"> and Loots at page 897 – 898 as follows; “Condonation of the non-observance of the Rules is by no means a mere formality.  It is for the applicant to satisfy the court that there is sufficient cause to excuse him from a compliance.” </w:t>
      </w:r>
    </w:p>
    <w:p w14:paraId="4B758988" w14:textId="77777777" w:rsidR="00033E12" w:rsidRDefault="0049639E">
      <w:pPr>
        <w:spacing w:after="0" w:line="259" w:lineRule="auto"/>
        <w:ind w:left="0" w:firstLine="0"/>
        <w:jc w:val="left"/>
      </w:pPr>
      <w:r>
        <w:t xml:space="preserve"> </w:t>
      </w:r>
    </w:p>
    <w:p w14:paraId="7729F155" w14:textId="77777777" w:rsidR="00033E12" w:rsidRDefault="0049639E">
      <w:pPr>
        <w:ind w:left="-5" w:right="42"/>
      </w:pPr>
      <w:r>
        <w:t xml:space="preserve">The Supreme Court went on to comment that the Court’s power must not be used arbitrarily and upon the mere asking but with proper discretion and upon sufficient cause being shown. </w:t>
      </w:r>
    </w:p>
    <w:p w14:paraId="1F1C3C4C" w14:textId="77777777" w:rsidR="00033E12" w:rsidRDefault="0049639E">
      <w:pPr>
        <w:spacing w:after="3"/>
        <w:ind w:left="-5" w:right="34"/>
      </w:pPr>
      <w:r>
        <w:t xml:space="preserve">In the case of </w:t>
      </w:r>
      <w:r>
        <w:rPr>
          <w:b/>
        </w:rPr>
        <w:t xml:space="preserve">Bishi v Secretary for Education 1989(2) ZLR 240(HC), </w:t>
      </w:r>
      <w:r>
        <w:t xml:space="preserve">relying on the case of </w:t>
      </w:r>
      <w:r>
        <w:rPr>
          <w:b/>
        </w:rPr>
        <w:t>United Plant Hire (Pvt) Ltd v Hills and Ors 1976 (1) SA 717 (A)</w:t>
      </w:r>
      <w:r>
        <w:t xml:space="preserve"> stated the requirements for Condonation as follows: </w:t>
      </w:r>
    </w:p>
    <w:p w14:paraId="1941F12D" w14:textId="77777777" w:rsidR="00033E12" w:rsidRDefault="0049639E">
      <w:pPr>
        <w:numPr>
          <w:ilvl w:val="0"/>
          <w:numId w:val="1"/>
        </w:numPr>
        <w:spacing w:after="122" w:line="259" w:lineRule="auto"/>
        <w:ind w:right="42" w:hanging="360"/>
      </w:pPr>
      <w:r>
        <w:t xml:space="preserve">the degree of non-compliance </w:t>
      </w:r>
    </w:p>
    <w:p w14:paraId="11CDFC5B" w14:textId="77777777" w:rsidR="00033E12" w:rsidRDefault="0049639E">
      <w:pPr>
        <w:numPr>
          <w:ilvl w:val="0"/>
          <w:numId w:val="1"/>
        </w:numPr>
        <w:spacing w:after="122" w:line="259" w:lineRule="auto"/>
        <w:ind w:right="42" w:hanging="360"/>
      </w:pPr>
      <w:r>
        <w:t xml:space="preserve">the explanation given </w:t>
      </w:r>
    </w:p>
    <w:p w14:paraId="2656DA98" w14:textId="77777777" w:rsidR="00033E12" w:rsidRDefault="0049639E">
      <w:pPr>
        <w:numPr>
          <w:ilvl w:val="0"/>
          <w:numId w:val="1"/>
        </w:numPr>
        <w:spacing w:after="122" w:line="259" w:lineRule="auto"/>
        <w:ind w:right="42" w:hanging="360"/>
      </w:pPr>
      <w:r>
        <w:t xml:space="preserve">the prospects of success </w:t>
      </w:r>
    </w:p>
    <w:p w14:paraId="6D0CC126" w14:textId="77777777" w:rsidR="00033E12" w:rsidRDefault="0049639E">
      <w:pPr>
        <w:numPr>
          <w:ilvl w:val="0"/>
          <w:numId w:val="1"/>
        </w:numPr>
        <w:spacing w:after="122" w:line="259" w:lineRule="auto"/>
        <w:ind w:right="42" w:hanging="360"/>
      </w:pPr>
      <w:r>
        <w:t xml:space="preserve">the importance of the case </w:t>
      </w:r>
    </w:p>
    <w:p w14:paraId="1D5AB708" w14:textId="77777777" w:rsidR="00033E12" w:rsidRDefault="0049639E">
      <w:pPr>
        <w:numPr>
          <w:ilvl w:val="0"/>
          <w:numId w:val="1"/>
        </w:numPr>
        <w:spacing w:after="122" w:line="259" w:lineRule="auto"/>
        <w:ind w:right="42" w:hanging="360"/>
      </w:pPr>
      <w:r>
        <w:t xml:space="preserve">the convenience of the court. </w:t>
      </w:r>
    </w:p>
    <w:p w14:paraId="3C2C7ADC" w14:textId="77777777" w:rsidR="00033E12" w:rsidRDefault="0049639E">
      <w:pPr>
        <w:numPr>
          <w:ilvl w:val="0"/>
          <w:numId w:val="1"/>
        </w:numPr>
        <w:spacing w:after="114" w:line="259" w:lineRule="auto"/>
        <w:ind w:right="42" w:hanging="360"/>
      </w:pPr>
      <w:r>
        <w:t xml:space="preserve">the avoidance of unnecessary delay in the administration of justice. </w:t>
      </w:r>
    </w:p>
    <w:p w14:paraId="1172124E" w14:textId="77777777" w:rsidR="00033E12" w:rsidRDefault="0049639E">
      <w:pPr>
        <w:spacing w:after="126" w:line="259" w:lineRule="auto"/>
        <w:ind w:left="-5" w:right="42"/>
      </w:pPr>
      <w:r>
        <w:t xml:space="preserve">The first three are the most important ones and the court shall deal with these below </w:t>
      </w:r>
    </w:p>
    <w:p w14:paraId="6034FFA5" w14:textId="77777777" w:rsidR="00033E12" w:rsidRDefault="0049639E">
      <w:pPr>
        <w:spacing w:after="114" w:line="259" w:lineRule="auto"/>
        <w:ind w:left="370" w:right="34"/>
      </w:pPr>
      <w:r>
        <w:rPr>
          <w:b/>
        </w:rPr>
        <w:t>1.</w:t>
      </w:r>
      <w:r>
        <w:rPr>
          <w:rFonts w:ascii="Arial" w:eastAsia="Arial" w:hAnsi="Arial" w:cs="Arial"/>
          <w:b/>
        </w:rPr>
        <w:t xml:space="preserve"> </w:t>
      </w:r>
      <w:r>
        <w:rPr>
          <w:b/>
        </w:rPr>
        <w:t xml:space="preserve">The degree of non-compliance. </w:t>
      </w:r>
    </w:p>
    <w:p w14:paraId="6C403774" w14:textId="77777777" w:rsidR="00033E12" w:rsidRDefault="0049639E">
      <w:pPr>
        <w:ind w:left="-5" w:right="42"/>
      </w:pPr>
      <w:r>
        <w:t xml:space="preserve">The decision the applicant intends to rescind was handed down by this Court on 5 November 2025 and he submitted that he became aware of the judgement when he was already out of time. He submitted that the notice of appeal was not served on him personally but to his defunct email address.  He further submitted that this was confirmed by the return of service filed of record.  </w:t>
      </w:r>
    </w:p>
    <w:p w14:paraId="769C4729" w14:textId="77777777" w:rsidR="00033E12" w:rsidRDefault="0049639E">
      <w:pPr>
        <w:ind w:left="-5" w:right="42"/>
      </w:pPr>
      <w:r>
        <w:t xml:space="preserve">The applicant in terms of the Rules had until 4 December 2025 to apply for rescission of judgment.  From the applicant’s submissions he became aware of the default judgement on 14 January 2026.  This was about one and half months after the time he was expected to apply for rescission. </w:t>
      </w:r>
    </w:p>
    <w:p w14:paraId="6462F0FE" w14:textId="77777777" w:rsidR="00033E12" w:rsidRDefault="0049639E">
      <w:pPr>
        <w:ind w:left="-5" w:right="42"/>
      </w:pPr>
      <w:r>
        <w:t xml:space="preserve">This application was filed 16 March 2026.  This represents 3 months after the expiry of the 21day period and 2 months after he had knowledge of the default judgement.  </w:t>
      </w:r>
    </w:p>
    <w:p w14:paraId="42C43F47" w14:textId="77777777" w:rsidR="00033E12" w:rsidRDefault="0049639E">
      <w:pPr>
        <w:ind w:left="-5" w:right="42"/>
      </w:pPr>
      <w:r>
        <w:lastRenderedPageBreak/>
        <w:t xml:space="preserve">Such a period is quite huge to amount to an inordinate delay. It must be accompanied by a strong explanation why there was such an inordinate delay. Prospects of success in the main must also be high. </w:t>
      </w:r>
    </w:p>
    <w:p w14:paraId="7DBC5C0F" w14:textId="77777777" w:rsidR="00033E12" w:rsidRDefault="0049639E">
      <w:pPr>
        <w:spacing w:after="126" w:line="259" w:lineRule="auto"/>
        <w:ind w:left="0" w:firstLine="0"/>
        <w:jc w:val="left"/>
      </w:pPr>
      <w:r>
        <w:t xml:space="preserve"> </w:t>
      </w:r>
    </w:p>
    <w:p w14:paraId="3E24A06A" w14:textId="77777777" w:rsidR="00033E12" w:rsidRDefault="0049639E">
      <w:pPr>
        <w:spacing w:after="3" w:line="259" w:lineRule="auto"/>
        <w:ind w:left="370" w:right="34"/>
      </w:pPr>
      <w:r>
        <w:rPr>
          <w:b/>
        </w:rPr>
        <w:t>2.</w:t>
      </w:r>
      <w:r>
        <w:rPr>
          <w:rFonts w:ascii="Arial" w:eastAsia="Arial" w:hAnsi="Arial" w:cs="Arial"/>
          <w:b/>
        </w:rPr>
        <w:t xml:space="preserve"> </w:t>
      </w:r>
      <w:r>
        <w:rPr>
          <w:b/>
        </w:rPr>
        <w:t xml:space="preserve">The explanation for the delay. </w:t>
      </w:r>
    </w:p>
    <w:p w14:paraId="1E2ACAD1" w14:textId="77777777" w:rsidR="00033E12" w:rsidRDefault="0049639E">
      <w:pPr>
        <w:ind w:left="-5" w:right="42"/>
      </w:pPr>
      <w:r>
        <w:t xml:space="preserve">The explanation by the applicant is that this application was not served on him personally but on his defunct email at the </w:t>
      </w:r>
      <w:proofErr w:type="gramStart"/>
      <w:r>
        <w:t xml:space="preserve">time,  </w:t>
      </w:r>
      <w:r>
        <w:rPr>
          <w:color w:val="0563C1"/>
          <w:u w:val="single" w:color="0563C1"/>
        </w:rPr>
        <w:t>mudyiwa76torai@gmail.com</w:t>
      </w:r>
      <w:proofErr w:type="gramEnd"/>
      <w:r>
        <w:t xml:space="preserve">.  He submitted that he did not see the email due to network challenges because he had gone to Shurugwi for some artisanal mining. That was contradictory because the same defunct email is the one he was having challenges in accessing due to network challenges. He also told the Court that when he got notification on IECMS that a default judgement was granted, he then travelled to Harare where he approached the Registrar who advised him that a default judgment was granted against him. The Registrar then advised him to apply for rescission of judgment. The applicant advised the Court that he went back to Shurugwi in a bid to raise money unfortunately it was rainy season and pits were filled with water.  His journey to Shurugwi was fruitless. He submitted that he finally raised money and filed this composite application. </w:t>
      </w:r>
    </w:p>
    <w:p w14:paraId="6AB37244" w14:textId="77777777" w:rsidR="00033E12" w:rsidRDefault="0049639E">
      <w:pPr>
        <w:ind w:left="-5" w:right="42"/>
      </w:pPr>
      <w:r>
        <w:t xml:space="preserve">The respondent on this aspect submitted that applicant was not being truthful that he did not have access to his email address for a period of six months.  It was submitted that the applicant could easily have accessed his emails through telecommunication service providers such as Econet, </w:t>
      </w:r>
      <w:proofErr w:type="spellStart"/>
      <w:r>
        <w:t>Netone</w:t>
      </w:r>
      <w:proofErr w:type="spellEnd"/>
      <w:r>
        <w:t xml:space="preserve">, Starlink or </w:t>
      </w:r>
      <w:proofErr w:type="spellStart"/>
      <w:r>
        <w:t>Telone</w:t>
      </w:r>
      <w:proofErr w:type="spellEnd"/>
      <w:r>
        <w:t xml:space="preserve">. A submission was made that </w:t>
      </w:r>
      <w:proofErr w:type="spellStart"/>
      <w:r>
        <w:t>Buhera</w:t>
      </w:r>
      <w:proofErr w:type="spellEnd"/>
      <w:r>
        <w:t xml:space="preserve"> cannot be one such place that can be completely without network  </w:t>
      </w:r>
    </w:p>
    <w:p w14:paraId="01337957" w14:textId="77777777" w:rsidR="00033E12" w:rsidRDefault="0049639E">
      <w:pPr>
        <w:ind w:left="-5" w:right="42"/>
      </w:pPr>
      <w:r>
        <w:t xml:space="preserve">Further respondent submitted that the applicant came to know of the default judgement in January 2026 but there is no explanation why applicant waited for 3 months before filing the present application. Further it was submitted that the applicant does not remember the exact date when he became aware of the default judgement and when he visited the Registrar’s office. The respondent argued that the applicant based his application on falsehoods such that he failed to give a satisfactory explanation for the delay. </w:t>
      </w:r>
    </w:p>
    <w:p w14:paraId="2EC2C1E4" w14:textId="77777777" w:rsidR="00033E12" w:rsidRDefault="0049639E">
      <w:pPr>
        <w:spacing w:after="114" w:line="259" w:lineRule="auto"/>
        <w:ind w:left="0" w:firstLine="0"/>
        <w:jc w:val="left"/>
      </w:pPr>
      <w:r>
        <w:t xml:space="preserve"> </w:t>
      </w:r>
    </w:p>
    <w:p w14:paraId="00952605" w14:textId="77777777" w:rsidR="00033E12" w:rsidRDefault="0049639E">
      <w:pPr>
        <w:pStyle w:val="Heading1"/>
        <w:ind w:left="-5"/>
      </w:pPr>
      <w:r>
        <w:t>ANALYSIS OF FACTS AND THE LAW</w:t>
      </w:r>
      <w:r>
        <w:rPr>
          <w:u w:val="none"/>
        </w:rPr>
        <w:t xml:space="preserve"> </w:t>
      </w:r>
    </w:p>
    <w:p w14:paraId="74E032CA" w14:textId="77777777" w:rsidR="00033E12" w:rsidRDefault="0049639E">
      <w:pPr>
        <w:ind w:left="-5" w:right="42"/>
      </w:pPr>
      <w:r>
        <w:t xml:space="preserve">The fact that there was an inordinate delay in filing the application for rescission of judgement is common cause.  What is at stake is whether the applicant has proffered a reasonable and acceptable explanation for that delay. For starters, the applicant has not been forthcoming with information. He was expected to account for extent of the delay by giving dates such as when </w:t>
      </w:r>
      <w:r>
        <w:lastRenderedPageBreak/>
        <w:t xml:space="preserve">he became aware of the default judgment, when he visited the registrar and so forth.  This information was important in measuring the extent of the delay and the reasonableness of the explanation for the delay. Failure to disclose that information is consistent with someone trying to conceal some information. </w:t>
      </w:r>
    </w:p>
    <w:p w14:paraId="580974F1" w14:textId="77777777" w:rsidR="00033E12" w:rsidRDefault="0049639E">
      <w:pPr>
        <w:spacing w:after="0" w:line="259" w:lineRule="auto"/>
        <w:ind w:left="0" w:firstLine="0"/>
        <w:jc w:val="left"/>
      </w:pPr>
      <w:r>
        <w:t xml:space="preserve"> </w:t>
      </w:r>
    </w:p>
    <w:p w14:paraId="7DD8316A" w14:textId="77777777" w:rsidR="00033E12" w:rsidRDefault="0049639E">
      <w:pPr>
        <w:ind w:left="-5" w:right="42"/>
      </w:pPr>
      <w:r>
        <w:t xml:space="preserve">Going by the information provided, assuming that the respondent became aware of the default judgment in January 2026, he did not file an application in January but in March, 18 March to be precise.  His explanation for the delay is that he went to Shurugwi in a bid to raise money.  Maybe in a bid to engage legal Counsel. That cannot be taken as a reasonable explanation because the Labour Court rules do not bar self-actors from approaching the court. The rules are accommodative of self-actors because they waive the requirement for filing of heads of argument.  It was unreasonable for him to proceed to Shurugwi without filing an application soon after knowing the existence of the default judgement especially after being advised by the Registrar that there was a default judgement against him. It can be said he was not worried about the default judgment. It comes as no wonder that from the outset he struggled to explain the issue of his email address.  The first explanation is that the email address was defunct and the second is that he had troubles with network.  It is a notorious fact that as of now, most parts of the country now have network coverage one way of the other, </w:t>
      </w:r>
      <w:proofErr w:type="spellStart"/>
      <w:r>
        <w:t>Buhera</w:t>
      </w:r>
      <w:proofErr w:type="spellEnd"/>
      <w:r>
        <w:t xml:space="preserve"> included.  Even if the applicant had gone for artisanal mining in Shurugwi, it does not necessarily mean such areas are completely cut off network to the extent of going for 6 months without any connectivity. </w:t>
      </w:r>
    </w:p>
    <w:p w14:paraId="69ECB6FA" w14:textId="77777777" w:rsidR="00033E12" w:rsidRDefault="0049639E">
      <w:pPr>
        <w:spacing w:after="114" w:line="259" w:lineRule="auto"/>
        <w:ind w:left="0" w:firstLine="0"/>
        <w:jc w:val="left"/>
      </w:pPr>
      <w:r>
        <w:t xml:space="preserve"> </w:t>
      </w:r>
    </w:p>
    <w:p w14:paraId="39347E3F" w14:textId="77777777" w:rsidR="00033E12" w:rsidRDefault="0049639E">
      <w:pPr>
        <w:ind w:left="-5" w:right="42"/>
      </w:pPr>
      <w:r>
        <w:t xml:space="preserve">It is my finding that the applicant took a lackadaisical approach in defending his rights and failed to provide a reasonable explanation for acting contrary to the rules.  Rule 40 is clear that the applicant was supposed to apply for rescission within 21 days of knowledge of the judgement. Applicant did not act soon after having that knowledge. He made his own decision not to act well knowing the consequences.  No reasonable explanation has been proffered.  He thus was in </w:t>
      </w:r>
      <w:proofErr w:type="spellStart"/>
      <w:r>
        <w:t>wilful</w:t>
      </w:r>
      <w:proofErr w:type="spellEnd"/>
      <w:r>
        <w:t xml:space="preserve"> default. </w:t>
      </w:r>
    </w:p>
    <w:p w14:paraId="2DDC002B" w14:textId="77777777" w:rsidR="00033E12" w:rsidRDefault="0049639E">
      <w:pPr>
        <w:spacing w:after="3"/>
        <w:ind w:left="-5" w:right="34"/>
      </w:pPr>
      <w:r>
        <w:t xml:space="preserve">In the case of </w:t>
      </w:r>
      <w:proofErr w:type="spellStart"/>
      <w:r>
        <w:rPr>
          <w:b/>
        </w:rPr>
        <w:t>Saloojee</w:t>
      </w:r>
      <w:proofErr w:type="spellEnd"/>
      <w:r>
        <w:rPr>
          <w:b/>
        </w:rPr>
        <w:t xml:space="preserve"> and Anor, NNO v Minister of Community Development 1965 (2) SA</w:t>
      </w:r>
      <w:r>
        <w:t xml:space="preserve"> </w:t>
      </w:r>
      <w:r>
        <w:rPr>
          <w:b/>
        </w:rPr>
        <w:t>135 (A)</w:t>
      </w:r>
      <w:r>
        <w:t xml:space="preserve"> the court stated as follows: </w:t>
      </w:r>
    </w:p>
    <w:p w14:paraId="6BFF3DD2" w14:textId="77777777" w:rsidR="00033E12" w:rsidRDefault="0049639E">
      <w:pPr>
        <w:spacing w:after="0" w:line="357" w:lineRule="auto"/>
        <w:ind w:left="0" w:right="52" w:firstLine="0"/>
      </w:pPr>
      <w:r>
        <w:rPr>
          <w:i/>
        </w:rPr>
        <w:t>“What calls for an explanation is not only the delay in noting an appeal and in lodging the record timeously, but also the delay in seeking condonation</w:t>
      </w:r>
      <w:r>
        <w:t xml:space="preserve">.” The applicant failed dismally to proffer such a reasonable and acceptable explanation. </w:t>
      </w:r>
    </w:p>
    <w:p w14:paraId="39F39714" w14:textId="77777777" w:rsidR="00033E12" w:rsidRDefault="0049639E">
      <w:pPr>
        <w:spacing w:after="126" w:line="259" w:lineRule="auto"/>
        <w:ind w:left="0" w:firstLine="0"/>
        <w:jc w:val="left"/>
      </w:pPr>
      <w:r>
        <w:t xml:space="preserve"> </w:t>
      </w:r>
    </w:p>
    <w:p w14:paraId="50F7A26C" w14:textId="77777777" w:rsidR="00033E12" w:rsidRDefault="0049639E">
      <w:pPr>
        <w:pStyle w:val="Heading2"/>
        <w:spacing w:after="114"/>
        <w:ind w:left="370" w:right="34"/>
      </w:pPr>
      <w:r>
        <w:lastRenderedPageBreak/>
        <w:t>3.</w:t>
      </w:r>
      <w:r>
        <w:rPr>
          <w:rFonts w:ascii="Arial" w:eastAsia="Arial" w:hAnsi="Arial" w:cs="Arial"/>
        </w:rPr>
        <w:t xml:space="preserve"> </w:t>
      </w:r>
      <w:r>
        <w:t xml:space="preserve">PROSPECTS OF SUCCESS </w:t>
      </w:r>
    </w:p>
    <w:p w14:paraId="471EE000" w14:textId="77777777" w:rsidR="00033E12" w:rsidRDefault="0049639E">
      <w:pPr>
        <w:ind w:left="-5" w:right="42"/>
      </w:pPr>
      <w:r>
        <w:t xml:space="preserve">Having fared badly in the first two requirements of is composite application, the applicant was required to have strong prospects of success in the appeal. </w:t>
      </w:r>
    </w:p>
    <w:p w14:paraId="068446E1" w14:textId="77777777" w:rsidR="00033E12" w:rsidRDefault="0049639E">
      <w:pPr>
        <w:pStyle w:val="Heading2"/>
        <w:ind w:left="-5" w:right="34"/>
      </w:pPr>
      <w:r>
        <w:t xml:space="preserve">PRESCRIPTION </w:t>
      </w:r>
    </w:p>
    <w:p w14:paraId="1B9FE847" w14:textId="77777777" w:rsidR="00033E12" w:rsidRDefault="0049639E">
      <w:pPr>
        <w:ind w:left="-5" w:right="42"/>
      </w:pPr>
      <w:r>
        <w:t xml:space="preserve">The applicant argued that when he was charged and convicted by the disciplinary Committee the alleged conduct has prescribed because it occurred on 13 July 2022.  He submitted that in terms of Section 94 of the Act, the two-year period had lapsed. </w:t>
      </w:r>
    </w:p>
    <w:p w14:paraId="609EAAA8" w14:textId="77777777" w:rsidR="00033E12" w:rsidRDefault="0049639E">
      <w:pPr>
        <w:spacing w:after="114" w:line="259" w:lineRule="auto"/>
        <w:ind w:left="0" w:firstLine="0"/>
        <w:jc w:val="left"/>
      </w:pPr>
      <w:r>
        <w:t xml:space="preserve"> </w:t>
      </w:r>
    </w:p>
    <w:p w14:paraId="4205D815" w14:textId="77777777" w:rsidR="00033E12" w:rsidRDefault="0049639E">
      <w:pPr>
        <w:ind w:left="-5" w:right="42"/>
      </w:pPr>
      <w:r>
        <w:t xml:space="preserve">The respondent o the other hand submitted that the misconduct was not discovered in 2022 but in 2024 when the Contractor attempted to deliver substandard equipment.  It is important to note that the two Counsels did not attempt to interpret the provisions of section 94 of the Act.  The decision whether Section 94 applies or bars employers from disciplining their employee after the two-year period is what matters. It would appear from their arguments that their view is that issues of employer disciplining an employee also fall under the purview of Section 94.  That is not the correct legal position. Though not argued by the parties, it being a legal issue the court shall </w:t>
      </w:r>
      <w:proofErr w:type="spellStart"/>
      <w:r>
        <w:t>analyse</w:t>
      </w:r>
      <w:proofErr w:type="spellEnd"/>
      <w:r>
        <w:t xml:space="preserve"> this provision. This Section reads: </w:t>
      </w:r>
    </w:p>
    <w:p w14:paraId="753F6A6D" w14:textId="77777777" w:rsidR="00033E12" w:rsidRDefault="0049639E">
      <w:pPr>
        <w:spacing w:line="357" w:lineRule="auto"/>
        <w:ind w:left="715"/>
        <w:jc w:val="left"/>
      </w:pPr>
      <w:r>
        <w:t xml:space="preserve">“(1) Subject to Subsection (2), No labour officer shall entertain any dispute or unfair labour practice unless- </w:t>
      </w:r>
    </w:p>
    <w:p w14:paraId="1CE2DEC5" w14:textId="77777777" w:rsidR="00033E12" w:rsidRDefault="0049639E">
      <w:pPr>
        <w:numPr>
          <w:ilvl w:val="0"/>
          <w:numId w:val="2"/>
        </w:numPr>
        <w:spacing w:after="122" w:line="259" w:lineRule="auto"/>
        <w:ind w:right="21" w:hanging="360"/>
        <w:jc w:val="left"/>
      </w:pPr>
      <w:r>
        <w:t xml:space="preserve">Referred to him or </w:t>
      </w:r>
    </w:p>
    <w:p w14:paraId="4688F91E" w14:textId="77777777" w:rsidR="00033E12" w:rsidRDefault="0049639E">
      <w:pPr>
        <w:numPr>
          <w:ilvl w:val="0"/>
          <w:numId w:val="2"/>
        </w:numPr>
        <w:spacing w:after="0"/>
        <w:ind w:right="21" w:hanging="360"/>
        <w:jc w:val="left"/>
      </w:pPr>
      <w:r>
        <w:t xml:space="preserve">Has otherwise come to his attention; </w:t>
      </w:r>
      <w:r>
        <w:rPr>
          <w:u w:val="single" w:color="000000"/>
        </w:rPr>
        <w:t xml:space="preserve">within two years from the date when </w:t>
      </w:r>
      <w:proofErr w:type="gramStart"/>
      <w:r>
        <w:rPr>
          <w:u w:val="single" w:color="000000"/>
        </w:rPr>
        <w:t>the</w:t>
      </w:r>
      <w:r>
        <w:t xml:space="preserve">  </w:t>
      </w:r>
      <w:r>
        <w:rPr>
          <w:u w:val="single" w:color="000000"/>
        </w:rPr>
        <w:t>dispute</w:t>
      </w:r>
      <w:proofErr w:type="gramEnd"/>
      <w:r>
        <w:rPr>
          <w:u w:val="single" w:color="000000"/>
        </w:rPr>
        <w:t xml:space="preserve"> or unfair labour practice first arose.”</w:t>
      </w:r>
      <w:r>
        <w:t xml:space="preserve"> </w:t>
      </w:r>
    </w:p>
    <w:p w14:paraId="0FC9CDAA" w14:textId="77777777" w:rsidR="00033E12" w:rsidRDefault="0049639E">
      <w:pPr>
        <w:spacing w:line="259" w:lineRule="auto"/>
        <w:ind w:left="1090" w:right="42"/>
      </w:pPr>
      <w:r>
        <w:rPr>
          <w:u w:val="single" w:color="000000"/>
        </w:rPr>
        <w:t>(</w:t>
      </w:r>
      <w:r>
        <w:t>underlining is mine</w:t>
      </w:r>
      <w:r>
        <w:rPr>
          <w:u w:val="single" w:color="000000"/>
        </w:rPr>
        <w:t>)</w:t>
      </w:r>
      <w:r>
        <w:t xml:space="preserve"> </w:t>
      </w:r>
    </w:p>
    <w:p w14:paraId="4BE3BD76" w14:textId="77777777" w:rsidR="00033E12" w:rsidRDefault="0049639E">
      <w:pPr>
        <w:spacing w:after="0" w:line="259" w:lineRule="auto"/>
        <w:ind w:left="0" w:firstLine="0"/>
        <w:jc w:val="left"/>
      </w:pPr>
      <w:r>
        <w:t xml:space="preserve"> </w:t>
      </w:r>
    </w:p>
    <w:p w14:paraId="7AE83560" w14:textId="77777777" w:rsidR="00033E12" w:rsidRDefault="0049639E">
      <w:pPr>
        <w:ind w:left="-5" w:right="42"/>
      </w:pPr>
      <w:r>
        <w:t xml:space="preserve">From the underlined words, it is apparent that what must be referred to a labour officer is a dispute or unfair labour practice. </w:t>
      </w:r>
    </w:p>
    <w:p w14:paraId="39549817" w14:textId="77777777" w:rsidR="00033E12" w:rsidRDefault="0049639E">
      <w:pPr>
        <w:ind w:left="-5" w:right="42"/>
      </w:pPr>
      <w:r>
        <w:t xml:space="preserve">The question that must be answered is whether disciplining an employee who has committed an act of misconduct amounts to a dispute or unfair labour practice or does an employer have to approach a labour officer before instituting disciplinary proceedings? </w:t>
      </w:r>
    </w:p>
    <w:p w14:paraId="7D5B79B3" w14:textId="77777777" w:rsidR="00033E12" w:rsidRDefault="0049639E">
      <w:pPr>
        <w:ind w:left="-5" w:right="42"/>
      </w:pPr>
      <w:r>
        <w:t xml:space="preserve">To my mind, the answer to the above question is in the negative. A dispute will only arise after the disciplinary action. That is the right extended to the employee, to then approach the labour officer within 2 years. </w:t>
      </w:r>
    </w:p>
    <w:p w14:paraId="3958D5F1" w14:textId="77777777" w:rsidR="00033E12" w:rsidRDefault="0049639E">
      <w:pPr>
        <w:spacing w:after="114" w:line="259" w:lineRule="auto"/>
        <w:ind w:left="0" w:firstLine="0"/>
        <w:jc w:val="left"/>
      </w:pPr>
      <w:r>
        <w:t xml:space="preserve"> </w:t>
      </w:r>
    </w:p>
    <w:p w14:paraId="20145971" w14:textId="77777777" w:rsidR="00033E12" w:rsidRDefault="0049639E">
      <w:pPr>
        <w:ind w:left="-5" w:right="42"/>
      </w:pPr>
      <w:r>
        <w:lastRenderedPageBreak/>
        <w:t xml:space="preserve">On the other had in terms of Section 8 only the employer not the employee can commit an act of unfair labour practice. It follows it is the employee who would be on the receiving end who must approach the labour officer within two years. Unfair labour practice is defined in Section 2 of the Act to mean, “unfair labour practice specified in Part III or declared to be so in terms of any other provision of this Act. The Act in Part III lists acts of unfair labour practice by the employer and trade union or Workers Committee, none by the employee.  It is apparent that the exemption Committee erred in finding that the Acts of Misconduct by the applicant had prescribed after the expiry of 2 years.  The right of an employer to discipline an employee gets prescribed in terms of Section 15(1)(d) of the Prescription At [Chapter 8:11] that is after 3 years.  </w:t>
      </w:r>
    </w:p>
    <w:p w14:paraId="47B80430" w14:textId="77777777" w:rsidR="00033E12" w:rsidRDefault="0049639E">
      <w:pPr>
        <w:ind w:left="-5" w:right="42"/>
      </w:pPr>
      <w:r>
        <w:t xml:space="preserve">This legal position was confirmed by the Supreme Court in </w:t>
      </w:r>
      <w:r>
        <w:rPr>
          <w:b/>
        </w:rPr>
        <w:t>Patrick Manjovha v Delta</w:t>
      </w:r>
      <w:r>
        <w:t xml:space="preserve"> </w:t>
      </w:r>
      <w:r>
        <w:rPr>
          <w:b/>
        </w:rPr>
        <w:t xml:space="preserve">Beverages (Pvt) Ltd SC 64/21. </w:t>
      </w:r>
      <w:r>
        <w:t xml:space="preserve">In that case the Supreme Court relied on the definition of debt in Section 2 of the Prescription Act.  The Court did not dispose of the matter in terms of Section 94 of the Act.  The employer’s right to discipline an employee prescribes after 3 years in terms of the Prescription Act according to the </w:t>
      </w:r>
      <w:proofErr w:type="spellStart"/>
      <w:r>
        <w:t>Manjovha</w:t>
      </w:r>
      <w:proofErr w:type="spellEnd"/>
      <w:r>
        <w:t xml:space="preserve"> case above. </w:t>
      </w:r>
    </w:p>
    <w:p w14:paraId="798591DB" w14:textId="77777777" w:rsidR="00033E12" w:rsidRDefault="0049639E">
      <w:pPr>
        <w:ind w:left="-5" w:right="42"/>
      </w:pPr>
      <w:r>
        <w:t xml:space="preserve">The applicant also contended that he has got prospects of success on appeal because the Chief Executive Officer of the respondent had the final say on the selection of a contractor. He submitted further that, during the hearing no evidence had been tendered that the company was not compliant with the Procurement Act or proof that the Company not tax or NSSA Compliant. He however admitted that the Company did not have a VAT Certificate. </w:t>
      </w:r>
    </w:p>
    <w:p w14:paraId="14397865" w14:textId="77777777" w:rsidR="00033E12" w:rsidRDefault="0049639E">
      <w:pPr>
        <w:ind w:left="-5" w:right="42"/>
      </w:pPr>
      <w:r>
        <w:t xml:space="preserve">Applicant also argued that the respondent entered into a refund agreement after the company delivered a wrong grader.  It is also applicant’s argument that the CEO was not bound to accept his advice and that the approval of a contractor involved 3 offices.  Further it was submitted that the exemptions committee was correct in making of finding that mitigation was not considered before imposing penalty. </w:t>
      </w:r>
    </w:p>
    <w:p w14:paraId="7BCC7B80" w14:textId="77777777" w:rsidR="00033E12" w:rsidRDefault="0049639E">
      <w:pPr>
        <w:spacing w:after="114" w:line="259" w:lineRule="auto"/>
        <w:ind w:left="0" w:firstLine="0"/>
        <w:jc w:val="left"/>
      </w:pPr>
      <w:r>
        <w:t xml:space="preserve"> </w:t>
      </w:r>
    </w:p>
    <w:p w14:paraId="6EAAE245" w14:textId="77777777" w:rsidR="00033E12" w:rsidRDefault="0049639E">
      <w:pPr>
        <w:ind w:left="-5" w:right="42"/>
      </w:pPr>
      <w:r>
        <w:t xml:space="preserve">The Respondent on the other hand argued that the applicant had the responsibility to give proper advice to the CEO, but he single handedly made a recommendation to appoint </w:t>
      </w:r>
      <w:proofErr w:type="spellStart"/>
      <w:r>
        <w:t>Leapium</w:t>
      </w:r>
      <w:proofErr w:type="spellEnd"/>
      <w:r>
        <w:t xml:space="preserve"> Holdings as the winning bidder, a role resolved for the Bids Evaluation Committee which he by passed without supplying the relevant information.  It is submitted that he went to the CEO and made a recommendation which resulted in the supply of a Second-hand grader taking advantage of the fact that the CEO trusted his advice as procurement expert. </w:t>
      </w:r>
    </w:p>
    <w:p w14:paraId="2CB76C2D" w14:textId="77777777" w:rsidR="00033E12" w:rsidRDefault="0049639E">
      <w:pPr>
        <w:ind w:left="-5" w:right="42"/>
      </w:pPr>
      <w:r>
        <w:lastRenderedPageBreak/>
        <w:t xml:space="preserve">It was further submitted that the exemption Committee erred by dealing with the matter on merits after making a finding that it was prescribed. </w:t>
      </w:r>
    </w:p>
    <w:p w14:paraId="13BDBE9C" w14:textId="77777777" w:rsidR="00033E12" w:rsidRDefault="0049639E">
      <w:pPr>
        <w:spacing w:after="114" w:line="259" w:lineRule="auto"/>
        <w:ind w:left="0" w:firstLine="0"/>
        <w:jc w:val="left"/>
      </w:pPr>
      <w:r>
        <w:t xml:space="preserve"> </w:t>
      </w:r>
    </w:p>
    <w:p w14:paraId="71462C5A" w14:textId="77777777" w:rsidR="00033E12" w:rsidRDefault="0049639E">
      <w:pPr>
        <w:ind w:left="-5" w:right="42"/>
      </w:pPr>
      <w:r>
        <w:t xml:space="preserve">The Respondent submitted that it will be prejudiced should the judgment be rescinded because of prolonged litigation and related costs. The Court was urged to dismiss the application on attorney-client scale. </w:t>
      </w:r>
    </w:p>
    <w:p w14:paraId="2C20760D" w14:textId="77777777" w:rsidR="00033E12" w:rsidRDefault="0049639E">
      <w:pPr>
        <w:spacing w:after="0" w:line="259" w:lineRule="auto"/>
        <w:ind w:left="0" w:firstLine="0"/>
        <w:jc w:val="left"/>
      </w:pPr>
      <w:r>
        <w:t xml:space="preserve"> </w:t>
      </w:r>
    </w:p>
    <w:p w14:paraId="745DA637" w14:textId="77777777" w:rsidR="00033E12" w:rsidRDefault="0049639E">
      <w:pPr>
        <w:pStyle w:val="Heading2"/>
        <w:spacing w:after="114"/>
        <w:ind w:left="-5" w:right="34"/>
      </w:pPr>
      <w:r>
        <w:t xml:space="preserve">ANALYSIS </w:t>
      </w:r>
    </w:p>
    <w:p w14:paraId="47BE6F7C" w14:textId="77777777" w:rsidR="00033E12" w:rsidRDefault="0049639E">
      <w:pPr>
        <w:ind w:left="-5" w:right="42"/>
      </w:pPr>
      <w:r>
        <w:t xml:space="preserve">A perusal of the record shows that the applicant does not dispute that he is the one who recommended the company in question.  He however qualified it by saying that it is the full council meeting through a resolution that awarded the contract. He also confirmed that this company, </w:t>
      </w:r>
      <w:proofErr w:type="spellStart"/>
      <w:r>
        <w:t>Leapium</w:t>
      </w:r>
      <w:proofErr w:type="spellEnd"/>
      <w:r>
        <w:t xml:space="preserve"> Holdings did not have all the required documentation especially VAT certificate. </w:t>
      </w:r>
    </w:p>
    <w:p w14:paraId="6FC7CA46" w14:textId="77777777" w:rsidR="00033E12" w:rsidRDefault="0049639E">
      <w:pPr>
        <w:ind w:left="-5" w:right="42"/>
      </w:pPr>
      <w:r>
        <w:t xml:space="preserve">The record also shows that during disciplinary proceedings, the evidence that was given by the treasurer, one </w:t>
      </w:r>
      <w:proofErr w:type="spellStart"/>
      <w:r>
        <w:t>Magomana</w:t>
      </w:r>
      <w:proofErr w:type="spellEnd"/>
      <w:r>
        <w:t xml:space="preserve"> was not challenged. His evidence was to the effect that the Evaluation Committee sat on 14 July 2022. During the meeting it was discovered that </w:t>
      </w:r>
      <w:proofErr w:type="spellStart"/>
      <w:r>
        <w:t>Leapium</w:t>
      </w:r>
      <w:proofErr w:type="spellEnd"/>
      <w:r>
        <w:t xml:space="preserve"> Holdings had some documents missing. The Committee then tasked the procurement officer (applicant) to write to </w:t>
      </w:r>
      <w:proofErr w:type="spellStart"/>
      <w:r>
        <w:t>Leapium</w:t>
      </w:r>
      <w:proofErr w:type="spellEnd"/>
      <w:r>
        <w:t xml:space="preserve"> Holdings requesting the missing documents. The Committee then adjourned but it never sat again. He submitted that the process was cot completed. </w:t>
      </w:r>
    </w:p>
    <w:p w14:paraId="5EA7E4A7" w14:textId="77777777" w:rsidR="00033E12" w:rsidRDefault="0049639E">
      <w:pPr>
        <w:ind w:left="-5" w:right="42"/>
      </w:pPr>
      <w:r>
        <w:t xml:space="preserve">This evidence was not challenged during cross examination. It follows that the applicant was agreeable to it.  The unchallenged evidence reveals that the recommendation he made to the CEO did not have the blessings of the Evaluations Committee which still expected missing documentation. The evidence reveals that he made the recommendation on his own. </w:t>
      </w:r>
    </w:p>
    <w:p w14:paraId="69FBB2DB" w14:textId="77777777" w:rsidR="00033E12" w:rsidRDefault="0049639E">
      <w:pPr>
        <w:ind w:left="-5" w:right="42"/>
      </w:pPr>
      <w:r>
        <w:t xml:space="preserve">This evidence was corroborated by Engineer Makoni who told the committee that the Evaluations Committee still expected the applicant to bring the required documentation to the Committee. He further told the Court that the applicant went on to recommend this Company </w:t>
      </w:r>
      <w:proofErr w:type="spellStart"/>
      <w:r>
        <w:t>Leapium</w:t>
      </w:r>
      <w:proofErr w:type="spellEnd"/>
      <w:r>
        <w:t xml:space="preserve"> Holdings without the involvement of the Valuations Committee. This evidence was again not challenged during cross examination.  It is trite that what is not challenged is taken as agreed. Whilst it is known that it is the CEO who takes the bids to full council which eventually awards the tender or contract, it the applicant’s actions of by passing the Evaluation Committee and single handedly recommend </w:t>
      </w:r>
      <w:proofErr w:type="spellStart"/>
      <w:r>
        <w:t>Leapium</w:t>
      </w:r>
      <w:proofErr w:type="spellEnd"/>
      <w:r>
        <w:t xml:space="preserve"> Holdings which had no requisite documentation and failed to deliver that he is faulted.  With this evidence it is apparent that the Exemptions Committee got it wrong in arriving at the decision it did. The applicant as head of </w:t>
      </w:r>
      <w:r>
        <w:lastRenderedPageBreak/>
        <w:t xml:space="preserve">Procurement owed a duty to properly advise the CEO and not bypass processes. His conduct satisfies the essential elements of the offence of acting inconsistent with the fulfilment of the express or implied conditions of the contract of employment.  It shows there are no prospects of success in main matter. </w:t>
      </w:r>
    </w:p>
    <w:p w14:paraId="780973BE" w14:textId="77777777" w:rsidR="00033E12" w:rsidRDefault="0049639E">
      <w:pPr>
        <w:ind w:left="-5" w:right="42"/>
      </w:pPr>
      <w:r>
        <w:t xml:space="preserve">The conduct by the applicant in </w:t>
      </w:r>
      <w:proofErr w:type="spellStart"/>
      <w:r>
        <w:t>casu</w:t>
      </w:r>
      <w:proofErr w:type="spellEnd"/>
      <w:r>
        <w:t xml:space="preserve"> is like what happened in the case of Cimas Medical Aid </w:t>
      </w:r>
      <w:r>
        <w:rPr>
          <w:b/>
        </w:rPr>
        <w:t xml:space="preserve">Society v Lindiwe </w:t>
      </w:r>
      <w:proofErr w:type="spellStart"/>
      <w:r>
        <w:rPr>
          <w:b/>
        </w:rPr>
        <w:t>Mhunduru</w:t>
      </w:r>
      <w:proofErr w:type="spellEnd"/>
      <w:r>
        <w:rPr>
          <w:b/>
        </w:rPr>
        <w:t xml:space="preserve"> SC133/21</w:t>
      </w:r>
      <w:r>
        <w:t xml:space="preserve">. The employee in that case acted unlawfully by deliberately setting an unprocedural process in motion that led to the awarding of the contract, with full knowledge that the employer’s Purchasing Committee had not presided over the selection process. That exactly what applicant did, he by passed the Evaluations Committee which never completed its mandate. </w:t>
      </w:r>
    </w:p>
    <w:p w14:paraId="1DAA275A" w14:textId="77777777" w:rsidR="00033E12" w:rsidRDefault="0049639E">
      <w:pPr>
        <w:ind w:left="-5" w:right="42"/>
      </w:pPr>
      <w:r>
        <w:t xml:space="preserve">On the issue of splitting of charges, this was not pursued during oral arguments but for completeness’ sake I will deal with it. It is trite that an employer is not allowed to duplicate charges arising from the same conduct to avoid duplication of convictions or double punishments. Precedent has shown that there will not be splitting or duplication of charges where: </w:t>
      </w:r>
    </w:p>
    <w:p w14:paraId="23B46DC1" w14:textId="77777777" w:rsidR="00033E12" w:rsidRDefault="0049639E">
      <w:pPr>
        <w:numPr>
          <w:ilvl w:val="0"/>
          <w:numId w:val="3"/>
        </w:numPr>
        <w:ind w:right="42" w:hanging="360"/>
      </w:pPr>
      <w:r>
        <w:t xml:space="preserve">The charges are distinctly framed to inform the employee of the exact nature of the wrong doings.  </w:t>
      </w:r>
    </w:p>
    <w:p w14:paraId="5BE35895" w14:textId="77777777" w:rsidR="00033E12" w:rsidRDefault="0049639E">
      <w:pPr>
        <w:numPr>
          <w:ilvl w:val="0"/>
          <w:numId w:val="3"/>
        </w:numPr>
        <w:ind w:right="42" w:hanging="360"/>
      </w:pPr>
      <w:r>
        <w:t xml:space="preserve">The employee understands the charges, can plead to them, and adequately defend themselves without being punished twice for the exact same factual element. </w:t>
      </w:r>
    </w:p>
    <w:p w14:paraId="3BCA334E" w14:textId="77777777" w:rsidR="00033E12" w:rsidRDefault="0049639E">
      <w:pPr>
        <w:numPr>
          <w:ilvl w:val="0"/>
          <w:numId w:val="3"/>
        </w:numPr>
        <w:ind w:right="42" w:hanging="360"/>
      </w:pPr>
      <w:r>
        <w:t xml:space="preserve">Where there is no prejudice caused to the employee’s ability to defend himself. Once these conditions are met, the splitting of charges may be considered a matter of form than substance. </w:t>
      </w:r>
    </w:p>
    <w:p w14:paraId="571F15BF" w14:textId="77777777" w:rsidR="00033E12" w:rsidRDefault="0049639E">
      <w:pPr>
        <w:ind w:left="730" w:right="42"/>
      </w:pPr>
      <w:r>
        <w:t xml:space="preserve">The cases cited by the applicant originated from the criminal court. They do no address any of the factors above. There is no prejudice that has been pleaded or proved. The exemptions committee simply indicated that there was splitting of charges without further comment. </w:t>
      </w:r>
    </w:p>
    <w:p w14:paraId="5E921521" w14:textId="77777777" w:rsidR="00033E12" w:rsidRDefault="0049639E">
      <w:pPr>
        <w:spacing w:after="114" w:line="259" w:lineRule="auto"/>
        <w:ind w:left="0" w:firstLine="0"/>
        <w:jc w:val="left"/>
      </w:pPr>
      <w:r>
        <w:t xml:space="preserve"> </w:t>
      </w:r>
    </w:p>
    <w:p w14:paraId="25417D8A" w14:textId="77777777" w:rsidR="00033E12" w:rsidRDefault="0049639E">
      <w:pPr>
        <w:pStyle w:val="Heading2"/>
        <w:spacing w:after="114"/>
        <w:ind w:left="-5" w:right="34"/>
      </w:pPr>
      <w:r>
        <w:t xml:space="preserve">PREJUDICE </w:t>
      </w:r>
    </w:p>
    <w:p w14:paraId="5C79D5D9" w14:textId="77777777" w:rsidR="00033E12" w:rsidRDefault="0049639E">
      <w:pPr>
        <w:ind w:left="-5" w:right="42"/>
      </w:pPr>
      <w:r>
        <w:t xml:space="preserve">The respondent will be prejudiced by the granting of the application for condonation through endless litigation.  It will continue to incur legal costs. </w:t>
      </w:r>
    </w:p>
    <w:p w14:paraId="490DC0F2" w14:textId="77777777" w:rsidR="00033E12" w:rsidRDefault="0049639E">
      <w:pPr>
        <w:ind w:left="-5" w:right="42"/>
      </w:pPr>
      <w:r>
        <w:t xml:space="preserve">In the case of </w:t>
      </w:r>
      <w:r>
        <w:rPr>
          <w:b/>
        </w:rPr>
        <w:t>Ndebele v Ncube 1992(1) ZLR 288(SC</w:t>
      </w:r>
      <w:r>
        <w:t xml:space="preserve">) it was stated that it is a policy of law that there must be finality in litigation. It was also stated that the law protects the vigilant and not the sluggard. </w:t>
      </w:r>
    </w:p>
    <w:p w14:paraId="2FAFD8F6" w14:textId="77777777" w:rsidR="00033E12" w:rsidRDefault="0049639E">
      <w:pPr>
        <w:spacing w:after="114" w:line="259" w:lineRule="auto"/>
        <w:ind w:left="0" w:firstLine="0"/>
        <w:jc w:val="left"/>
      </w:pPr>
      <w:r>
        <w:lastRenderedPageBreak/>
        <w:t xml:space="preserve"> </w:t>
      </w:r>
    </w:p>
    <w:p w14:paraId="08230F11" w14:textId="77777777" w:rsidR="00033E12" w:rsidRDefault="0049639E">
      <w:pPr>
        <w:pStyle w:val="Heading2"/>
        <w:spacing w:after="114"/>
        <w:ind w:left="-5" w:right="34"/>
      </w:pPr>
      <w:r>
        <w:t xml:space="preserve">DISPOSITION </w:t>
      </w:r>
    </w:p>
    <w:p w14:paraId="4405AD68" w14:textId="77777777" w:rsidR="00033E12" w:rsidRDefault="0049639E">
      <w:pPr>
        <w:ind w:left="-5" w:right="42"/>
      </w:pPr>
      <w:r>
        <w:t xml:space="preserve">If all the requirements for condonation are considered cumulatively in this case, it is apparent the application did not meet the threshold for it to be granted.  The applicant did not act with the diligence required to protect his rights. The Supreme Court in </w:t>
      </w:r>
      <w:r>
        <w:rPr>
          <w:b/>
        </w:rPr>
        <w:t xml:space="preserve">T. </w:t>
      </w:r>
      <w:proofErr w:type="spellStart"/>
      <w:r>
        <w:rPr>
          <w:b/>
        </w:rPr>
        <w:t>Voster</w:t>
      </w:r>
      <w:proofErr w:type="spellEnd"/>
      <w:r>
        <w:rPr>
          <w:b/>
        </w:rPr>
        <w:t xml:space="preserve"> v SAVE Valley</w:t>
      </w:r>
      <w:r>
        <w:t xml:space="preserve"> </w:t>
      </w:r>
      <w:r>
        <w:rPr>
          <w:b/>
        </w:rPr>
        <w:t>Conservancy SC 20/14</w:t>
      </w:r>
      <w:r>
        <w:t xml:space="preserve"> passed the following comment: </w:t>
      </w:r>
    </w:p>
    <w:p w14:paraId="28DA4B65" w14:textId="77777777" w:rsidR="00033E12" w:rsidRDefault="0049639E">
      <w:pPr>
        <w:spacing w:line="249" w:lineRule="auto"/>
        <w:ind w:left="715"/>
        <w:jc w:val="left"/>
      </w:pPr>
      <w:r>
        <w:t xml:space="preserve">“There was no merit in the application for condonation because applicant’s predicament was due to own dilatoriness”. </w:t>
      </w:r>
    </w:p>
    <w:p w14:paraId="598B28A6" w14:textId="77777777" w:rsidR="00033E12" w:rsidRDefault="0049639E">
      <w:pPr>
        <w:spacing w:after="0" w:line="259" w:lineRule="auto"/>
        <w:ind w:left="720" w:firstLine="0"/>
        <w:jc w:val="left"/>
      </w:pPr>
      <w:r>
        <w:t xml:space="preserve"> </w:t>
      </w:r>
    </w:p>
    <w:p w14:paraId="4AA342AB" w14:textId="77777777" w:rsidR="00033E12" w:rsidRDefault="0049639E">
      <w:pPr>
        <w:spacing w:after="3" w:line="357" w:lineRule="auto"/>
        <w:ind w:left="-5" w:right="983"/>
      </w:pPr>
      <w:r>
        <w:t xml:space="preserve">In </w:t>
      </w:r>
      <w:proofErr w:type="spellStart"/>
      <w:r>
        <w:rPr>
          <w:b/>
        </w:rPr>
        <w:t>Saloojee</w:t>
      </w:r>
      <w:proofErr w:type="spellEnd"/>
      <w:r>
        <w:rPr>
          <w:b/>
        </w:rPr>
        <w:t xml:space="preserve"> and Anor, NNO V Minister of Community Development (supra) </w:t>
      </w:r>
      <w:r>
        <w:t xml:space="preserve">the Court stated as follows: </w:t>
      </w:r>
    </w:p>
    <w:p w14:paraId="74417635" w14:textId="77777777" w:rsidR="00033E12" w:rsidRDefault="0049639E">
      <w:pPr>
        <w:spacing w:line="249" w:lineRule="auto"/>
        <w:ind w:left="715"/>
        <w:jc w:val="left"/>
      </w:pPr>
      <w:r>
        <w:t xml:space="preserve">“What calls for some explanation is not only the delay in noting an appeal and in lodging the record timeously, but also the delay in seeking condonation.” </w:t>
      </w:r>
    </w:p>
    <w:p w14:paraId="0E60B22A" w14:textId="77777777" w:rsidR="00033E12" w:rsidRDefault="0049639E">
      <w:pPr>
        <w:spacing w:after="114" w:line="259" w:lineRule="auto"/>
        <w:ind w:left="0" w:firstLine="0"/>
        <w:jc w:val="left"/>
      </w:pPr>
      <w:r>
        <w:t xml:space="preserve"> </w:t>
      </w:r>
    </w:p>
    <w:p w14:paraId="2E9F9FBE" w14:textId="77777777" w:rsidR="00033E12" w:rsidRDefault="0049639E">
      <w:pPr>
        <w:spacing w:after="114" w:line="259" w:lineRule="auto"/>
        <w:ind w:left="0" w:firstLine="0"/>
        <w:jc w:val="left"/>
      </w:pPr>
      <w:r>
        <w:t xml:space="preserve"> </w:t>
      </w:r>
    </w:p>
    <w:p w14:paraId="3CC0157D" w14:textId="77777777" w:rsidR="00033E12" w:rsidRDefault="0049639E">
      <w:pPr>
        <w:spacing w:after="0" w:line="357" w:lineRule="auto"/>
        <w:ind w:left="0" w:firstLine="0"/>
        <w:jc w:val="left"/>
      </w:pPr>
      <w:r>
        <w:rPr>
          <w:i/>
        </w:rPr>
        <w:t>In Casu</w:t>
      </w:r>
      <w:r>
        <w:t xml:space="preserve"> as already highlighted above, the applicant could not proffer a reasonable explanation for not filing an application for condonation in January when he had knowledge of the default judgement only to do so in March. </w:t>
      </w:r>
    </w:p>
    <w:p w14:paraId="3005319B" w14:textId="77777777" w:rsidR="00033E12" w:rsidRDefault="0049639E">
      <w:pPr>
        <w:ind w:left="-5" w:right="42"/>
      </w:pPr>
      <w:r>
        <w:t xml:space="preserve">In addition, there are no prospects of success in the main matter in the light of unchallenged evidence. The application is bound to fail. </w:t>
      </w:r>
    </w:p>
    <w:p w14:paraId="524CCEF0" w14:textId="77777777" w:rsidR="00033E12" w:rsidRDefault="0049639E">
      <w:pPr>
        <w:spacing w:after="114" w:line="259" w:lineRule="auto"/>
        <w:ind w:left="0" w:firstLine="0"/>
        <w:jc w:val="left"/>
      </w:pPr>
      <w:r>
        <w:t xml:space="preserve"> </w:t>
      </w:r>
    </w:p>
    <w:p w14:paraId="67ABBFE7" w14:textId="77777777" w:rsidR="00033E12" w:rsidRDefault="0049639E">
      <w:pPr>
        <w:pStyle w:val="Heading1"/>
        <w:ind w:left="-5"/>
      </w:pPr>
      <w:r>
        <w:t>COSTS</w:t>
      </w:r>
      <w:r>
        <w:rPr>
          <w:u w:val="none"/>
        </w:rPr>
        <w:t xml:space="preserve"> </w:t>
      </w:r>
    </w:p>
    <w:p w14:paraId="42EDDE47" w14:textId="77777777" w:rsidR="00033E12" w:rsidRDefault="0049639E">
      <w:pPr>
        <w:spacing w:after="114" w:line="259" w:lineRule="auto"/>
        <w:ind w:left="0" w:firstLine="0"/>
        <w:jc w:val="left"/>
      </w:pPr>
      <w:r>
        <w:rPr>
          <w:b/>
        </w:rPr>
        <w:t xml:space="preserve"> </w:t>
      </w:r>
    </w:p>
    <w:p w14:paraId="3A753012" w14:textId="77777777" w:rsidR="00033E12" w:rsidRDefault="0049639E">
      <w:pPr>
        <w:spacing w:after="114" w:line="259" w:lineRule="auto"/>
        <w:ind w:left="-5" w:right="42"/>
      </w:pPr>
      <w:r>
        <w:t xml:space="preserve">Costs will follow the result. </w:t>
      </w:r>
    </w:p>
    <w:p w14:paraId="3CC1FA0E" w14:textId="77777777" w:rsidR="00033E12" w:rsidRDefault="0049639E">
      <w:pPr>
        <w:spacing w:after="117" w:line="259" w:lineRule="auto"/>
        <w:ind w:left="0" w:firstLine="0"/>
        <w:jc w:val="left"/>
      </w:pPr>
      <w:r>
        <w:t xml:space="preserve"> </w:t>
      </w:r>
    </w:p>
    <w:p w14:paraId="78A2CAEB" w14:textId="77777777" w:rsidR="00033E12" w:rsidRDefault="0049639E">
      <w:pPr>
        <w:spacing w:after="114" w:line="259" w:lineRule="auto"/>
        <w:ind w:left="-5" w:right="34"/>
      </w:pPr>
      <w:r>
        <w:rPr>
          <w:b/>
        </w:rPr>
        <w:t>Wherefore it is ordered that</w:t>
      </w:r>
      <w:r>
        <w:t xml:space="preserve">: </w:t>
      </w:r>
    </w:p>
    <w:p w14:paraId="184F7F6D" w14:textId="77777777" w:rsidR="00033E12" w:rsidRDefault="0049639E">
      <w:pPr>
        <w:spacing w:after="114" w:line="259" w:lineRule="auto"/>
        <w:ind w:left="0" w:firstLine="0"/>
        <w:jc w:val="left"/>
      </w:pPr>
      <w:r>
        <w:t xml:space="preserve"> </w:t>
      </w:r>
    </w:p>
    <w:p w14:paraId="3CD83B36" w14:textId="77777777" w:rsidR="00033E12" w:rsidRDefault="0049639E">
      <w:pPr>
        <w:spacing w:after="114" w:line="259" w:lineRule="auto"/>
        <w:ind w:left="0" w:firstLine="0"/>
        <w:jc w:val="left"/>
      </w:pPr>
      <w:r>
        <w:t xml:space="preserve"> </w:t>
      </w:r>
    </w:p>
    <w:p w14:paraId="4E644C73" w14:textId="77777777" w:rsidR="00033E12" w:rsidRDefault="0049639E">
      <w:pPr>
        <w:pStyle w:val="Heading2"/>
        <w:spacing w:line="357" w:lineRule="auto"/>
        <w:ind w:left="-5" w:right="34"/>
      </w:pPr>
      <w:r>
        <w:t xml:space="preserve">The Composite application for condonation for late filing of an application for rescission of judgement and rescission of judgement be and is hereby dismissed with costs, </w:t>
      </w:r>
    </w:p>
    <w:p w14:paraId="78D5BCB4" w14:textId="77777777" w:rsidR="00033E12" w:rsidRDefault="0049639E">
      <w:pPr>
        <w:spacing w:after="0" w:line="357" w:lineRule="auto"/>
        <w:ind w:left="0" w:right="9017" w:firstLine="0"/>
        <w:jc w:val="left"/>
      </w:pPr>
      <w:r>
        <w:rPr>
          <w:b/>
        </w:rPr>
        <w:t xml:space="preserve">     </w:t>
      </w:r>
    </w:p>
    <w:p w14:paraId="3AB538EE" w14:textId="77777777" w:rsidR="00033E12" w:rsidRDefault="0049639E">
      <w:pPr>
        <w:spacing w:after="124" w:line="249" w:lineRule="auto"/>
        <w:jc w:val="left"/>
      </w:pPr>
      <w:r>
        <w:rPr>
          <w:i/>
        </w:rPr>
        <w:t xml:space="preserve">Gonese and </w:t>
      </w:r>
      <w:proofErr w:type="gramStart"/>
      <w:r>
        <w:rPr>
          <w:i/>
        </w:rPr>
        <w:t>Ndlovu</w:t>
      </w:r>
      <w:r>
        <w:t xml:space="preserve">,   </w:t>
      </w:r>
      <w:proofErr w:type="gramEnd"/>
      <w:r>
        <w:t xml:space="preserve"> Applicant’s Legal Practitioners </w:t>
      </w:r>
    </w:p>
    <w:p w14:paraId="5555DFBF" w14:textId="77777777" w:rsidR="00033E12" w:rsidRDefault="0049639E">
      <w:pPr>
        <w:spacing w:after="114" w:line="259" w:lineRule="auto"/>
        <w:ind w:left="0" w:firstLine="0"/>
        <w:jc w:val="left"/>
      </w:pPr>
      <w:r>
        <w:t xml:space="preserve"> </w:t>
      </w:r>
    </w:p>
    <w:p w14:paraId="5A7581B2" w14:textId="77777777" w:rsidR="00033E12" w:rsidRDefault="0049639E">
      <w:pPr>
        <w:spacing w:after="124" w:line="249" w:lineRule="auto"/>
        <w:jc w:val="left"/>
      </w:pPr>
      <w:r>
        <w:rPr>
          <w:i/>
        </w:rPr>
        <w:t xml:space="preserve">Bere </w:t>
      </w:r>
      <w:proofErr w:type="gramStart"/>
      <w:r>
        <w:rPr>
          <w:i/>
        </w:rPr>
        <w:t xml:space="preserve">Brothers,   </w:t>
      </w:r>
      <w:proofErr w:type="gramEnd"/>
      <w:r>
        <w:rPr>
          <w:i/>
        </w:rPr>
        <w:t xml:space="preserve">         </w:t>
      </w:r>
      <w:r>
        <w:t xml:space="preserve">Respondent’s Legal Practitioners </w:t>
      </w:r>
    </w:p>
    <w:p w14:paraId="68FD654D" w14:textId="77777777" w:rsidR="00033E12" w:rsidRDefault="0049639E">
      <w:pPr>
        <w:spacing w:after="94" w:line="259" w:lineRule="auto"/>
        <w:ind w:left="0" w:firstLine="0"/>
        <w:jc w:val="left"/>
      </w:pPr>
      <w:r>
        <w:lastRenderedPageBreak/>
        <w:t xml:space="preserve"> </w:t>
      </w:r>
    </w:p>
    <w:p w14:paraId="5C241A6E" w14:textId="58E30701" w:rsidR="00033E12" w:rsidRDefault="002D4A9A" w:rsidP="002D4A9A">
      <w:pPr>
        <w:spacing w:after="104" w:line="259" w:lineRule="auto"/>
        <w:ind w:left="0" w:firstLine="0"/>
        <w:jc w:val="center"/>
      </w:pPr>
      <w:r>
        <w:rPr>
          <w:b/>
          <w:sz w:val="22"/>
        </w:rPr>
        <w:t>TSIKWA J</w:t>
      </w:r>
    </w:p>
    <w:p w14:paraId="7016D788" w14:textId="77777777" w:rsidR="00033E12" w:rsidRDefault="0049639E">
      <w:pPr>
        <w:spacing w:after="0" w:line="259" w:lineRule="auto"/>
        <w:ind w:left="0" w:firstLine="0"/>
        <w:jc w:val="left"/>
      </w:pPr>
      <w:r>
        <w:rPr>
          <w:sz w:val="22"/>
        </w:rPr>
        <w:t xml:space="preserve"> </w:t>
      </w:r>
    </w:p>
    <w:p w14:paraId="375779FD" w14:textId="77777777" w:rsidR="00033E12" w:rsidRDefault="00033E12">
      <w:pPr>
        <w:sectPr w:rsidR="00033E12">
          <w:headerReference w:type="even" r:id="rId7"/>
          <w:headerReference w:type="default" r:id="rId8"/>
          <w:headerReference w:type="first" r:id="rId9"/>
          <w:pgSz w:w="11906" w:h="16838"/>
          <w:pgMar w:top="765" w:right="1389" w:bottom="1440" w:left="1440" w:header="720" w:footer="720" w:gutter="0"/>
          <w:cols w:space="720"/>
          <w:titlePg/>
        </w:sectPr>
      </w:pPr>
    </w:p>
    <w:p w14:paraId="31EFA2DF" w14:textId="77777777" w:rsidR="00033E12" w:rsidRDefault="0049639E">
      <w:pPr>
        <w:spacing w:after="0" w:line="259" w:lineRule="auto"/>
        <w:ind w:left="0" w:firstLine="0"/>
        <w:jc w:val="right"/>
      </w:pPr>
      <w:r>
        <w:rPr>
          <w:rFonts w:ascii="Calibri" w:eastAsia="Calibri" w:hAnsi="Calibri" w:cs="Calibri"/>
          <w:sz w:val="22"/>
        </w:rPr>
        <w:lastRenderedPageBreak/>
        <w:t xml:space="preserve">LC/H/300/26 </w:t>
      </w:r>
    </w:p>
    <w:p w14:paraId="5148152F" w14:textId="77777777" w:rsidR="00033E12" w:rsidRDefault="0049639E">
      <w:pPr>
        <w:spacing w:after="0" w:line="259" w:lineRule="auto"/>
        <w:ind w:left="0" w:firstLine="0"/>
        <w:jc w:val="left"/>
      </w:pPr>
      <w:r>
        <w:rPr>
          <w:rFonts w:ascii="Calibri" w:eastAsia="Calibri" w:hAnsi="Calibri" w:cs="Calibri"/>
          <w:sz w:val="22"/>
        </w:rPr>
        <w:t xml:space="preserve"> </w:t>
      </w:r>
    </w:p>
    <w:p w14:paraId="1B665C25" w14:textId="7CD174B4" w:rsidR="00033E12" w:rsidRDefault="0049639E" w:rsidP="002D4A9A">
      <w:pPr>
        <w:spacing w:after="104" w:line="259" w:lineRule="auto"/>
        <w:ind w:left="0" w:firstLine="0"/>
        <w:jc w:val="left"/>
      </w:pPr>
      <w:r>
        <w:rPr>
          <w:sz w:val="22"/>
        </w:rPr>
        <w:t xml:space="preserve">                                                     </w:t>
      </w:r>
    </w:p>
    <w:p w14:paraId="40E9BBB4" w14:textId="77777777" w:rsidR="00033E12" w:rsidRDefault="0049639E">
      <w:pPr>
        <w:spacing w:after="104" w:line="259" w:lineRule="auto"/>
        <w:ind w:left="0" w:firstLine="0"/>
        <w:jc w:val="left"/>
      </w:pPr>
      <w:r>
        <w:rPr>
          <w:sz w:val="22"/>
        </w:rPr>
        <w:t xml:space="preserve"> </w:t>
      </w:r>
    </w:p>
    <w:p w14:paraId="61D2AE12" w14:textId="77777777" w:rsidR="00033E12" w:rsidRDefault="0049639E">
      <w:pPr>
        <w:spacing w:after="104" w:line="259" w:lineRule="auto"/>
        <w:ind w:left="0" w:firstLine="0"/>
        <w:jc w:val="left"/>
      </w:pPr>
      <w:r>
        <w:rPr>
          <w:sz w:val="22"/>
        </w:rPr>
        <w:t xml:space="preserve"> </w:t>
      </w:r>
    </w:p>
    <w:p w14:paraId="6A6CE5E4" w14:textId="77777777" w:rsidR="00033E12" w:rsidRDefault="0049639E">
      <w:pPr>
        <w:spacing w:after="104" w:line="259" w:lineRule="auto"/>
        <w:ind w:left="0" w:firstLine="0"/>
        <w:jc w:val="left"/>
      </w:pPr>
      <w:r>
        <w:rPr>
          <w:sz w:val="22"/>
        </w:rPr>
        <w:t xml:space="preserve"> </w:t>
      </w:r>
    </w:p>
    <w:p w14:paraId="6EBC579B" w14:textId="77777777" w:rsidR="00033E12" w:rsidRDefault="0049639E">
      <w:pPr>
        <w:spacing w:after="149" w:line="259" w:lineRule="auto"/>
        <w:ind w:left="0" w:firstLine="0"/>
        <w:jc w:val="left"/>
      </w:pPr>
      <w:r>
        <w:rPr>
          <w:sz w:val="22"/>
        </w:rPr>
        <w:t xml:space="preserve"> </w:t>
      </w:r>
    </w:p>
    <w:p w14:paraId="4A79D835" w14:textId="77777777" w:rsidR="00033E12" w:rsidRDefault="0049639E">
      <w:pPr>
        <w:spacing w:after="0" w:line="259" w:lineRule="auto"/>
        <w:ind w:left="0" w:firstLine="0"/>
        <w:jc w:val="left"/>
      </w:pPr>
      <w:r>
        <w:rPr>
          <w:sz w:val="22"/>
        </w:rPr>
        <w:t xml:space="preserve"> </w:t>
      </w:r>
      <w:r>
        <w:rPr>
          <w:sz w:val="22"/>
        </w:rPr>
        <w:tab/>
        <w:t xml:space="preserve">   </w:t>
      </w:r>
      <w:r>
        <w:t xml:space="preserve"> </w:t>
      </w:r>
    </w:p>
    <w:sectPr w:rsidR="00033E12">
      <w:headerReference w:type="even" r:id="rId10"/>
      <w:headerReference w:type="default" r:id="rId11"/>
      <w:headerReference w:type="first" r:id="rId12"/>
      <w:pgSz w:w="11906" w:h="16838"/>
      <w:pgMar w:top="1440" w:right="1439" w:bottom="1440" w:left="1440" w:header="76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82445" w14:textId="77777777" w:rsidR="00D37AE3" w:rsidRDefault="00D37AE3">
      <w:pPr>
        <w:spacing w:after="0" w:line="240" w:lineRule="auto"/>
      </w:pPr>
      <w:r>
        <w:separator/>
      </w:r>
    </w:p>
  </w:endnote>
  <w:endnote w:type="continuationSeparator" w:id="0">
    <w:p w14:paraId="6AD52DE7" w14:textId="77777777" w:rsidR="00D37AE3" w:rsidRDefault="00D37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EDDC6" w14:textId="77777777" w:rsidR="00D37AE3" w:rsidRDefault="00D37AE3">
      <w:pPr>
        <w:spacing w:after="0" w:line="240" w:lineRule="auto"/>
      </w:pPr>
      <w:r>
        <w:separator/>
      </w:r>
    </w:p>
  </w:footnote>
  <w:footnote w:type="continuationSeparator" w:id="0">
    <w:p w14:paraId="0EA0B2EF" w14:textId="77777777" w:rsidR="00D37AE3" w:rsidRDefault="00D37A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38744" w14:textId="77777777" w:rsidR="00033E12" w:rsidRDefault="0049639E">
    <w:pPr>
      <w:spacing w:after="0" w:line="259" w:lineRule="auto"/>
      <w:ind w:left="0" w:right="50" w:firstLine="0"/>
      <w:jc w:val="right"/>
    </w:pP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p w14:paraId="0E0900B7" w14:textId="77777777" w:rsidR="00033E12" w:rsidRDefault="0049639E">
    <w:pPr>
      <w:spacing w:after="1" w:line="240" w:lineRule="auto"/>
      <w:ind w:left="6905" w:right="50" w:firstLine="0"/>
      <w:jc w:val="right"/>
    </w:pPr>
    <w:r>
      <w:rPr>
        <w:rFonts w:ascii="Calibri" w:eastAsia="Calibri" w:hAnsi="Calibri" w:cs="Calibri"/>
        <w:sz w:val="22"/>
      </w:rPr>
      <w:t>LC/H/</w:t>
    </w:r>
    <w:proofErr w:type="gramStart"/>
    <w:r>
      <w:rPr>
        <w:rFonts w:ascii="Calibri" w:eastAsia="Calibri" w:hAnsi="Calibri" w:cs="Calibri"/>
        <w:sz w:val="22"/>
      </w:rPr>
      <w:t>2026  LC</w:t>
    </w:r>
    <w:proofErr w:type="gramEnd"/>
    <w:r>
      <w:rPr>
        <w:rFonts w:ascii="Calibri" w:eastAsia="Calibri" w:hAnsi="Calibri" w:cs="Calibri"/>
        <w:sz w:val="22"/>
      </w:rPr>
      <w:t xml:space="preserve">/H/300/26 </w:t>
    </w:r>
  </w:p>
  <w:p w14:paraId="0A6D2B20" w14:textId="77777777" w:rsidR="00033E12" w:rsidRDefault="0049639E">
    <w:pPr>
      <w:spacing w:after="0" w:line="259" w:lineRule="auto"/>
      <w:ind w:lef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126F2" w14:textId="77777777" w:rsidR="00033E12" w:rsidRDefault="0049639E">
    <w:pPr>
      <w:spacing w:after="0" w:line="259" w:lineRule="auto"/>
      <w:ind w:left="0" w:right="50" w:firstLine="0"/>
      <w:jc w:val="right"/>
    </w:pP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p w14:paraId="099FF19A" w14:textId="44249752" w:rsidR="00033E12" w:rsidRDefault="0049639E">
    <w:pPr>
      <w:spacing w:after="1" w:line="240" w:lineRule="auto"/>
      <w:ind w:left="6905" w:right="50" w:firstLine="0"/>
      <w:jc w:val="right"/>
    </w:pPr>
    <w:r>
      <w:rPr>
        <w:rFonts w:ascii="Calibri" w:eastAsia="Calibri" w:hAnsi="Calibri" w:cs="Calibri"/>
        <w:sz w:val="22"/>
      </w:rPr>
      <w:t>LC/H/</w:t>
    </w:r>
    <w:r w:rsidR="002D4A9A">
      <w:rPr>
        <w:rFonts w:ascii="Calibri" w:eastAsia="Calibri" w:hAnsi="Calibri" w:cs="Calibri"/>
        <w:sz w:val="22"/>
      </w:rPr>
      <w:t>203/</w:t>
    </w:r>
    <w:proofErr w:type="gramStart"/>
    <w:r>
      <w:rPr>
        <w:rFonts w:ascii="Calibri" w:eastAsia="Calibri" w:hAnsi="Calibri" w:cs="Calibri"/>
        <w:sz w:val="22"/>
      </w:rPr>
      <w:t>2026  LC</w:t>
    </w:r>
    <w:proofErr w:type="gramEnd"/>
    <w:r>
      <w:rPr>
        <w:rFonts w:ascii="Calibri" w:eastAsia="Calibri" w:hAnsi="Calibri" w:cs="Calibri"/>
        <w:sz w:val="22"/>
      </w:rPr>
      <w:t xml:space="preserve">/H/300/26 </w:t>
    </w:r>
  </w:p>
  <w:p w14:paraId="580452B2" w14:textId="77777777" w:rsidR="00033E12" w:rsidRDefault="0049639E">
    <w:pPr>
      <w:spacing w:after="0" w:line="259" w:lineRule="auto"/>
      <w:ind w:lef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F0E2F" w14:textId="77777777" w:rsidR="00033E12" w:rsidRDefault="00033E12">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5563" w14:textId="77777777" w:rsidR="00033E12" w:rsidRDefault="0049639E">
    <w:pPr>
      <w:spacing w:after="0" w:line="259"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10</w:t>
    </w:r>
    <w:r>
      <w:rPr>
        <w:rFonts w:ascii="Calibri" w:eastAsia="Calibri" w:hAnsi="Calibri" w:cs="Calibri"/>
        <w:sz w:val="22"/>
      </w:rPr>
      <w:fldChar w:fldCharType="end"/>
    </w:r>
    <w:r>
      <w:rPr>
        <w:rFonts w:ascii="Calibri" w:eastAsia="Calibri" w:hAnsi="Calibri" w:cs="Calibri"/>
        <w:sz w:val="22"/>
      </w:rPr>
      <w:t xml:space="preserve"> </w:t>
    </w:r>
  </w:p>
  <w:p w14:paraId="53956A24" w14:textId="77777777" w:rsidR="00033E12" w:rsidRDefault="0049639E">
    <w:pPr>
      <w:spacing w:after="0" w:line="259" w:lineRule="auto"/>
      <w:ind w:left="0" w:right="1" w:firstLine="0"/>
      <w:jc w:val="right"/>
    </w:pPr>
    <w:r>
      <w:rPr>
        <w:rFonts w:ascii="Calibri" w:eastAsia="Calibri" w:hAnsi="Calibri" w:cs="Calibri"/>
        <w:sz w:val="22"/>
      </w:rPr>
      <w:t xml:space="preserve">LC/H/2026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FE509" w14:textId="77777777" w:rsidR="00033E12" w:rsidRDefault="0049639E">
    <w:pPr>
      <w:spacing w:after="0" w:line="259"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10</w:t>
    </w:r>
    <w:r>
      <w:rPr>
        <w:rFonts w:ascii="Calibri" w:eastAsia="Calibri" w:hAnsi="Calibri" w:cs="Calibri"/>
        <w:sz w:val="22"/>
      </w:rPr>
      <w:fldChar w:fldCharType="end"/>
    </w:r>
    <w:r>
      <w:rPr>
        <w:rFonts w:ascii="Calibri" w:eastAsia="Calibri" w:hAnsi="Calibri" w:cs="Calibri"/>
        <w:sz w:val="22"/>
      </w:rPr>
      <w:t xml:space="preserve"> </w:t>
    </w:r>
  </w:p>
  <w:p w14:paraId="2D3256FF" w14:textId="77777777" w:rsidR="00033E12" w:rsidRDefault="0049639E">
    <w:pPr>
      <w:spacing w:after="0" w:line="259" w:lineRule="auto"/>
      <w:ind w:left="0" w:right="1" w:firstLine="0"/>
      <w:jc w:val="right"/>
    </w:pPr>
    <w:r>
      <w:rPr>
        <w:rFonts w:ascii="Calibri" w:eastAsia="Calibri" w:hAnsi="Calibri" w:cs="Calibri"/>
        <w:sz w:val="22"/>
      </w:rPr>
      <w:t xml:space="preserve">LC/H/2026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F6FFE" w14:textId="77777777" w:rsidR="00033E12" w:rsidRDefault="0049639E">
    <w:pPr>
      <w:spacing w:after="0" w:line="259"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10</w:t>
    </w:r>
    <w:r>
      <w:rPr>
        <w:rFonts w:ascii="Calibri" w:eastAsia="Calibri" w:hAnsi="Calibri" w:cs="Calibri"/>
        <w:sz w:val="22"/>
      </w:rPr>
      <w:fldChar w:fldCharType="end"/>
    </w:r>
    <w:r>
      <w:rPr>
        <w:rFonts w:ascii="Calibri" w:eastAsia="Calibri" w:hAnsi="Calibri" w:cs="Calibri"/>
        <w:sz w:val="22"/>
      </w:rPr>
      <w:t xml:space="preserve"> </w:t>
    </w:r>
  </w:p>
  <w:p w14:paraId="28483CAA" w14:textId="77777777" w:rsidR="00033E12" w:rsidRDefault="0049639E">
    <w:pPr>
      <w:spacing w:after="0" w:line="259" w:lineRule="auto"/>
      <w:ind w:left="0" w:right="1" w:firstLine="0"/>
      <w:jc w:val="right"/>
    </w:pPr>
    <w:r>
      <w:rPr>
        <w:rFonts w:ascii="Calibri" w:eastAsia="Calibri" w:hAnsi="Calibri" w:cs="Calibri"/>
        <w:sz w:val="22"/>
      </w:rPr>
      <w:t xml:space="preserve">LC/H/2026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1081B"/>
    <w:multiLevelType w:val="hybridMultilevel"/>
    <w:tmpl w:val="FFFFFFFF"/>
    <w:lvl w:ilvl="0" w:tplc="34BC9FF4">
      <w:start w:val="1"/>
      <w:numFmt w:val="lowerLetter"/>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0EEAC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22CD6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E41AE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48C76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C0379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76977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6E50E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CC665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3A430DA"/>
    <w:multiLevelType w:val="hybridMultilevel"/>
    <w:tmpl w:val="FFFFFFFF"/>
    <w:lvl w:ilvl="0" w:tplc="A6EADAF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3EE11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68F88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A4CEB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B8148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44E30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8C6BC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BCBAC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F848A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18B4DE0"/>
    <w:multiLevelType w:val="hybridMultilevel"/>
    <w:tmpl w:val="FFFFFFFF"/>
    <w:lvl w:ilvl="0" w:tplc="8DA45C4E">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5EA7D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68573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EABC5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3E9C7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CE7C0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86BC2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16C58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38BC6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21522096">
    <w:abstractNumId w:val="1"/>
  </w:num>
  <w:num w:numId="2" w16cid:durableId="753622498">
    <w:abstractNumId w:val="0"/>
  </w:num>
  <w:num w:numId="3" w16cid:durableId="1331374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E12"/>
    <w:rsid w:val="00033E12"/>
    <w:rsid w:val="00187556"/>
    <w:rsid w:val="002D4A9A"/>
    <w:rsid w:val="0049639E"/>
    <w:rsid w:val="00953A2E"/>
    <w:rsid w:val="00D37AE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2B207"/>
  <w15:docId w15:val="{32A9B231-1BEF-0148-8D76-65F4784D4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W"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358" w:lineRule="auto"/>
      <w:ind w:left="10" w:hanging="10"/>
      <w:jc w:val="both"/>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113" w:line="259" w:lineRule="auto"/>
      <w:ind w:left="10" w:hanging="10"/>
      <w:outlineLvl w:val="0"/>
    </w:pPr>
    <w:rPr>
      <w:rFonts w:ascii="Times New Roman" w:eastAsia="Times New Roman" w:hAnsi="Times New Roman" w:cs="Times New Roman"/>
      <w:b/>
      <w:color w:val="000000"/>
      <w:u w:val="single" w:color="000000"/>
    </w:rPr>
  </w:style>
  <w:style w:type="paragraph" w:styleId="Heading2">
    <w:name w:val="heading 2"/>
    <w:next w:val="Normal"/>
    <w:link w:val="Heading2Char"/>
    <w:uiPriority w:val="9"/>
    <w:unhideWhenUsed/>
    <w:qFormat/>
    <w:pPr>
      <w:keepNext/>
      <w:keepLines/>
      <w:spacing w:after="3" w:line="259" w:lineRule="auto"/>
      <w:ind w:left="10" w:hanging="10"/>
      <w:jc w:val="both"/>
      <w:outlineLvl w:val="1"/>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 w:type="character" w:customStyle="1" w:styleId="Heading2Char">
    <w:name w:val="Heading 2 Char"/>
    <w:link w:val="Heading2"/>
    <w:rPr>
      <w:rFonts w:ascii="Times New Roman" w:eastAsia="Times New Roman" w:hAnsi="Times New Roman" w:cs="Times New Roman"/>
      <w:b/>
      <w:color w:val="000000"/>
      <w:sz w:val="24"/>
    </w:rPr>
  </w:style>
  <w:style w:type="paragraph" w:styleId="Footer">
    <w:name w:val="footer"/>
    <w:basedOn w:val="Normal"/>
    <w:link w:val="FooterChar"/>
    <w:uiPriority w:val="99"/>
    <w:unhideWhenUsed/>
    <w:rsid w:val="002D4A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4A9A"/>
    <w:rPr>
      <w:rFonts w:ascii="Times New Roman" w:eastAsia="Times New Roman" w:hAnsi="Times New Roman" w:cs="Times New Roman"/>
      <w:color w:val="000000"/>
      <w:lang w:val="en" w:eastAsi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2935</Words>
  <Characters>16732</Characters>
  <Application>Microsoft Office Word</Application>
  <DocSecurity>0</DocSecurity>
  <Lines>139</Lines>
  <Paragraphs>39</Paragraphs>
  <ScaleCrop>false</ScaleCrop>
  <Company/>
  <LinksUpToDate>false</LinksUpToDate>
  <CharactersWithSpaces>19628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cp:lastModifiedBy>RESEARCHER</cp:lastModifiedBy>
  <cp:revision>2</cp:revision>
  <dcterms:created xsi:type="dcterms:W3CDTF">2026-06-12T11:07:00Z</dcterms:created>
  <dcterms:modified xsi:type="dcterms:W3CDTF">2026-06-12T11:07:00Z</dcterms:modified>
</cp:coreProperties>
</file>