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A33" w:rsidRDefault="006B6B22" w:rsidP="006B6B22">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THE SHERIFF FOR ZIMBABWE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APPLICANT</w:t>
      </w:r>
    </w:p>
    <w:p w:rsidR="006B6B22" w:rsidRDefault="006B6B22" w:rsidP="006B6B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6B6B22" w:rsidRDefault="006B6B22" w:rsidP="006B6B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PARKLANE BUTCHERY (1973) (PVT) LTD</w:t>
      </w:r>
      <w:r>
        <w:rPr>
          <w:rFonts w:ascii="Times New Roman" w:hAnsi="Times New Roman" w:cs="Times New Roman"/>
          <w:sz w:val="24"/>
          <w:szCs w:val="24"/>
        </w:rPr>
        <w:tab/>
      </w:r>
      <w:r>
        <w:rPr>
          <w:rFonts w:ascii="Times New Roman" w:hAnsi="Times New Roman" w:cs="Times New Roman"/>
          <w:sz w:val="24"/>
          <w:szCs w:val="24"/>
        </w:rPr>
        <w:tab/>
        <w:t>CLAIMANT</w:t>
      </w:r>
    </w:p>
    <w:p w:rsidR="006B6B22" w:rsidRDefault="006B6B22" w:rsidP="006B6B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6B6B22" w:rsidRDefault="006B6B22" w:rsidP="006B6B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WILLDALE LIMITED t/a</w:t>
      </w:r>
    </w:p>
    <w:p w:rsidR="006B6B22" w:rsidRDefault="006B6B22" w:rsidP="006B6B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WILLDALE BRICKS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JUDGMENT CREDITOR</w:t>
      </w:r>
    </w:p>
    <w:p w:rsidR="006B6B22" w:rsidRDefault="006B6B22" w:rsidP="006B6B22">
      <w:pPr>
        <w:spacing w:after="0" w:line="240" w:lineRule="auto"/>
        <w:jc w:val="both"/>
        <w:rPr>
          <w:rFonts w:ascii="Times New Roman" w:hAnsi="Times New Roman" w:cs="Times New Roman"/>
          <w:sz w:val="24"/>
          <w:szCs w:val="24"/>
        </w:rPr>
      </w:pPr>
    </w:p>
    <w:p w:rsidR="006B6B22" w:rsidRDefault="006B6B22" w:rsidP="006B6B22">
      <w:pPr>
        <w:spacing w:after="0" w:line="240" w:lineRule="auto"/>
        <w:jc w:val="both"/>
        <w:rPr>
          <w:rFonts w:ascii="Times New Roman" w:hAnsi="Times New Roman" w:cs="Times New Roman"/>
          <w:sz w:val="24"/>
          <w:szCs w:val="24"/>
        </w:rPr>
      </w:pPr>
    </w:p>
    <w:p w:rsidR="006B6B22" w:rsidRDefault="006B6B22" w:rsidP="006B6B22">
      <w:pPr>
        <w:spacing w:after="0" w:line="240" w:lineRule="auto"/>
        <w:jc w:val="both"/>
        <w:rPr>
          <w:rFonts w:ascii="Times New Roman" w:hAnsi="Times New Roman" w:cs="Times New Roman"/>
          <w:sz w:val="24"/>
          <w:szCs w:val="24"/>
        </w:rPr>
      </w:pPr>
    </w:p>
    <w:p w:rsidR="006B6B22" w:rsidRDefault="006B6B22" w:rsidP="006B6B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6B6B22" w:rsidRDefault="006B6B22" w:rsidP="006B6B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CHITAPI J</w:t>
      </w:r>
    </w:p>
    <w:p w:rsidR="006B6B22" w:rsidRDefault="006B6B22" w:rsidP="006B6B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HARARE, 17 August, 2017 and </w:t>
      </w:r>
      <w:r w:rsidR="00397BCF">
        <w:rPr>
          <w:rFonts w:ascii="Times New Roman" w:hAnsi="Times New Roman" w:cs="Times New Roman"/>
          <w:sz w:val="24"/>
          <w:szCs w:val="24"/>
        </w:rPr>
        <w:t>29 August, 2018</w:t>
      </w:r>
    </w:p>
    <w:p w:rsidR="006B6B22" w:rsidRDefault="006B6B22" w:rsidP="006B6B22">
      <w:pPr>
        <w:spacing w:after="0" w:line="240" w:lineRule="auto"/>
        <w:jc w:val="both"/>
        <w:rPr>
          <w:rFonts w:ascii="Times New Roman" w:hAnsi="Times New Roman" w:cs="Times New Roman"/>
          <w:sz w:val="24"/>
          <w:szCs w:val="24"/>
        </w:rPr>
      </w:pPr>
    </w:p>
    <w:p w:rsidR="006B6B22" w:rsidRDefault="006B6B22" w:rsidP="006B6B22">
      <w:pPr>
        <w:spacing w:after="0" w:line="240" w:lineRule="auto"/>
        <w:jc w:val="both"/>
        <w:rPr>
          <w:rFonts w:ascii="Times New Roman" w:hAnsi="Times New Roman" w:cs="Times New Roman"/>
          <w:sz w:val="24"/>
          <w:szCs w:val="24"/>
        </w:rPr>
      </w:pPr>
    </w:p>
    <w:p w:rsidR="006B6B22" w:rsidRDefault="006B6B22" w:rsidP="006B6B2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Opposed Application</w:t>
      </w:r>
    </w:p>
    <w:p w:rsidR="006B6B22" w:rsidRDefault="006B6B22" w:rsidP="006B6B22">
      <w:pPr>
        <w:spacing w:after="0" w:line="240" w:lineRule="auto"/>
        <w:jc w:val="both"/>
        <w:rPr>
          <w:rFonts w:ascii="Times New Roman" w:hAnsi="Times New Roman" w:cs="Times New Roman"/>
          <w:b/>
          <w:sz w:val="24"/>
          <w:szCs w:val="24"/>
        </w:rPr>
      </w:pPr>
    </w:p>
    <w:p w:rsidR="006B6B22" w:rsidRDefault="006B6B22" w:rsidP="006B6B22">
      <w:pPr>
        <w:spacing w:after="0" w:line="240" w:lineRule="auto"/>
        <w:jc w:val="both"/>
        <w:rPr>
          <w:rFonts w:ascii="Times New Roman" w:hAnsi="Times New Roman" w:cs="Times New Roman"/>
          <w:b/>
          <w:sz w:val="24"/>
          <w:szCs w:val="24"/>
        </w:rPr>
      </w:pPr>
    </w:p>
    <w:p w:rsidR="006B6B22" w:rsidRDefault="006B6B22" w:rsidP="006B6B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 appearance for applicant</w:t>
      </w:r>
    </w:p>
    <w:p w:rsidR="006B6B22" w:rsidRDefault="006B6B22" w:rsidP="006B6B22">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D. Sanhanga, </w:t>
      </w:r>
      <w:r w:rsidRPr="006B6B22">
        <w:rPr>
          <w:rFonts w:ascii="Times New Roman" w:hAnsi="Times New Roman" w:cs="Times New Roman"/>
          <w:sz w:val="24"/>
          <w:szCs w:val="24"/>
        </w:rPr>
        <w:t>for</w:t>
      </w:r>
      <w:r>
        <w:rPr>
          <w:rFonts w:ascii="Times New Roman" w:hAnsi="Times New Roman" w:cs="Times New Roman"/>
          <w:i/>
          <w:sz w:val="24"/>
          <w:szCs w:val="24"/>
        </w:rPr>
        <w:t xml:space="preserve"> </w:t>
      </w:r>
      <w:r>
        <w:rPr>
          <w:rFonts w:ascii="Times New Roman" w:hAnsi="Times New Roman" w:cs="Times New Roman"/>
          <w:sz w:val="24"/>
          <w:szCs w:val="24"/>
        </w:rPr>
        <w:t>Claimant</w:t>
      </w:r>
    </w:p>
    <w:p w:rsidR="006B6B22" w:rsidRDefault="006B6B22" w:rsidP="006B6B22">
      <w:pPr>
        <w:spacing w:after="0" w:line="240" w:lineRule="auto"/>
        <w:jc w:val="both"/>
        <w:rPr>
          <w:rFonts w:ascii="Times New Roman" w:hAnsi="Times New Roman" w:cs="Times New Roman"/>
          <w:sz w:val="24"/>
          <w:szCs w:val="24"/>
        </w:rPr>
      </w:pPr>
      <w:r w:rsidRPr="006B6B22">
        <w:rPr>
          <w:rFonts w:ascii="Times New Roman" w:hAnsi="Times New Roman" w:cs="Times New Roman"/>
          <w:i/>
          <w:sz w:val="24"/>
          <w:szCs w:val="24"/>
        </w:rPr>
        <w:t>F. Mukwehwa</w:t>
      </w:r>
      <w:r>
        <w:rPr>
          <w:rFonts w:ascii="Times New Roman" w:hAnsi="Times New Roman" w:cs="Times New Roman"/>
          <w:sz w:val="24"/>
          <w:szCs w:val="24"/>
        </w:rPr>
        <w:t xml:space="preserve">, for Judgment Creditor </w:t>
      </w:r>
    </w:p>
    <w:p w:rsidR="006B6B22" w:rsidRDefault="006B6B22" w:rsidP="006B6B22">
      <w:pPr>
        <w:spacing w:after="0" w:line="240" w:lineRule="auto"/>
        <w:jc w:val="both"/>
        <w:rPr>
          <w:rFonts w:ascii="Times New Roman" w:hAnsi="Times New Roman" w:cs="Times New Roman"/>
          <w:sz w:val="24"/>
          <w:szCs w:val="24"/>
        </w:rPr>
      </w:pPr>
    </w:p>
    <w:p w:rsidR="006B6B22" w:rsidRDefault="006B6B22" w:rsidP="006B6B22">
      <w:pPr>
        <w:spacing w:after="0" w:line="240" w:lineRule="auto"/>
        <w:jc w:val="both"/>
        <w:rPr>
          <w:rFonts w:ascii="Times New Roman" w:hAnsi="Times New Roman" w:cs="Times New Roman"/>
          <w:sz w:val="24"/>
          <w:szCs w:val="24"/>
        </w:rPr>
      </w:pPr>
    </w:p>
    <w:p w:rsidR="00313D87" w:rsidRDefault="006B6B22" w:rsidP="006B6B2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CHITAPI J: I reserved judgment after hearing argument in this application on 17 August, 2017. There has been a delay in the delivery of judgment owing to the fact that I am assigned to the Criminal Division. This and other applications were allocated t</w:t>
      </w:r>
      <w:r w:rsidR="00710E1B">
        <w:rPr>
          <w:rFonts w:ascii="Times New Roman" w:hAnsi="Times New Roman" w:cs="Times New Roman"/>
          <w:sz w:val="24"/>
          <w:szCs w:val="24"/>
        </w:rPr>
        <w:t>o</w:t>
      </w:r>
      <w:r>
        <w:rPr>
          <w:rFonts w:ascii="Times New Roman" w:hAnsi="Times New Roman" w:cs="Times New Roman"/>
          <w:sz w:val="24"/>
          <w:szCs w:val="24"/>
        </w:rPr>
        <w:t xml:space="preserve"> judges by the Judge President irrespective of whatever </w:t>
      </w:r>
      <w:r w:rsidR="00710E1B">
        <w:rPr>
          <w:rFonts w:ascii="Times New Roman" w:hAnsi="Times New Roman" w:cs="Times New Roman"/>
          <w:sz w:val="24"/>
          <w:szCs w:val="24"/>
        </w:rPr>
        <w:t>D</w:t>
      </w:r>
      <w:r>
        <w:rPr>
          <w:rFonts w:ascii="Times New Roman" w:hAnsi="Times New Roman" w:cs="Times New Roman"/>
          <w:sz w:val="24"/>
          <w:szCs w:val="24"/>
        </w:rPr>
        <w:t>ivision they were assigned to as a measure to mitigate the large backlog of civil applications pending in this court. Judges had to find a way of accommodating the extra work without compromising their usual court rolls. I heard this matter at 9.00 am before retiring to chambers to change robs and continue with my criminal court scheduled work set down for 10.00 am. Regrettably, the criminal case</w:t>
      </w:r>
      <w:r w:rsidR="00710E1B">
        <w:rPr>
          <w:rFonts w:ascii="Times New Roman" w:hAnsi="Times New Roman" w:cs="Times New Roman"/>
          <w:sz w:val="24"/>
          <w:szCs w:val="24"/>
        </w:rPr>
        <w:t xml:space="preserve"> roll has</w:t>
      </w:r>
      <w:r>
        <w:rPr>
          <w:rFonts w:ascii="Times New Roman" w:hAnsi="Times New Roman" w:cs="Times New Roman"/>
          <w:sz w:val="24"/>
          <w:szCs w:val="24"/>
        </w:rPr>
        <w:t xml:space="preserve"> left me with little time to juggle between contending with the work assigned from the </w:t>
      </w:r>
      <w:r w:rsidR="00710E1B">
        <w:rPr>
          <w:rFonts w:ascii="Times New Roman" w:hAnsi="Times New Roman" w:cs="Times New Roman"/>
          <w:sz w:val="24"/>
          <w:szCs w:val="24"/>
        </w:rPr>
        <w:t>C</w:t>
      </w:r>
      <w:r>
        <w:rPr>
          <w:rFonts w:ascii="Times New Roman" w:hAnsi="Times New Roman" w:cs="Times New Roman"/>
          <w:sz w:val="24"/>
          <w:szCs w:val="24"/>
        </w:rPr>
        <w:t xml:space="preserve">ivil </w:t>
      </w:r>
      <w:r w:rsidR="00710E1B">
        <w:rPr>
          <w:rFonts w:ascii="Times New Roman" w:hAnsi="Times New Roman" w:cs="Times New Roman"/>
          <w:sz w:val="24"/>
          <w:szCs w:val="24"/>
        </w:rPr>
        <w:t>D</w:t>
      </w:r>
      <w:r>
        <w:rPr>
          <w:rFonts w:ascii="Times New Roman" w:hAnsi="Times New Roman" w:cs="Times New Roman"/>
          <w:sz w:val="24"/>
          <w:szCs w:val="24"/>
        </w:rPr>
        <w:t xml:space="preserve">ivision and the </w:t>
      </w:r>
      <w:r w:rsidR="00710E1B">
        <w:rPr>
          <w:rFonts w:ascii="Times New Roman" w:hAnsi="Times New Roman" w:cs="Times New Roman"/>
          <w:sz w:val="24"/>
          <w:szCs w:val="24"/>
        </w:rPr>
        <w:t>C</w:t>
      </w:r>
      <w:r>
        <w:rPr>
          <w:rFonts w:ascii="Times New Roman" w:hAnsi="Times New Roman" w:cs="Times New Roman"/>
          <w:sz w:val="24"/>
          <w:szCs w:val="24"/>
        </w:rPr>
        <w:t xml:space="preserve">riminal </w:t>
      </w:r>
      <w:r w:rsidR="00710E1B">
        <w:rPr>
          <w:rFonts w:ascii="Times New Roman" w:hAnsi="Times New Roman" w:cs="Times New Roman"/>
          <w:sz w:val="24"/>
          <w:szCs w:val="24"/>
        </w:rPr>
        <w:t>C</w:t>
      </w:r>
      <w:r>
        <w:rPr>
          <w:rFonts w:ascii="Times New Roman" w:hAnsi="Times New Roman" w:cs="Times New Roman"/>
          <w:sz w:val="24"/>
          <w:szCs w:val="24"/>
        </w:rPr>
        <w:t>ourt. T</w:t>
      </w:r>
      <w:r w:rsidR="00710E1B">
        <w:rPr>
          <w:rFonts w:ascii="Times New Roman" w:hAnsi="Times New Roman" w:cs="Times New Roman"/>
          <w:sz w:val="24"/>
          <w:szCs w:val="24"/>
        </w:rPr>
        <w:t>o</w:t>
      </w:r>
      <w:r>
        <w:rPr>
          <w:rFonts w:ascii="Times New Roman" w:hAnsi="Times New Roman" w:cs="Times New Roman"/>
          <w:sz w:val="24"/>
          <w:szCs w:val="24"/>
        </w:rPr>
        <w:t xml:space="preserve"> this end</w:t>
      </w:r>
      <w:r w:rsidR="00710E1B">
        <w:rPr>
          <w:rFonts w:ascii="Times New Roman" w:hAnsi="Times New Roman" w:cs="Times New Roman"/>
          <w:sz w:val="24"/>
          <w:szCs w:val="24"/>
        </w:rPr>
        <w:t>,</w:t>
      </w:r>
      <w:r>
        <w:rPr>
          <w:rFonts w:ascii="Times New Roman" w:hAnsi="Times New Roman" w:cs="Times New Roman"/>
          <w:sz w:val="24"/>
          <w:szCs w:val="24"/>
        </w:rPr>
        <w:t xml:space="preserve"> the several follow letters on the</w:t>
      </w:r>
      <w:r w:rsidR="00710E1B">
        <w:rPr>
          <w:rFonts w:ascii="Times New Roman" w:hAnsi="Times New Roman" w:cs="Times New Roman"/>
          <w:sz w:val="24"/>
          <w:szCs w:val="24"/>
        </w:rPr>
        <w:t xml:space="preserve"> delivery of</w:t>
      </w:r>
      <w:r>
        <w:rPr>
          <w:rFonts w:ascii="Times New Roman" w:hAnsi="Times New Roman" w:cs="Times New Roman"/>
          <w:sz w:val="24"/>
          <w:szCs w:val="24"/>
        </w:rPr>
        <w:t xml:space="preserve"> judgment which were written by the applicant’s legal practitioners are acknowledged. The applicant is accordingly advised on the cause for the delay as above.</w:t>
      </w:r>
      <w:r w:rsidR="00710E1B">
        <w:rPr>
          <w:rFonts w:ascii="Times New Roman" w:hAnsi="Times New Roman" w:cs="Times New Roman"/>
          <w:sz w:val="24"/>
          <w:szCs w:val="24"/>
        </w:rPr>
        <w:t xml:space="preserve"> I turn to the merits of the application.</w:t>
      </w:r>
    </w:p>
    <w:p w:rsidR="00172F9F" w:rsidRDefault="00313D87" w:rsidP="006B6B2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applicant in the discharge of his duties attached in execution of a judgment of this court in</w:t>
      </w:r>
      <w:r w:rsidR="00710E1B">
        <w:rPr>
          <w:rFonts w:ascii="Times New Roman" w:hAnsi="Times New Roman" w:cs="Times New Roman"/>
          <w:sz w:val="24"/>
          <w:szCs w:val="24"/>
        </w:rPr>
        <w:t xml:space="preserve"> case No. 11096/14</w:t>
      </w:r>
      <w:r>
        <w:rPr>
          <w:rFonts w:ascii="Times New Roman" w:hAnsi="Times New Roman" w:cs="Times New Roman"/>
          <w:sz w:val="24"/>
          <w:szCs w:val="24"/>
        </w:rPr>
        <w:t xml:space="preserve"> granted in favour of the judgment creditor against Freewin Investments (Private) Limited, the judgment creditor. The applicant duly instructed by the judgment creditor, placed under attachment</w:t>
      </w:r>
      <w:r w:rsidR="00172F9F">
        <w:rPr>
          <w:rFonts w:ascii="Times New Roman" w:hAnsi="Times New Roman" w:cs="Times New Roman"/>
          <w:sz w:val="24"/>
          <w:szCs w:val="24"/>
        </w:rPr>
        <w:t xml:space="preserve"> two immovable properties described in the notice of attachment as:</w:t>
      </w:r>
    </w:p>
    <w:p w:rsidR="00172F9F" w:rsidRDefault="00172F9F" w:rsidP="006B6B2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w:t>
      </w:r>
      <w:r>
        <w:rPr>
          <w:rFonts w:ascii="Times New Roman" w:hAnsi="Times New Roman" w:cs="Times New Roman"/>
          <w:sz w:val="24"/>
          <w:szCs w:val="24"/>
        </w:rPr>
        <w:tab/>
        <w:t>an undivided 2,38095238</w:t>
      </w:r>
      <w:r w:rsidR="00710E1B">
        <w:rPr>
          <w:rFonts w:ascii="Times New Roman" w:hAnsi="Times New Roman" w:cs="Times New Roman"/>
          <w:sz w:val="24"/>
          <w:szCs w:val="24"/>
        </w:rPr>
        <w:t>1</w:t>
      </w:r>
      <w:r>
        <w:rPr>
          <w:rFonts w:ascii="Times New Roman" w:hAnsi="Times New Roman" w:cs="Times New Roman"/>
          <w:sz w:val="24"/>
          <w:szCs w:val="24"/>
        </w:rPr>
        <w:t xml:space="preserve"> % share being share No. 4 in a certain piece of land </w:t>
      </w:r>
    </w:p>
    <w:p w:rsidR="00172F9F" w:rsidRDefault="00172F9F" w:rsidP="00172F9F">
      <w:pPr>
        <w:spacing w:after="0" w:line="360" w:lineRule="auto"/>
        <w:ind w:left="1440"/>
        <w:jc w:val="both"/>
        <w:rPr>
          <w:rFonts w:ascii="Times New Roman" w:hAnsi="Times New Roman" w:cs="Times New Roman"/>
          <w:sz w:val="24"/>
          <w:szCs w:val="24"/>
        </w:rPr>
      </w:pPr>
      <w:r>
        <w:rPr>
          <w:rFonts w:ascii="Times New Roman" w:hAnsi="Times New Roman" w:cs="Times New Roman"/>
          <w:sz w:val="24"/>
          <w:szCs w:val="24"/>
        </w:rPr>
        <w:lastRenderedPageBreak/>
        <w:t>situate in the district of Salisbury called the Remainder of Stand 3084 Glen Lorne Township measuring 9500 square metres.</w:t>
      </w:r>
    </w:p>
    <w:p w:rsidR="00172F9F" w:rsidRDefault="00172F9F" w:rsidP="00172F9F">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certain piece of land situate in the district of Salisbury measuring 4315 square metres called stand 4056 Glen Lorne Township of Stand 3084 Glen Lorne Township</w:t>
      </w:r>
      <w:r w:rsidR="00AD46C5">
        <w:rPr>
          <w:rFonts w:ascii="Times New Roman" w:hAnsi="Times New Roman" w:cs="Times New Roman"/>
          <w:sz w:val="24"/>
          <w:szCs w:val="24"/>
        </w:rPr>
        <w:t>.</w:t>
      </w:r>
    </w:p>
    <w:p w:rsidR="00AD46C5" w:rsidRDefault="00AD46C5" w:rsidP="00172F9F">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 xml:space="preserve">The property was placed under attachment on 26 July, 2016. A caveat number 341/16 </w:t>
      </w:r>
    </w:p>
    <w:p w:rsidR="00AD46C5" w:rsidRDefault="00AD46C5" w:rsidP="00AD46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was noted over the properties by the Registrar of Deeds as per procedure following attachment of registered property.</w:t>
      </w:r>
    </w:p>
    <w:p w:rsidR="0020026E" w:rsidRDefault="0020026E" w:rsidP="00AD46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further details on the background to the attachment was that the judgment creditor wanted to have the property sold so that it would recover $74 700-00 with interest and other charges as per the judgment of this court entered in favour of the judgment creditor against the judgment debtor on 25 February, 2015.</w:t>
      </w:r>
    </w:p>
    <w:p w:rsidR="005A0140" w:rsidRDefault="005A0140" w:rsidP="00AD46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Following the attachment aforesaid, the claimant laid claim to part of the attached property. The claimant filed with the applicant, an affidavit on 5 October, 2016 in which it averred that it held a 10% share in the property described in the second property as described in (b) above. The claimant averred that the 10% share was represented by a garden flat, No 7, held under a certificate of registered title no. 1043/2016.</w:t>
      </w:r>
    </w:p>
    <w:p w:rsidR="00B8479E" w:rsidRDefault="005A0140" w:rsidP="00AD46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Faced with the adverse, claim, the applicant issued interpleader pleadings under order 30 r 205 as read with r 207 of the High Court Rul</w:t>
      </w:r>
      <w:r w:rsidR="008404B8">
        <w:rPr>
          <w:rFonts w:ascii="Times New Roman" w:hAnsi="Times New Roman" w:cs="Times New Roman"/>
          <w:sz w:val="24"/>
          <w:szCs w:val="24"/>
        </w:rPr>
        <w:t>es</w:t>
      </w:r>
      <w:r>
        <w:rPr>
          <w:rFonts w:ascii="Times New Roman" w:hAnsi="Times New Roman" w:cs="Times New Roman"/>
          <w:sz w:val="24"/>
          <w:szCs w:val="24"/>
        </w:rPr>
        <w:t xml:space="preserve"> 1971. In the interpleader, the applicant petitions this court to make a determination on the validity of the claim made by the claimant</w:t>
      </w:r>
      <w:r w:rsidR="00710E1B">
        <w:rPr>
          <w:rFonts w:ascii="Times New Roman" w:hAnsi="Times New Roman" w:cs="Times New Roman"/>
          <w:sz w:val="24"/>
          <w:szCs w:val="24"/>
        </w:rPr>
        <w:t>. The applicant also prays</w:t>
      </w:r>
      <w:r>
        <w:rPr>
          <w:rFonts w:ascii="Times New Roman" w:hAnsi="Times New Roman" w:cs="Times New Roman"/>
          <w:sz w:val="24"/>
          <w:szCs w:val="24"/>
        </w:rPr>
        <w:t xml:space="preserve"> for his costs incurred in making the application. </w:t>
      </w:r>
    </w:p>
    <w:p w:rsidR="002E67F5" w:rsidRDefault="00B8479E" w:rsidP="00AD46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further amplification of its claim, the claimant averred that it purchased the property in dispute from the judgment </w:t>
      </w:r>
      <w:r w:rsidR="002E67F5">
        <w:rPr>
          <w:rFonts w:ascii="Times New Roman" w:hAnsi="Times New Roman" w:cs="Times New Roman"/>
          <w:sz w:val="24"/>
          <w:szCs w:val="24"/>
        </w:rPr>
        <w:t>creditor and paid the full purchase. Additionally the claimant averred that it took occupation of the property and was awaiting transfer to it to be conveyance</w:t>
      </w:r>
      <w:r w:rsidR="00710E1B">
        <w:rPr>
          <w:rFonts w:ascii="Times New Roman" w:hAnsi="Times New Roman" w:cs="Times New Roman"/>
          <w:sz w:val="24"/>
          <w:szCs w:val="24"/>
        </w:rPr>
        <w:t>d</w:t>
      </w:r>
      <w:r w:rsidR="002E67F5">
        <w:rPr>
          <w:rFonts w:ascii="Times New Roman" w:hAnsi="Times New Roman" w:cs="Times New Roman"/>
          <w:sz w:val="24"/>
          <w:szCs w:val="24"/>
        </w:rPr>
        <w:t xml:space="preserve"> at the time that the attachment was effected by the applicant. The claimant deposed that the property in issue is held under a separate certificate of title from the </w:t>
      </w:r>
      <w:r w:rsidR="00710E1B">
        <w:rPr>
          <w:rFonts w:ascii="Times New Roman" w:hAnsi="Times New Roman" w:cs="Times New Roman"/>
          <w:sz w:val="24"/>
          <w:szCs w:val="24"/>
        </w:rPr>
        <w:t>parent deed</w:t>
      </w:r>
      <w:r w:rsidR="002E67F5">
        <w:rPr>
          <w:rFonts w:ascii="Times New Roman" w:hAnsi="Times New Roman" w:cs="Times New Roman"/>
          <w:sz w:val="24"/>
          <w:szCs w:val="24"/>
        </w:rPr>
        <w:t>. The claimant attached to its affidavit a certificate of registered title no. 1043/16 dated 29 February, 201</w:t>
      </w:r>
      <w:r w:rsidR="00710E1B">
        <w:rPr>
          <w:rFonts w:ascii="Times New Roman" w:hAnsi="Times New Roman" w:cs="Times New Roman"/>
          <w:sz w:val="24"/>
          <w:szCs w:val="24"/>
        </w:rPr>
        <w:t>5</w:t>
      </w:r>
      <w:r w:rsidR="002E67F5">
        <w:rPr>
          <w:rFonts w:ascii="Times New Roman" w:hAnsi="Times New Roman" w:cs="Times New Roman"/>
          <w:sz w:val="24"/>
          <w:szCs w:val="24"/>
        </w:rPr>
        <w:t>. The certificate is issued in terms of s 41 of the Deeds Registries Act, [</w:t>
      </w:r>
      <w:r w:rsidR="002E67F5">
        <w:rPr>
          <w:rFonts w:ascii="Times New Roman" w:hAnsi="Times New Roman" w:cs="Times New Roman"/>
          <w:i/>
          <w:sz w:val="24"/>
          <w:szCs w:val="24"/>
        </w:rPr>
        <w:t>Chapter 20:05</w:t>
      </w:r>
      <w:r w:rsidR="002E67F5">
        <w:rPr>
          <w:rFonts w:ascii="Times New Roman" w:hAnsi="Times New Roman" w:cs="Times New Roman"/>
          <w:sz w:val="24"/>
          <w:szCs w:val="24"/>
        </w:rPr>
        <w:t xml:space="preserve">]. </w:t>
      </w:r>
    </w:p>
    <w:p w:rsidR="0058131A" w:rsidRDefault="0058131A" w:rsidP="00AD46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 certificate of registered</w:t>
      </w:r>
      <w:r w:rsidR="00710E1B">
        <w:rPr>
          <w:rFonts w:ascii="Times New Roman" w:hAnsi="Times New Roman" w:cs="Times New Roman"/>
          <w:sz w:val="24"/>
          <w:szCs w:val="24"/>
        </w:rPr>
        <w:t xml:space="preserve"> title</w:t>
      </w:r>
      <w:r>
        <w:rPr>
          <w:rFonts w:ascii="Times New Roman" w:hAnsi="Times New Roman" w:cs="Times New Roman"/>
          <w:sz w:val="24"/>
          <w:szCs w:val="24"/>
        </w:rPr>
        <w:t xml:space="preserve"> is issued to and upon the application of the owner of land who has surveyed a piece of land and wishes to detach the surveyed </w:t>
      </w:r>
      <w:r w:rsidR="00710E1B">
        <w:rPr>
          <w:rFonts w:ascii="Times New Roman" w:hAnsi="Times New Roman" w:cs="Times New Roman"/>
          <w:sz w:val="24"/>
          <w:szCs w:val="24"/>
        </w:rPr>
        <w:t>portion</w:t>
      </w:r>
      <w:r>
        <w:rPr>
          <w:rFonts w:ascii="Times New Roman" w:hAnsi="Times New Roman" w:cs="Times New Roman"/>
          <w:sz w:val="24"/>
          <w:szCs w:val="24"/>
        </w:rPr>
        <w:t xml:space="preserve"> from the parent deed. The owner can deal in the detached </w:t>
      </w:r>
      <w:r w:rsidR="00710E1B">
        <w:rPr>
          <w:rFonts w:ascii="Times New Roman" w:hAnsi="Times New Roman" w:cs="Times New Roman"/>
          <w:sz w:val="24"/>
          <w:szCs w:val="24"/>
        </w:rPr>
        <w:t>portion</w:t>
      </w:r>
      <w:r>
        <w:rPr>
          <w:rFonts w:ascii="Times New Roman" w:hAnsi="Times New Roman" w:cs="Times New Roman"/>
          <w:sz w:val="24"/>
          <w:szCs w:val="24"/>
        </w:rPr>
        <w:t xml:space="preserve"> separately from the rest of the land of which the portion was part including </w:t>
      </w:r>
      <w:r w:rsidRPr="0058131A">
        <w:rPr>
          <w:rFonts w:ascii="Times New Roman" w:hAnsi="Times New Roman" w:cs="Times New Roman"/>
          <w:i/>
          <w:sz w:val="24"/>
          <w:szCs w:val="24"/>
        </w:rPr>
        <w:t>inter alia</w:t>
      </w:r>
      <w:r>
        <w:rPr>
          <w:rFonts w:ascii="Times New Roman" w:hAnsi="Times New Roman" w:cs="Times New Roman"/>
          <w:sz w:val="24"/>
          <w:szCs w:val="24"/>
        </w:rPr>
        <w:t xml:space="preserve"> selling and </w:t>
      </w:r>
      <w:r w:rsidR="00710E1B">
        <w:rPr>
          <w:rFonts w:ascii="Times New Roman" w:hAnsi="Times New Roman" w:cs="Times New Roman"/>
          <w:sz w:val="24"/>
          <w:szCs w:val="24"/>
        </w:rPr>
        <w:t>managing</w:t>
      </w:r>
      <w:r>
        <w:rPr>
          <w:rFonts w:ascii="Times New Roman" w:hAnsi="Times New Roman" w:cs="Times New Roman"/>
          <w:sz w:val="24"/>
          <w:szCs w:val="24"/>
        </w:rPr>
        <w:t xml:space="preserve"> </w:t>
      </w:r>
      <w:r w:rsidR="00710E1B">
        <w:rPr>
          <w:rFonts w:ascii="Times New Roman" w:hAnsi="Times New Roman" w:cs="Times New Roman"/>
          <w:sz w:val="24"/>
          <w:szCs w:val="24"/>
        </w:rPr>
        <w:t>the detached portion separately or as a stand-alone property.</w:t>
      </w:r>
      <w:r>
        <w:rPr>
          <w:rFonts w:ascii="Times New Roman" w:hAnsi="Times New Roman" w:cs="Times New Roman"/>
          <w:sz w:val="24"/>
          <w:szCs w:val="24"/>
        </w:rPr>
        <w:t xml:space="preserve"> Upon registration of the portion, the Registrar of Deeds issues a </w:t>
      </w:r>
      <w:r>
        <w:rPr>
          <w:rFonts w:ascii="Times New Roman" w:hAnsi="Times New Roman" w:cs="Times New Roman"/>
          <w:sz w:val="24"/>
          <w:szCs w:val="24"/>
        </w:rPr>
        <w:lastRenderedPageBreak/>
        <w:t xml:space="preserve">certificate of Registered Title wherein the portion detached is separately described as a portion of the </w:t>
      </w:r>
      <w:r w:rsidR="00710E1B">
        <w:rPr>
          <w:rFonts w:ascii="Times New Roman" w:hAnsi="Times New Roman" w:cs="Times New Roman"/>
          <w:sz w:val="24"/>
          <w:szCs w:val="24"/>
        </w:rPr>
        <w:t>h</w:t>
      </w:r>
      <w:r>
        <w:rPr>
          <w:rFonts w:ascii="Times New Roman" w:hAnsi="Times New Roman" w:cs="Times New Roman"/>
          <w:sz w:val="24"/>
          <w:szCs w:val="24"/>
        </w:rPr>
        <w:t xml:space="preserve">itherto undivided portion. The certificate of registered title involved in this case describes the property as: </w:t>
      </w:r>
    </w:p>
    <w:p w:rsidR="0058131A" w:rsidRDefault="008404B8" w:rsidP="00AD46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w:t>
      </w:r>
      <w:r w:rsidR="0058131A">
        <w:rPr>
          <w:rFonts w:ascii="Times New Roman" w:hAnsi="Times New Roman" w:cs="Times New Roman"/>
          <w:sz w:val="24"/>
          <w:szCs w:val="24"/>
        </w:rPr>
        <w:t>ertain</w:t>
      </w:r>
      <w:r>
        <w:rPr>
          <w:rFonts w:ascii="Times New Roman" w:hAnsi="Times New Roman" w:cs="Times New Roman"/>
          <w:sz w:val="24"/>
          <w:szCs w:val="24"/>
        </w:rPr>
        <w:tab/>
      </w:r>
      <w:r>
        <w:rPr>
          <w:rFonts w:ascii="Times New Roman" w:hAnsi="Times New Roman" w:cs="Times New Roman"/>
          <w:sz w:val="24"/>
          <w:szCs w:val="24"/>
        </w:rPr>
        <w:tab/>
      </w:r>
      <w:r w:rsidR="0058131A">
        <w:rPr>
          <w:rFonts w:ascii="Times New Roman" w:hAnsi="Times New Roman" w:cs="Times New Roman"/>
          <w:sz w:val="24"/>
          <w:szCs w:val="24"/>
        </w:rPr>
        <w:t xml:space="preserve">: piece of land situate in the district of Salisbury </w:t>
      </w:r>
    </w:p>
    <w:p w:rsidR="0058131A" w:rsidRDefault="0058131A" w:rsidP="00AD46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measuring </w:t>
      </w:r>
      <w:r>
        <w:rPr>
          <w:rFonts w:ascii="Times New Roman" w:hAnsi="Times New Roman" w:cs="Times New Roman"/>
          <w:sz w:val="24"/>
          <w:szCs w:val="24"/>
        </w:rPr>
        <w:tab/>
      </w:r>
      <w:r w:rsidR="008404B8">
        <w:rPr>
          <w:rFonts w:ascii="Times New Roman" w:hAnsi="Times New Roman" w:cs="Times New Roman"/>
          <w:sz w:val="24"/>
          <w:szCs w:val="24"/>
        </w:rPr>
        <w:t xml:space="preserve">: </w:t>
      </w:r>
      <w:r>
        <w:rPr>
          <w:rFonts w:ascii="Times New Roman" w:hAnsi="Times New Roman" w:cs="Times New Roman"/>
          <w:sz w:val="24"/>
          <w:szCs w:val="24"/>
        </w:rPr>
        <w:t xml:space="preserve">4315 square metres </w:t>
      </w:r>
    </w:p>
    <w:p w:rsidR="0034227B" w:rsidRDefault="0058131A" w:rsidP="00AD46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called </w:t>
      </w:r>
      <w:r>
        <w:rPr>
          <w:rFonts w:ascii="Times New Roman" w:hAnsi="Times New Roman" w:cs="Times New Roman"/>
          <w:sz w:val="24"/>
          <w:szCs w:val="24"/>
        </w:rPr>
        <w:tab/>
      </w:r>
      <w:r>
        <w:rPr>
          <w:rFonts w:ascii="Times New Roman" w:hAnsi="Times New Roman" w:cs="Times New Roman"/>
          <w:sz w:val="24"/>
          <w:szCs w:val="24"/>
        </w:rPr>
        <w:tab/>
      </w:r>
      <w:r w:rsidR="008404B8">
        <w:rPr>
          <w:rFonts w:ascii="Times New Roman" w:hAnsi="Times New Roman" w:cs="Times New Roman"/>
          <w:sz w:val="24"/>
          <w:szCs w:val="24"/>
        </w:rPr>
        <w:t xml:space="preserve">: </w:t>
      </w:r>
      <w:r>
        <w:rPr>
          <w:rFonts w:ascii="Times New Roman" w:hAnsi="Times New Roman" w:cs="Times New Roman"/>
          <w:sz w:val="24"/>
          <w:szCs w:val="24"/>
        </w:rPr>
        <w:t xml:space="preserve">stand 4056 Glen Lorne Township of stand 3084 Glen Lorne Township </w:t>
      </w:r>
    </w:p>
    <w:p w:rsidR="0034227B" w:rsidRDefault="0034227B" w:rsidP="00AD46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certificate of registered </w:t>
      </w:r>
      <w:r w:rsidR="008404B8">
        <w:rPr>
          <w:rFonts w:ascii="Times New Roman" w:hAnsi="Times New Roman" w:cs="Times New Roman"/>
          <w:sz w:val="24"/>
          <w:szCs w:val="24"/>
        </w:rPr>
        <w:t>title</w:t>
      </w:r>
      <w:r>
        <w:rPr>
          <w:rFonts w:ascii="Times New Roman" w:hAnsi="Times New Roman" w:cs="Times New Roman"/>
          <w:sz w:val="24"/>
          <w:szCs w:val="24"/>
        </w:rPr>
        <w:t xml:space="preserve"> with its separate diagram</w:t>
      </w:r>
      <w:r w:rsidR="00710E1B">
        <w:rPr>
          <w:rFonts w:ascii="Times New Roman" w:hAnsi="Times New Roman" w:cs="Times New Roman"/>
          <w:sz w:val="24"/>
          <w:szCs w:val="24"/>
        </w:rPr>
        <w:t xml:space="preserve"> also informs that</w:t>
      </w:r>
      <w:r>
        <w:rPr>
          <w:rFonts w:ascii="Times New Roman" w:hAnsi="Times New Roman" w:cs="Times New Roman"/>
          <w:sz w:val="24"/>
          <w:szCs w:val="24"/>
        </w:rPr>
        <w:t xml:space="preserve"> the subdivided portion aforesaid was detached from</w:t>
      </w:r>
      <w:r w:rsidR="008404B8">
        <w:rPr>
          <w:rFonts w:ascii="Times New Roman" w:hAnsi="Times New Roman" w:cs="Times New Roman"/>
          <w:sz w:val="24"/>
          <w:szCs w:val="24"/>
        </w:rPr>
        <w:t>:</w:t>
      </w:r>
      <w:r>
        <w:rPr>
          <w:rFonts w:ascii="Times New Roman" w:hAnsi="Times New Roman" w:cs="Times New Roman"/>
          <w:sz w:val="24"/>
          <w:szCs w:val="24"/>
        </w:rPr>
        <w:t xml:space="preserve"> </w:t>
      </w:r>
    </w:p>
    <w:p w:rsidR="0034227B" w:rsidRDefault="008404B8" w:rsidP="00AD46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w:t>
      </w:r>
      <w:r w:rsidR="0034227B">
        <w:rPr>
          <w:rFonts w:ascii="Times New Roman" w:hAnsi="Times New Roman" w:cs="Times New Roman"/>
          <w:sz w:val="24"/>
          <w:szCs w:val="24"/>
        </w:rPr>
        <w:t>ertain</w:t>
      </w:r>
      <w:r w:rsidR="00D22AF6">
        <w:rPr>
          <w:rFonts w:ascii="Times New Roman" w:hAnsi="Times New Roman" w:cs="Times New Roman"/>
          <w:sz w:val="24"/>
          <w:szCs w:val="24"/>
        </w:rPr>
        <w:tab/>
      </w:r>
      <w:r w:rsidR="00D22AF6">
        <w:rPr>
          <w:rFonts w:ascii="Times New Roman" w:hAnsi="Times New Roman" w:cs="Times New Roman"/>
          <w:sz w:val="24"/>
          <w:szCs w:val="24"/>
        </w:rPr>
        <w:tab/>
      </w:r>
      <w:r w:rsidR="0034227B">
        <w:rPr>
          <w:rFonts w:ascii="Times New Roman" w:hAnsi="Times New Roman" w:cs="Times New Roman"/>
          <w:sz w:val="24"/>
          <w:szCs w:val="24"/>
        </w:rPr>
        <w:t>:</w:t>
      </w:r>
      <w:r w:rsidR="00D22AF6">
        <w:rPr>
          <w:rFonts w:ascii="Times New Roman" w:hAnsi="Times New Roman" w:cs="Times New Roman"/>
          <w:sz w:val="24"/>
          <w:szCs w:val="24"/>
        </w:rPr>
        <w:t xml:space="preserve"> </w:t>
      </w:r>
      <w:r w:rsidR="0034227B">
        <w:rPr>
          <w:rFonts w:ascii="Times New Roman" w:hAnsi="Times New Roman" w:cs="Times New Roman"/>
          <w:sz w:val="24"/>
          <w:szCs w:val="24"/>
        </w:rPr>
        <w:t xml:space="preserve">piece of land situate in the district of </w:t>
      </w:r>
      <w:r w:rsidR="00D22AF6">
        <w:rPr>
          <w:rFonts w:ascii="Times New Roman" w:hAnsi="Times New Roman" w:cs="Times New Roman"/>
          <w:sz w:val="24"/>
          <w:szCs w:val="24"/>
        </w:rPr>
        <w:t>Salisbury</w:t>
      </w:r>
    </w:p>
    <w:p w:rsidR="00D22AF6" w:rsidRDefault="008404B8" w:rsidP="00AD46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w:t>
      </w:r>
      <w:r w:rsidR="0034227B">
        <w:rPr>
          <w:rFonts w:ascii="Times New Roman" w:hAnsi="Times New Roman" w:cs="Times New Roman"/>
          <w:sz w:val="24"/>
          <w:szCs w:val="24"/>
        </w:rPr>
        <w:t>easuring</w:t>
      </w:r>
      <w:r w:rsidR="0034227B">
        <w:rPr>
          <w:rFonts w:ascii="Times New Roman" w:hAnsi="Times New Roman" w:cs="Times New Roman"/>
          <w:sz w:val="24"/>
          <w:szCs w:val="24"/>
        </w:rPr>
        <w:tab/>
      </w:r>
      <w:r w:rsidR="00D22AF6">
        <w:rPr>
          <w:rFonts w:ascii="Times New Roman" w:hAnsi="Times New Roman" w:cs="Times New Roman"/>
          <w:sz w:val="24"/>
          <w:szCs w:val="24"/>
        </w:rPr>
        <w:t>: 1,3815 hectares</w:t>
      </w:r>
    </w:p>
    <w:p w:rsidR="00D22AF6" w:rsidRDefault="008404B8" w:rsidP="00AD46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w:t>
      </w:r>
      <w:r w:rsidR="00D22AF6">
        <w:rPr>
          <w:rFonts w:ascii="Times New Roman" w:hAnsi="Times New Roman" w:cs="Times New Roman"/>
          <w:sz w:val="24"/>
          <w:szCs w:val="24"/>
        </w:rPr>
        <w:t>alled</w:t>
      </w:r>
      <w:r w:rsidR="00D22AF6">
        <w:rPr>
          <w:rFonts w:ascii="Times New Roman" w:hAnsi="Times New Roman" w:cs="Times New Roman"/>
          <w:sz w:val="24"/>
          <w:szCs w:val="24"/>
        </w:rPr>
        <w:tab/>
      </w:r>
      <w:r w:rsidR="00D22AF6">
        <w:rPr>
          <w:rFonts w:ascii="Times New Roman" w:hAnsi="Times New Roman" w:cs="Times New Roman"/>
          <w:sz w:val="24"/>
          <w:szCs w:val="24"/>
        </w:rPr>
        <w:tab/>
        <w:t>: Stand 3084 Glen Lorne Township</w:t>
      </w:r>
    </w:p>
    <w:p w:rsidR="00D22AF6" w:rsidRDefault="008404B8" w:rsidP="00AD46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h</w:t>
      </w:r>
      <w:r w:rsidR="00D22AF6">
        <w:rPr>
          <w:rFonts w:ascii="Times New Roman" w:hAnsi="Times New Roman" w:cs="Times New Roman"/>
          <w:sz w:val="24"/>
          <w:szCs w:val="24"/>
        </w:rPr>
        <w:t xml:space="preserve">eld </w:t>
      </w:r>
      <w:r w:rsidR="00D22AF6">
        <w:rPr>
          <w:rFonts w:ascii="Times New Roman" w:hAnsi="Times New Roman" w:cs="Times New Roman"/>
          <w:sz w:val="24"/>
          <w:szCs w:val="24"/>
        </w:rPr>
        <w:tab/>
      </w:r>
      <w:r w:rsidR="00D22AF6">
        <w:rPr>
          <w:rFonts w:ascii="Times New Roman" w:hAnsi="Times New Roman" w:cs="Times New Roman"/>
          <w:sz w:val="24"/>
          <w:szCs w:val="24"/>
        </w:rPr>
        <w:tab/>
        <w:t>: Under Certificate of Consolidated Title No. 2578/13 dated 3 July, 2013.</w:t>
      </w:r>
    </w:p>
    <w:p w:rsidR="00D22AF6" w:rsidRDefault="00D22AF6" w:rsidP="00AD46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Both the parent deed and the detached portion are in the name of the judgment debtor.</w:t>
      </w:r>
    </w:p>
    <w:p w:rsidR="00D22AF6" w:rsidRDefault="00D22AF6" w:rsidP="00AD46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applicant deposed that on taking occupation of the property it assumed al</w:t>
      </w:r>
      <w:r w:rsidR="00710E1B">
        <w:rPr>
          <w:rFonts w:ascii="Times New Roman" w:hAnsi="Times New Roman" w:cs="Times New Roman"/>
          <w:sz w:val="24"/>
          <w:szCs w:val="24"/>
        </w:rPr>
        <w:t>l</w:t>
      </w:r>
      <w:r>
        <w:rPr>
          <w:rFonts w:ascii="Times New Roman" w:hAnsi="Times New Roman" w:cs="Times New Roman"/>
          <w:sz w:val="24"/>
          <w:szCs w:val="24"/>
        </w:rPr>
        <w:t xml:space="preserve"> risk and profit in the property. The claimant averred that transfer to it of the potion was underway. It did not elaborate further on the stages of transfer which had been commenced or </w:t>
      </w:r>
      <w:r w:rsidR="00710E1B">
        <w:rPr>
          <w:rFonts w:ascii="Times New Roman" w:hAnsi="Times New Roman" w:cs="Times New Roman"/>
          <w:sz w:val="24"/>
          <w:szCs w:val="24"/>
        </w:rPr>
        <w:t>was</w:t>
      </w:r>
      <w:r>
        <w:rPr>
          <w:rFonts w:ascii="Times New Roman" w:hAnsi="Times New Roman" w:cs="Times New Roman"/>
          <w:sz w:val="24"/>
          <w:szCs w:val="24"/>
        </w:rPr>
        <w:t xml:space="preserve"> underway. The claimant also attached a copy of the sale agreement between it and the judgment debtor</w:t>
      </w:r>
      <w:r w:rsidR="00710E1B">
        <w:rPr>
          <w:rFonts w:ascii="Times New Roman" w:hAnsi="Times New Roman" w:cs="Times New Roman"/>
          <w:sz w:val="24"/>
          <w:szCs w:val="24"/>
        </w:rPr>
        <w:t xml:space="preserve"> to back up its claim to having purchased the subdivided portion</w:t>
      </w:r>
      <w:r>
        <w:rPr>
          <w:rFonts w:ascii="Times New Roman" w:hAnsi="Times New Roman" w:cs="Times New Roman"/>
          <w:sz w:val="24"/>
          <w:szCs w:val="24"/>
        </w:rPr>
        <w:t>.</w:t>
      </w:r>
    </w:p>
    <w:p w:rsidR="003E4EEB" w:rsidRDefault="00D22AF6" w:rsidP="003E4E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judgment creditor opposes the claimant’s claim and prays that the court should dismiss the challenge and allow the applicant to proceed with execution. </w:t>
      </w:r>
      <w:r w:rsidRPr="003E4EEB">
        <w:rPr>
          <w:rFonts w:ascii="Times New Roman" w:hAnsi="Times New Roman" w:cs="Times New Roman"/>
          <w:sz w:val="24"/>
          <w:szCs w:val="24"/>
        </w:rPr>
        <w:t>The</w:t>
      </w:r>
      <w:r w:rsidRPr="008404B8">
        <w:rPr>
          <w:rFonts w:ascii="Times New Roman" w:hAnsi="Times New Roman" w:cs="Times New Roman"/>
          <w:b/>
          <w:sz w:val="24"/>
          <w:szCs w:val="24"/>
        </w:rPr>
        <w:t xml:space="preserve"> </w:t>
      </w:r>
      <w:r w:rsidR="003E4EEB" w:rsidRPr="003E4EEB">
        <w:rPr>
          <w:rFonts w:ascii="Times New Roman" w:hAnsi="Times New Roman" w:cs="Times New Roman"/>
          <w:sz w:val="24"/>
          <w:szCs w:val="24"/>
        </w:rPr>
        <w:t>ju</w:t>
      </w:r>
      <w:r w:rsidR="003E4EEB">
        <w:rPr>
          <w:rFonts w:ascii="Times New Roman" w:hAnsi="Times New Roman" w:cs="Times New Roman"/>
          <w:sz w:val="24"/>
          <w:szCs w:val="24"/>
        </w:rPr>
        <w:t>dgment creditor does not deny the factual averments by the claimant that it purchased the attached property</w:t>
      </w:r>
      <w:r w:rsidR="00710E1B">
        <w:rPr>
          <w:rFonts w:ascii="Times New Roman" w:hAnsi="Times New Roman" w:cs="Times New Roman"/>
          <w:sz w:val="24"/>
          <w:szCs w:val="24"/>
        </w:rPr>
        <w:t>,</w:t>
      </w:r>
      <w:r w:rsidR="003E4EEB">
        <w:rPr>
          <w:rFonts w:ascii="Times New Roman" w:hAnsi="Times New Roman" w:cs="Times New Roman"/>
          <w:sz w:val="24"/>
          <w:szCs w:val="24"/>
        </w:rPr>
        <w:t xml:space="preserve"> took occupation and that transfer of the property to the claimant is underway. The judgment creditor raised a legal argument that</w:t>
      </w:r>
      <w:r w:rsidR="00710E1B">
        <w:rPr>
          <w:rFonts w:ascii="Times New Roman" w:hAnsi="Times New Roman" w:cs="Times New Roman"/>
          <w:sz w:val="24"/>
          <w:szCs w:val="24"/>
        </w:rPr>
        <w:t>,</w:t>
      </w:r>
      <w:r w:rsidR="003E4EEB">
        <w:rPr>
          <w:rFonts w:ascii="Times New Roman" w:hAnsi="Times New Roman" w:cs="Times New Roman"/>
          <w:sz w:val="24"/>
          <w:szCs w:val="24"/>
        </w:rPr>
        <w:t xml:space="preserve"> until the claimant has taken transfer of the property, its rights in the property are personal as opposed to real. It postulates that the real rights in the property remain with the registered owner of the property. The registered owner of the property after the issue of the certificate of registered little remained the judgment creditor. The claimant according to the judgment creditor, did not have legal title to the property and hence could not ask a court to protect a non-existent tittle or title which was still to come into being.</w:t>
      </w:r>
    </w:p>
    <w:p w:rsidR="003E4EEB" w:rsidRDefault="003E4EEB" w:rsidP="003E4E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addition to the argument of lack of title, the judgment creditor averred that it holds a </w:t>
      </w:r>
      <w:r w:rsidRPr="00263EB7">
        <w:rPr>
          <w:rFonts w:ascii="Times New Roman" w:hAnsi="Times New Roman" w:cs="Times New Roman"/>
          <w:i/>
          <w:sz w:val="24"/>
          <w:szCs w:val="24"/>
        </w:rPr>
        <w:t>pignus judiciale</w:t>
      </w:r>
      <w:r>
        <w:rPr>
          <w:rFonts w:ascii="Times New Roman" w:hAnsi="Times New Roman" w:cs="Times New Roman"/>
          <w:sz w:val="24"/>
          <w:szCs w:val="24"/>
        </w:rPr>
        <w:t xml:space="preserve"> over the property by reason of the attachment of the same and </w:t>
      </w:r>
      <w:r w:rsidR="00710E1B">
        <w:rPr>
          <w:rFonts w:ascii="Times New Roman" w:hAnsi="Times New Roman" w:cs="Times New Roman"/>
          <w:sz w:val="24"/>
          <w:szCs w:val="24"/>
        </w:rPr>
        <w:t xml:space="preserve">that </w:t>
      </w:r>
      <w:r>
        <w:rPr>
          <w:rFonts w:ascii="Times New Roman" w:hAnsi="Times New Roman" w:cs="Times New Roman"/>
          <w:sz w:val="24"/>
          <w:szCs w:val="24"/>
        </w:rPr>
        <w:t xml:space="preserve">the </w:t>
      </w:r>
      <w:r>
        <w:rPr>
          <w:rFonts w:ascii="Times New Roman" w:hAnsi="Times New Roman" w:cs="Times New Roman"/>
          <w:sz w:val="24"/>
          <w:szCs w:val="24"/>
        </w:rPr>
        <w:lastRenderedPageBreak/>
        <w:t xml:space="preserve">noting of a caveat over the property by the </w:t>
      </w:r>
      <w:r w:rsidR="00710E1B">
        <w:rPr>
          <w:rFonts w:ascii="Times New Roman" w:hAnsi="Times New Roman" w:cs="Times New Roman"/>
          <w:sz w:val="24"/>
          <w:szCs w:val="24"/>
        </w:rPr>
        <w:t>Registrar of Deeds</w:t>
      </w:r>
      <w:r>
        <w:rPr>
          <w:rFonts w:ascii="Times New Roman" w:hAnsi="Times New Roman" w:cs="Times New Roman"/>
          <w:sz w:val="24"/>
          <w:szCs w:val="24"/>
        </w:rPr>
        <w:t xml:space="preserve"> acting on the instructions of the judgment creditor.</w:t>
      </w:r>
    </w:p>
    <w:p w:rsidR="003E4EEB" w:rsidRDefault="003E4EEB" w:rsidP="003E4E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Unfortunately, a lot of cases as the present one flood the courts whereby a buyer of an immovable property loses the property in execution of the same to satisfy the liabilities of the seller. In such circumstances, the seller benefits from the purchase price and further benefits in having the seller’s liabilities discharged through execution of the same property which the seller has otherwise divested him or herself of save that the entity to whom the seller sold the property has yet to take transfer. Cases abound of unscrupulous land barons and indeed some </w:t>
      </w:r>
      <w:r w:rsidR="00E10222">
        <w:rPr>
          <w:rFonts w:ascii="Times New Roman" w:hAnsi="Times New Roman" w:cs="Times New Roman"/>
          <w:sz w:val="24"/>
          <w:szCs w:val="24"/>
        </w:rPr>
        <w:t>well-meaning</w:t>
      </w:r>
      <w:r>
        <w:rPr>
          <w:rFonts w:ascii="Times New Roman" w:hAnsi="Times New Roman" w:cs="Times New Roman"/>
          <w:sz w:val="24"/>
          <w:szCs w:val="24"/>
        </w:rPr>
        <w:t xml:space="preserve"> sellers who dispose of property but transfer</w:t>
      </w:r>
      <w:r w:rsidR="00476E11">
        <w:rPr>
          <w:rFonts w:ascii="Times New Roman" w:hAnsi="Times New Roman" w:cs="Times New Roman"/>
          <w:sz w:val="24"/>
          <w:szCs w:val="24"/>
        </w:rPr>
        <w:t xml:space="preserve"> of </w:t>
      </w:r>
      <w:r>
        <w:rPr>
          <w:rFonts w:ascii="Times New Roman" w:hAnsi="Times New Roman" w:cs="Times New Roman"/>
          <w:sz w:val="24"/>
          <w:szCs w:val="24"/>
        </w:rPr>
        <w:t>the property to the purchasers</w:t>
      </w:r>
      <w:r w:rsidR="00476E11">
        <w:rPr>
          <w:rFonts w:ascii="Times New Roman" w:hAnsi="Times New Roman" w:cs="Times New Roman"/>
          <w:sz w:val="24"/>
          <w:szCs w:val="24"/>
        </w:rPr>
        <w:t xml:space="preserve"> is delayed for one reason or another</w:t>
      </w:r>
      <w:r>
        <w:rPr>
          <w:rFonts w:ascii="Times New Roman" w:hAnsi="Times New Roman" w:cs="Times New Roman"/>
          <w:sz w:val="24"/>
          <w:szCs w:val="24"/>
        </w:rPr>
        <w:t xml:space="preserve"> with the result that the </w:t>
      </w:r>
      <w:r w:rsidRPr="00E10222">
        <w:rPr>
          <w:rFonts w:ascii="Times New Roman" w:hAnsi="Times New Roman" w:cs="Times New Roman"/>
          <w:i/>
          <w:sz w:val="24"/>
          <w:szCs w:val="24"/>
        </w:rPr>
        <w:t>bona fide</w:t>
      </w:r>
      <w:r>
        <w:rPr>
          <w:rFonts w:ascii="Times New Roman" w:hAnsi="Times New Roman" w:cs="Times New Roman"/>
          <w:sz w:val="24"/>
          <w:szCs w:val="24"/>
        </w:rPr>
        <w:t xml:space="preserve"> purchasers end up having the purchased properties attached in execution of liabilities of the sellers. This is the sad reality of what is happening.</w:t>
      </w:r>
    </w:p>
    <w:p w:rsidR="003E4EEB" w:rsidRDefault="003E4EEB" w:rsidP="003E4E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Property law is clear that ownership of an immovable property is evidenced by registration of title over the property in the Deeds Office. </w:t>
      </w:r>
      <w:r w:rsidRPr="003E4EEB">
        <w:rPr>
          <w:rFonts w:ascii="Times New Roman" w:hAnsi="Times New Roman" w:cs="Times New Roman"/>
          <w:smallCaps/>
          <w:sz w:val="24"/>
          <w:szCs w:val="24"/>
        </w:rPr>
        <w:t>Smith</w:t>
      </w:r>
      <w:r>
        <w:rPr>
          <w:rFonts w:ascii="Times New Roman" w:hAnsi="Times New Roman" w:cs="Times New Roman"/>
          <w:sz w:val="24"/>
          <w:szCs w:val="24"/>
        </w:rPr>
        <w:t xml:space="preserve"> J in </w:t>
      </w:r>
      <w:r w:rsidRPr="00702A7A">
        <w:rPr>
          <w:rFonts w:ascii="Times New Roman" w:hAnsi="Times New Roman" w:cs="Times New Roman"/>
          <w:i/>
          <w:sz w:val="24"/>
          <w:szCs w:val="24"/>
        </w:rPr>
        <w:t>Mavhundise</w:t>
      </w:r>
      <w:r>
        <w:rPr>
          <w:rFonts w:ascii="Times New Roman" w:hAnsi="Times New Roman" w:cs="Times New Roman"/>
          <w:sz w:val="24"/>
          <w:szCs w:val="24"/>
        </w:rPr>
        <w:t xml:space="preserve"> v </w:t>
      </w:r>
      <w:r w:rsidRPr="00702A7A">
        <w:rPr>
          <w:rFonts w:ascii="Times New Roman" w:hAnsi="Times New Roman" w:cs="Times New Roman"/>
          <w:i/>
          <w:sz w:val="24"/>
          <w:szCs w:val="24"/>
        </w:rPr>
        <w:t>UDC &amp; Ors</w:t>
      </w:r>
      <w:r>
        <w:rPr>
          <w:rFonts w:ascii="Times New Roman" w:hAnsi="Times New Roman" w:cs="Times New Roman"/>
          <w:sz w:val="24"/>
          <w:szCs w:val="24"/>
        </w:rPr>
        <w:t xml:space="preserve"> 2001 (2) ZLR 337 (H) states thus</w:t>
      </w:r>
    </w:p>
    <w:p w:rsidR="003E4EEB" w:rsidRDefault="003E4EEB" w:rsidP="00476E11">
      <w:pPr>
        <w:spacing w:after="0" w:line="240" w:lineRule="auto"/>
        <w:ind w:left="720"/>
        <w:jc w:val="both"/>
        <w:rPr>
          <w:rFonts w:ascii="Times New Roman" w:hAnsi="Times New Roman" w:cs="Times New Roman"/>
        </w:rPr>
      </w:pPr>
      <w:r>
        <w:rPr>
          <w:rFonts w:ascii="Times New Roman" w:hAnsi="Times New Roman" w:cs="Times New Roman"/>
        </w:rPr>
        <w:t xml:space="preserve">“……Ownership of land can only be acquired by transfer of the ownership from the previous </w:t>
      </w:r>
      <w:r>
        <w:rPr>
          <w:rFonts w:ascii="Times New Roman" w:hAnsi="Times New Roman" w:cs="Times New Roman"/>
        </w:rPr>
        <w:tab/>
        <w:t>owner and such transfer must</w:t>
      </w:r>
      <w:r w:rsidR="00476E11">
        <w:rPr>
          <w:rFonts w:ascii="Times New Roman" w:hAnsi="Times New Roman" w:cs="Times New Roman"/>
        </w:rPr>
        <w:t xml:space="preserve"> be</w:t>
      </w:r>
      <w:r>
        <w:rPr>
          <w:rFonts w:ascii="Times New Roman" w:hAnsi="Times New Roman" w:cs="Times New Roman"/>
        </w:rPr>
        <w:t xml:space="preserve"> registered in the Deeds Registry. Until such time as title deeds are issued in respect of plot 216 and ownership thereof registered in the Deeds Registry in the </w:t>
      </w:r>
      <w:r>
        <w:rPr>
          <w:rFonts w:ascii="Times New Roman" w:hAnsi="Times New Roman" w:cs="Times New Roman"/>
        </w:rPr>
        <w:tab/>
        <w:t xml:space="preserve">name of the particular planter, all that the applicant and purchaser can acquire are rights and </w:t>
      </w:r>
      <w:r>
        <w:rPr>
          <w:rFonts w:ascii="Times New Roman" w:hAnsi="Times New Roman" w:cs="Times New Roman"/>
        </w:rPr>
        <w:tab/>
        <w:t>interests in the plot. Such rights are personal to the holder thereof; they are not real rights.”</w:t>
      </w:r>
    </w:p>
    <w:p w:rsidR="003E4EEB" w:rsidRDefault="003E4EEB" w:rsidP="003E4EEB">
      <w:pPr>
        <w:spacing w:after="0" w:line="240" w:lineRule="auto"/>
        <w:jc w:val="both"/>
        <w:rPr>
          <w:rFonts w:ascii="Times New Roman" w:hAnsi="Times New Roman" w:cs="Times New Roman"/>
        </w:rPr>
      </w:pPr>
    </w:p>
    <w:p w:rsidR="003E4EEB" w:rsidRDefault="003E4EEB" w:rsidP="003E4EEB">
      <w:pPr>
        <w:spacing w:after="0" w:line="360" w:lineRule="auto"/>
        <w:jc w:val="both"/>
        <w:rPr>
          <w:rFonts w:ascii="Times New Roman" w:hAnsi="Times New Roman" w:cs="Times New Roman"/>
          <w:sz w:val="24"/>
          <w:szCs w:val="24"/>
        </w:rPr>
      </w:pPr>
      <w:r>
        <w:rPr>
          <w:rFonts w:ascii="Times New Roman" w:hAnsi="Times New Roman" w:cs="Times New Roman"/>
        </w:rPr>
        <w:tab/>
      </w:r>
      <w:r w:rsidRPr="00AE1D8F">
        <w:rPr>
          <w:rFonts w:ascii="Times New Roman" w:hAnsi="Times New Roman" w:cs="Times New Roman"/>
          <w:sz w:val="24"/>
          <w:szCs w:val="24"/>
        </w:rPr>
        <w:t>In the case</w:t>
      </w:r>
      <w:r w:rsidR="00476E11">
        <w:rPr>
          <w:rFonts w:ascii="Times New Roman" w:hAnsi="Times New Roman" w:cs="Times New Roman"/>
          <w:sz w:val="24"/>
          <w:szCs w:val="24"/>
        </w:rPr>
        <w:t>,</w:t>
      </w:r>
      <w:r w:rsidRPr="00AE1D8F">
        <w:rPr>
          <w:rFonts w:ascii="Times New Roman" w:hAnsi="Times New Roman" w:cs="Times New Roman"/>
          <w:sz w:val="24"/>
          <w:szCs w:val="24"/>
        </w:rPr>
        <w:t xml:space="preserve"> </w:t>
      </w:r>
      <w:r w:rsidR="00476E11">
        <w:rPr>
          <w:rFonts w:ascii="Times New Roman" w:hAnsi="Times New Roman" w:cs="Times New Roman"/>
          <w:sz w:val="24"/>
          <w:szCs w:val="24"/>
        </w:rPr>
        <w:t>T</w:t>
      </w:r>
      <w:r w:rsidRPr="00AE1D8F">
        <w:rPr>
          <w:rFonts w:ascii="Times New Roman" w:hAnsi="Times New Roman" w:cs="Times New Roman"/>
          <w:sz w:val="24"/>
          <w:szCs w:val="24"/>
        </w:rPr>
        <w:t xml:space="preserve">he </w:t>
      </w:r>
      <w:r w:rsidRPr="00AE1D8F">
        <w:rPr>
          <w:rFonts w:ascii="Times New Roman" w:hAnsi="Times New Roman" w:cs="Times New Roman"/>
          <w:i/>
          <w:sz w:val="24"/>
          <w:szCs w:val="24"/>
        </w:rPr>
        <w:t>Sheriff for Zimbabwe and Anor</w:t>
      </w:r>
      <w:r w:rsidRPr="00AE1D8F">
        <w:rPr>
          <w:rFonts w:ascii="Times New Roman" w:hAnsi="Times New Roman" w:cs="Times New Roman"/>
          <w:sz w:val="24"/>
          <w:szCs w:val="24"/>
        </w:rPr>
        <w:t xml:space="preserve"> v </w:t>
      </w:r>
      <w:r w:rsidRPr="00AE1D8F">
        <w:rPr>
          <w:rFonts w:ascii="Times New Roman" w:hAnsi="Times New Roman" w:cs="Times New Roman"/>
          <w:i/>
          <w:sz w:val="24"/>
          <w:szCs w:val="24"/>
        </w:rPr>
        <w:t>Willdale Limited Bricks</w:t>
      </w:r>
      <w:r>
        <w:rPr>
          <w:rFonts w:ascii="Times New Roman" w:hAnsi="Times New Roman" w:cs="Times New Roman"/>
          <w:sz w:val="24"/>
          <w:szCs w:val="24"/>
        </w:rPr>
        <w:t xml:space="preserve">, HH 387/17, </w:t>
      </w:r>
      <w:r w:rsidRPr="00AE1D8F">
        <w:rPr>
          <w:rFonts w:ascii="Times New Roman" w:hAnsi="Times New Roman" w:cs="Times New Roman"/>
          <w:sz w:val="24"/>
          <w:szCs w:val="24"/>
        </w:rPr>
        <w:t xml:space="preserve">a must read case for every student and practitioner of property law, </w:t>
      </w:r>
      <w:r w:rsidRPr="00D66EC7">
        <w:rPr>
          <w:rFonts w:ascii="Times New Roman" w:hAnsi="Times New Roman" w:cs="Times New Roman"/>
          <w:smallCaps/>
          <w:sz w:val="24"/>
          <w:szCs w:val="24"/>
        </w:rPr>
        <w:t>Makoni</w:t>
      </w:r>
      <w:r w:rsidRPr="00AE1D8F">
        <w:rPr>
          <w:rFonts w:ascii="Times New Roman" w:hAnsi="Times New Roman" w:cs="Times New Roman"/>
          <w:sz w:val="24"/>
          <w:szCs w:val="24"/>
        </w:rPr>
        <w:t xml:space="preserve"> J (as she then was) quoted several useful and instructive decisions of the superior courts and </w:t>
      </w:r>
      <w:r>
        <w:rPr>
          <w:rFonts w:ascii="Times New Roman" w:hAnsi="Times New Roman" w:cs="Times New Roman"/>
          <w:sz w:val="24"/>
          <w:szCs w:val="24"/>
        </w:rPr>
        <w:t>authoritative</w:t>
      </w:r>
      <w:r w:rsidRPr="00AE1D8F">
        <w:rPr>
          <w:rFonts w:ascii="Times New Roman" w:hAnsi="Times New Roman" w:cs="Times New Roman"/>
          <w:sz w:val="24"/>
          <w:szCs w:val="24"/>
        </w:rPr>
        <w:t xml:space="preserve"> texts in elucidating the law on real and personal rights which persons may acquire over immovable property. It is settled law that</w:t>
      </w:r>
      <w:r>
        <w:rPr>
          <w:rFonts w:ascii="Times New Roman" w:hAnsi="Times New Roman" w:cs="Times New Roman"/>
          <w:sz w:val="24"/>
          <w:szCs w:val="24"/>
        </w:rPr>
        <w:t xml:space="preserve"> until a purchaser of an immovable property has taken transfer of the property by registration in the Deeds Registry, such purchaser retains a personal and not a real right over the property.</w:t>
      </w:r>
    </w:p>
    <w:p w:rsidR="003E4EEB" w:rsidRDefault="003E4EEB" w:rsidP="003E4E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this case as in many similar cases which come before this court following attachment of an immovable property sold by the seller but not yet transferred to the purchaser, to satisfy the seller’s liabilities, the issue which the court must grapple with is whether the personal rights acquired by the purchaser who is claimant in interpleader proceedings, should be protected as an exception to the default legal position that ownership </w:t>
      </w:r>
      <w:r w:rsidR="00476E11">
        <w:rPr>
          <w:rFonts w:ascii="Times New Roman" w:hAnsi="Times New Roman" w:cs="Times New Roman"/>
          <w:sz w:val="24"/>
          <w:szCs w:val="24"/>
        </w:rPr>
        <w:t xml:space="preserve">of </w:t>
      </w:r>
      <w:r>
        <w:rPr>
          <w:rFonts w:ascii="Times New Roman" w:hAnsi="Times New Roman" w:cs="Times New Roman"/>
          <w:sz w:val="24"/>
          <w:szCs w:val="24"/>
        </w:rPr>
        <w:t>immovable property is evidenced by registration of transfer.</w:t>
      </w:r>
    </w:p>
    <w:p w:rsidR="003E4EEB" w:rsidRDefault="003E4EEB" w:rsidP="003E4E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In </w:t>
      </w:r>
      <w:r w:rsidRPr="000473AF">
        <w:rPr>
          <w:rFonts w:ascii="Times New Roman" w:hAnsi="Times New Roman" w:cs="Times New Roman"/>
          <w:i/>
          <w:sz w:val="24"/>
          <w:szCs w:val="24"/>
        </w:rPr>
        <w:t>R</w:t>
      </w:r>
      <w:r w:rsidR="00476E11">
        <w:rPr>
          <w:rFonts w:ascii="Times New Roman" w:hAnsi="Times New Roman" w:cs="Times New Roman"/>
          <w:i/>
          <w:sz w:val="24"/>
          <w:szCs w:val="24"/>
        </w:rPr>
        <w:t>aymond Dokot</w:t>
      </w:r>
      <w:r w:rsidRPr="000473AF">
        <w:rPr>
          <w:rFonts w:ascii="Times New Roman" w:hAnsi="Times New Roman" w:cs="Times New Roman"/>
          <w:i/>
          <w:sz w:val="24"/>
          <w:szCs w:val="24"/>
        </w:rPr>
        <w:t>ela Moyo</w:t>
      </w:r>
      <w:r>
        <w:rPr>
          <w:rFonts w:ascii="Times New Roman" w:hAnsi="Times New Roman" w:cs="Times New Roman"/>
          <w:sz w:val="24"/>
          <w:szCs w:val="24"/>
        </w:rPr>
        <w:t xml:space="preserve"> v </w:t>
      </w:r>
      <w:r w:rsidRPr="000473AF">
        <w:rPr>
          <w:rFonts w:ascii="Times New Roman" w:hAnsi="Times New Roman" w:cs="Times New Roman"/>
          <w:i/>
          <w:sz w:val="24"/>
          <w:szCs w:val="24"/>
        </w:rPr>
        <w:t>Timothy Grasiano Muwandi</w:t>
      </w:r>
      <w:r>
        <w:rPr>
          <w:rFonts w:ascii="Times New Roman" w:hAnsi="Times New Roman" w:cs="Times New Roman"/>
          <w:sz w:val="24"/>
          <w:szCs w:val="24"/>
        </w:rPr>
        <w:t xml:space="preserve"> SC 47/03, </w:t>
      </w:r>
      <w:r w:rsidRPr="000473AF">
        <w:rPr>
          <w:rFonts w:ascii="Times New Roman" w:hAnsi="Times New Roman" w:cs="Times New Roman"/>
          <w:smallCaps/>
          <w:sz w:val="24"/>
          <w:szCs w:val="24"/>
        </w:rPr>
        <w:t>Sandura</w:t>
      </w:r>
      <w:r>
        <w:rPr>
          <w:rFonts w:ascii="Times New Roman" w:hAnsi="Times New Roman" w:cs="Times New Roman"/>
          <w:sz w:val="24"/>
          <w:szCs w:val="24"/>
        </w:rPr>
        <w:t xml:space="preserve"> JA stated at p 5 of the cyclostyled judgment as follows:</w:t>
      </w:r>
    </w:p>
    <w:p w:rsidR="003E4EEB" w:rsidRDefault="003E4EEB" w:rsidP="003E4E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“Whilst it is correct that a judgment creditor has the right to have attached and sold in </w:t>
      </w:r>
      <w:r>
        <w:rPr>
          <w:rFonts w:ascii="Times New Roman" w:hAnsi="Times New Roman" w:cs="Times New Roman"/>
          <w:sz w:val="24"/>
          <w:szCs w:val="24"/>
        </w:rPr>
        <w:tab/>
        <w:t xml:space="preserve">execution property registered in the name of the judgment debtor, that right is merely </w:t>
      </w:r>
      <w:r>
        <w:rPr>
          <w:rFonts w:ascii="Times New Roman" w:hAnsi="Times New Roman" w:cs="Times New Roman"/>
          <w:sz w:val="24"/>
          <w:szCs w:val="24"/>
        </w:rPr>
        <w:tab/>
        <w:t xml:space="preserve">a </w:t>
      </w:r>
      <w:r w:rsidRPr="00977B3A">
        <w:rPr>
          <w:rFonts w:ascii="Times New Roman" w:hAnsi="Times New Roman" w:cs="Times New Roman"/>
          <w:i/>
          <w:sz w:val="24"/>
          <w:szCs w:val="24"/>
        </w:rPr>
        <w:t>prima facie</w:t>
      </w:r>
      <w:r>
        <w:rPr>
          <w:rFonts w:ascii="Times New Roman" w:hAnsi="Times New Roman" w:cs="Times New Roman"/>
          <w:sz w:val="24"/>
          <w:szCs w:val="24"/>
        </w:rPr>
        <w:t xml:space="preserve"> one.”</w:t>
      </w:r>
    </w:p>
    <w:p w:rsidR="003E4EEB" w:rsidRDefault="003E4EEB" w:rsidP="003E4EEB">
      <w:pPr>
        <w:spacing w:after="0" w:line="240" w:lineRule="auto"/>
        <w:jc w:val="both"/>
        <w:rPr>
          <w:rFonts w:ascii="Times New Roman" w:hAnsi="Times New Roman" w:cs="Times New Roman"/>
          <w:sz w:val="24"/>
          <w:szCs w:val="24"/>
        </w:rPr>
      </w:pPr>
    </w:p>
    <w:p w:rsidR="003E4EEB" w:rsidRDefault="003E4EEB" w:rsidP="003E4E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learned judge cited and quoted with approval, the judgment of </w:t>
      </w:r>
      <w:r w:rsidRPr="00F13398">
        <w:rPr>
          <w:rFonts w:ascii="Times New Roman" w:hAnsi="Times New Roman" w:cs="Times New Roman"/>
          <w:smallCaps/>
          <w:sz w:val="24"/>
          <w:szCs w:val="24"/>
        </w:rPr>
        <w:t>Kotze</w:t>
      </w:r>
      <w:r>
        <w:rPr>
          <w:rFonts w:ascii="Times New Roman" w:hAnsi="Times New Roman" w:cs="Times New Roman"/>
          <w:sz w:val="24"/>
          <w:szCs w:val="24"/>
        </w:rPr>
        <w:t xml:space="preserve"> J in </w:t>
      </w:r>
      <w:r w:rsidRPr="00F13398">
        <w:rPr>
          <w:rFonts w:ascii="Times New Roman" w:hAnsi="Times New Roman" w:cs="Times New Roman"/>
          <w:i/>
          <w:sz w:val="24"/>
          <w:szCs w:val="24"/>
        </w:rPr>
        <w:t>Van Neikerk</w:t>
      </w:r>
      <w:r>
        <w:rPr>
          <w:rFonts w:ascii="Times New Roman" w:hAnsi="Times New Roman" w:cs="Times New Roman"/>
          <w:sz w:val="24"/>
          <w:szCs w:val="24"/>
        </w:rPr>
        <w:t xml:space="preserve"> v </w:t>
      </w:r>
      <w:r w:rsidRPr="00F13398">
        <w:rPr>
          <w:rFonts w:ascii="Times New Roman" w:hAnsi="Times New Roman" w:cs="Times New Roman"/>
          <w:i/>
          <w:sz w:val="24"/>
          <w:szCs w:val="24"/>
        </w:rPr>
        <w:t xml:space="preserve">Fortuin </w:t>
      </w:r>
      <w:r>
        <w:rPr>
          <w:rFonts w:ascii="Times New Roman" w:hAnsi="Times New Roman" w:cs="Times New Roman"/>
          <w:sz w:val="24"/>
          <w:szCs w:val="24"/>
        </w:rPr>
        <w:t>1913 CAD 457 at 458-459 as follows</w:t>
      </w:r>
    </w:p>
    <w:p w:rsidR="003E4EEB" w:rsidRDefault="003E4EEB" w:rsidP="003E4EEB">
      <w:pPr>
        <w:spacing w:after="0" w:line="240" w:lineRule="auto"/>
        <w:jc w:val="both"/>
        <w:rPr>
          <w:rFonts w:ascii="Times New Roman" w:hAnsi="Times New Roman" w:cs="Times New Roman"/>
        </w:rPr>
      </w:pPr>
      <w:r>
        <w:rPr>
          <w:rFonts w:ascii="Times New Roman" w:hAnsi="Times New Roman" w:cs="Times New Roman"/>
          <w:sz w:val="24"/>
          <w:szCs w:val="24"/>
        </w:rPr>
        <w:tab/>
      </w:r>
      <w:r>
        <w:rPr>
          <w:rFonts w:ascii="Times New Roman" w:hAnsi="Times New Roman" w:cs="Times New Roman"/>
        </w:rPr>
        <w:t xml:space="preserve">“It seems to me that the plaintiff being a judgment creditor, and the property being still </w:t>
      </w:r>
      <w:r>
        <w:rPr>
          <w:rFonts w:ascii="Times New Roman" w:hAnsi="Times New Roman" w:cs="Times New Roman"/>
        </w:rPr>
        <w:tab/>
        <w:t xml:space="preserve">registered in the name of the defendant, </w:t>
      </w:r>
      <w:r w:rsidRPr="005C7A3A">
        <w:rPr>
          <w:rFonts w:ascii="Times New Roman" w:hAnsi="Times New Roman" w:cs="Times New Roman"/>
          <w:i/>
        </w:rPr>
        <w:t>prima facie</w:t>
      </w:r>
      <w:r w:rsidR="00476E11">
        <w:rPr>
          <w:rFonts w:ascii="Times New Roman" w:hAnsi="Times New Roman" w:cs="Times New Roman"/>
          <w:i/>
        </w:rPr>
        <w:t>,</w:t>
      </w:r>
      <w:r>
        <w:rPr>
          <w:rFonts w:ascii="Times New Roman" w:hAnsi="Times New Roman" w:cs="Times New Roman"/>
        </w:rPr>
        <w:t xml:space="preserve"> the plaintiff has a right to ask that the </w:t>
      </w:r>
      <w:r>
        <w:rPr>
          <w:rFonts w:ascii="Times New Roman" w:hAnsi="Times New Roman" w:cs="Times New Roman"/>
        </w:rPr>
        <w:tab/>
        <w:t xml:space="preserve">property shall be seized in execution, unless the party interested can show that there are </w:t>
      </w:r>
      <w:r>
        <w:rPr>
          <w:rFonts w:ascii="Times New Roman" w:hAnsi="Times New Roman" w:cs="Times New Roman"/>
        </w:rPr>
        <w:tab/>
        <w:t>special circumstances why such an order should not be granted…”</w:t>
      </w:r>
    </w:p>
    <w:p w:rsidR="003E4EEB" w:rsidRPr="00EF76B6" w:rsidRDefault="003E4EEB" w:rsidP="003E4EEB">
      <w:pPr>
        <w:spacing w:after="0" w:line="360" w:lineRule="auto"/>
        <w:jc w:val="both"/>
        <w:rPr>
          <w:rFonts w:ascii="Times New Roman" w:hAnsi="Times New Roman" w:cs="Times New Roman"/>
          <w:sz w:val="24"/>
          <w:szCs w:val="24"/>
        </w:rPr>
      </w:pPr>
    </w:p>
    <w:p w:rsidR="003E4EEB" w:rsidRDefault="003E4EEB" w:rsidP="003E4EEB">
      <w:pPr>
        <w:spacing w:after="0" w:line="360" w:lineRule="auto"/>
        <w:jc w:val="both"/>
        <w:rPr>
          <w:rFonts w:ascii="Times New Roman" w:hAnsi="Times New Roman" w:cs="Times New Roman"/>
          <w:sz w:val="24"/>
          <w:szCs w:val="24"/>
        </w:rPr>
      </w:pPr>
      <w:r w:rsidRPr="00EF76B6">
        <w:rPr>
          <w:rFonts w:ascii="Times New Roman" w:hAnsi="Times New Roman" w:cs="Times New Roman"/>
          <w:sz w:val="24"/>
          <w:szCs w:val="24"/>
        </w:rPr>
        <w:tab/>
        <w:t>The position with execution in this case is therefore</w:t>
      </w:r>
      <w:r>
        <w:rPr>
          <w:rFonts w:ascii="Times New Roman" w:hAnsi="Times New Roman" w:cs="Times New Roman"/>
          <w:sz w:val="24"/>
          <w:szCs w:val="24"/>
        </w:rPr>
        <w:t xml:space="preserve"> that the right of the judgment creditor to execute on the attached property is not absolute. It is only a </w:t>
      </w:r>
      <w:r w:rsidRPr="00476E11">
        <w:rPr>
          <w:rFonts w:ascii="Times New Roman" w:hAnsi="Times New Roman" w:cs="Times New Roman"/>
          <w:i/>
          <w:sz w:val="24"/>
          <w:szCs w:val="24"/>
        </w:rPr>
        <w:t>prima facie</w:t>
      </w:r>
      <w:r>
        <w:rPr>
          <w:rFonts w:ascii="Times New Roman" w:hAnsi="Times New Roman" w:cs="Times New Roman"/>
          <w:sz w:val="24"/>
          <w:szCs w:val="24"/>
        </w:rPr>
        <w:t xml:space="preserve"> right. In his heads of argument, counsel for the judgment creditor submitted that the issues for determination are firstly whether the claimant is the owner of the attached sub</w:t>
      </w:r>
      <w:r w:rsidR="00476E11">
        <w:rPr>
          <w:rFonts w:ascii="Times New Roman" w:hAnsi="Times New Roman" w:cs="Times New Roman"/>
          <w:sz w:val="24"/>
          <w:szCs w:val="24"/>
        </w:rPr>
        <w:t xml:space="preserve">division </w:t>
      </w:r>
      <w:r>
        <w:rPr>
          <w:rFonts w:ascii="Times New Roman" w:hAnsi="Times New Roman" w:cs="Times New Roman"/>
          <w:sz w:val="24"/>
          <w:szCs w:val="24"/>
        </w:rPr>
        <w:t xml:space="preserve">and secondly whether the judgment creditor is entitled to execution. It is common cause that the claimant has not yet taken transfer of the attached property. </w:t>
      </w:r>
      <w:r w:rsidR="00476E11">
        <w:rPr>
          <w:rFonts w:ascii="Times New Roman" w:hAnsi="Times New Roman" w:cs="Times New Roman"/>
          <w:sz w:val="24"/>
          <w:szCs w:val="24"/>
        </w:rPr>
        <w:t>It</w:t>
      </w:r>
      <w:r>
        <w:rPr>
          <w:rFonts w:ascii="Times New Roman" w:hAnsi="Times New Roman" w:cs="Times New Roman"/>
          <w:sz w:val="24"/>
          <w:szCs w:val="24"/>
        </w:rPr>
        <w:t xml:space="preserve"> cannot be an issue that the claimant has personal </w:t>
      </w:r>
      <w:r w:rsidR="00476E11">
        <w:rPr>
          <w:rFonts w:ascii="Times New Roman" w:hAnsi="Times New Roman" w:cs="Times New Roman"/>
          <w:sz w:val="24"/>
          <w:szCs w:val="24"/>
        </w:rPr>
        <w:t xml:space="preserve">rights in the subdivision. Similarly, the claimant’s </w:t>
      </w:r>
      <w:r>
        <w:rPr>
          <w:rFonts w:ascii="Times New Roman" w:hAnsi="Times New Roman" w:cs="Times New Roman"/>
          <w:sz w:val="24"/>
          <w:szCs w:val="24"/>
        </w:rPr>
        <w:t xml:space="preserve">assertion that it is </w:t>
      </w:r>
      <w:r w:rsidR="00476E11">
        <w:rPr>
          <w:rFonts w:ascii="Times New Roman" w:hAnsi="Times New Roman" w:cs="Times New Roman"/>
          <w:sz w:val="24"/>
          <w:szCs w:val="24"/>
        </w:rPr>
        <w:t xml:space="preserve">the </w:t>
      </w:r>
      <w:r>
        <w:rPr>
          <w:rFonts w:ascii="Times New Roman" w:hAnsi="Times New Roman" w:cs="Times New Roman"/>
          <w:sz w:val="24"/>
          <w:szCs w:val="24"/>
        </w:rPr>
        <w:t>owner of the property is only true to the extent that it owns personal rights in the  said property.</w:t>
      </w:r>
    </w:p>
    <w:p w:rsidR="00E64F9F" w:rsidRPr="00E64F9F" w:rsidRDefault="003E4EEB" w:rsidP="00E64F9F">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ab/>
        <w:t xml:space="preserve">The issue for the court to determine is whether or not in the circumstances of the case, there exists special circumstances which merit that the court exercises a judicious discretion to set aside the attachment. In other words, the starting point is to accept that that court has a discretion to set aside the execution of a property registered in the name of a judgment debtor in special circumstances. What amounts to special circumstances depends on the facts of each case and the court gives a value judgment after considering the facts placed before it. </w:t>
      </w:r>
      <w:r w:rsidRPr="00E64F9F">
        <w:rPr>
          <w:rFonts w:ascii="Times New Roman" w:hAnsi="Times New Roman" w:cs="Times New Roman"/>
          <w:sz w:val="24"/>
          <w:szCs w:val="24"/>
        </w:rPr>
        <w:t>The</w:t>
      </w:r>
      <w:r w:rsidR="00E64F9F">
        <w:rPr>
          <w:rFonts w:ascii="Times New Roman" w:hAnsi="Times New Roman" w:cs="Times New Roman"/>
          <w:sz w:val="24"/>
          <w:szCs w:val="24"/>
        </w:rPr>
        <w:t xml:space="preserve"> onus to show the existence of special circumstances on a</w:t>
      </w:r>
      <w:r w:rsidR="00476E11">
        <w:rPr>
          <w:rFonts w:ascii="Times New Roman" w:hAnsi="Times New Roman" w:cs="Times New Roman"/>
          <w:sz w:val="24"/>
          <w:szCs w:val="24"/>
        </w:rPr>
        <w:t xml:space="preserve"> balance of probabilities is on</w:t>
      </w:r>
      <w:r w:rsidR="00E64F9F">
        <w:rPr>
          <w:rFonts w:ascii="Times New Roman" w:hAnsi="Times New Roman" w:cs="Times New Roman"/>
          <w:sz w:val="24"/>
          <w:szCs w:val="24"/>
        </w:rPr>
        <w:t xml:space="preserve"> the claimant.</w:t>
      </w:r>
    </w:p>
    <w:p w:rsidR="00E64F9F" w:rsidRDefault="00E64F9F" w:rsidP="00E64F9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process of execution is a process of this court. In terms of s 176 of the Constitution, this court has inherent powers to pr</w:t>
      </w:r>
      <w:r w:rsidR="00476E11">
        <w:rPr>
          <w:rFonts w:ascii="Times New Roman" w:hAnsi="Times New Roman" w:cs="Times New Roman"/>
          <w:sz w:val="24"/>
          <w:szCs w:val="24"/>
        </w:rPr>
        <w:t>otect and regulate its processes</w:t>
      </w:r>
      <w:r>
        <w:rPr>
          <w:rFonts w:ascii="Times New Roman" w:hAnsi="Times New Roman" w:cs="Times New Roman"/>
          <w:sz w:val="24"/>
          <w:szCs w:val="24"/>
        </w:rPr>
        <w:t xml:space="preserve">. The writ of execution issued in this matter is an example of a process of this court. Its regulation entails </w:t>
      </w:r>
      <w:r w:rsidRPr="006E0A09">
        <w:rPr>
          <w:rFonts w:ascii="Times New Roman" w:hAnsi="Times New Roman" w:cs="Times New Roman"/>
          <w:i/>
          <w:sz w:val="24"/>
          <w:szCs w:val="24"/>
        </w:rPr>
        <w:t>inter-alia</w:t>
      </w:r>
      <w:r>
        <w:rPr>
          <w:rFonts w:ascii="Times New Roman" w:hAnsi="Times New Roman" w:cs="Times New Roman"/>
          <w:sz w:val="24"/>
          <w:szCs w:val="24"/>
        </w:rPr>
        <w:t xml:space="preserve"> that the court can order whether in relation to a </w:t>
      </w:r>
      <w:r w:rsidRPr="00B47AA0">
        <w:rPr>
          <w:rFonts w:ascii="Times New Roman" w:hAnsi="Times New Roman" w:cs="Times New Roman"/>
          <w:i/>
          <w:sz w:val="24"/>
          <w:szCs w:val="24"/>
        </w:rPr>
        <w:t>pignus judiciale</w:t>
      </w:r>
      <w:r>
        <w:rPr>
          <w:rFonts w:ascii="Times New Roman" w:hAnsi="Times New Roman" w:cs="Times New Roman"/>
          <w:sz w:val="24"/>
          <w:szCs w:val="24"/>
        </w:rPr>
        <w:t xml:space="preserve"> arising from the act of attachment, such judicial order should be carried into execution or discharged. In relation to discharging the </w:t>
      </w:r>
      <w:r w:rsidRPr="00B47AA0">
        <w:rPr>
          <w:rFonts w:ascii="Times New Roman" w:hAnsi="Times New Roman" w:cs="Times New Roman"/>
          <w:i/>
          <w:sz w:val="24"/>
          <w:szCs w:val="24"/>
        </w:rPr>
        <w:t>pignus judiciale</w:t>
      </w:r>
      <w:r>
        <w:rPr>
          <w:rFonts w:ascii="Times New Roman" w:hAnsi="Times New Roman" w:cs="Times New Roman"/>
          <w:sz w:val="24"/>
          <w:szCs w:val="24"/>
        </w:rPr>
        <w:t xml:space="preserve"> in an application by a purchaser of the attached property </w:t>
      </w:r>
      <w:r>
        <w:rPr>
          <w:rFonts w:ascii="Times New Roman" w:hAnsi="Times New Roman" w:cs="Times New Roman"/>
          <w:sz w:val="24"/>
          <w:szCs w:val="24"/>
        </w:rPr>
        <w:lastRenderedPageBreak/>
        <w:t xml:space="preserve">who has not taken transfer of the property </w:t>
      </w:r>
      <w:r w:rsidR="00476E11">
        <w:rPr>
          <w:rFonts w:ascii="Times New Roman" w:hAnsi="Times New Roman" w:cs="Times New Roman"/>
          <w:sz w:val="24"/>
          <w:szCs w:val="24"/>
        </w:rPr>
        <w:t>i</w:t>
      </w:r>
      <w:r>
        <w:rPr>
          <w:rFonts w:ascii="Times New Roman" w:hAnsi="Times New Roman" w:cs="Times New Roman"/>
          <w:sz w:val="24"/>
          <w:szCs w:val="24"/>
        </w:rPr>
        <w:t>n question and the property is reg</w:t>
      </w:r>
      <w:r w:rsidR="00476E11">
        <w:rPr>
          <w:rFonts w:ascii="Times New Roman" w:hAnsi="Times New Roman" w:cs="Times New Roman"/>
          <w:sz w:val="24"/>
          <w:szCs w:val="24"/>
        </w:rPr>
        <w:t>istered</w:t>
      </w:r>
      <w:r>
        <w:rPr>
          <w:rFonts w:ascii="Times New Roman" w:hAnsi="Times New Roman" w:cs="Times New Roman"/>
          <w:sz w:val="24"/>
          <w:szCs w:val="24"/>
        </w:rPr>
        <w:t xml:space="preserve"> in the name of the judgment debtor (seller),</w:t>
      </w:r>
      <w:r w:rsidR="00476E11">
        <w:rPr>
          <w:rFonts w:ascii="Times New Roman" w:hAnsi="Times New Roman" w:cs="Times New Roman"/>
          <w:sz w:val="24"/>
          <w:szCs w:val="24"/>
        </w:rPr>
        <w:t xml:space="preserve"> the court will grant the order to stay the execution </w:t>
      </w:r>
      <w:r>
        <w:rPr>
          <w:rFonts w:ascii="Times New Roman" w:hAnsi="Times New Roman" w:cs="Times New Roman"/>
          <w:sz w:val="24"/>
          <w:szCs w:val="24"/>
        </w:rPr>
        <w:t xml:space="preserve">where the claimant demonstrates special circumstances to warrant the grant of the indulgence. This appears to me to be the correct approach which a court must adopt </w:t>
      </w:r>
      <w:r w:rsidR="00476E11">
        <w:rPr>
          <w:rFonts w:ascii="Times New Roman" w:hAnsi="Times New Roman" w:cs="Times New Roman"/>
          <w:sz w:val="24"/>
          <w:szCs w:val="24"/>
        </w:rPr>
        <w:t xml:space="preserve">in such circumstances. I have already indicated </w:t>
      </w:r>
      <w:r>
        <w:rPr>
          <w:rFonts w:ascii="Times New Roman" w:hAnsi="Times New Roman" w:cs="Times New Roman"/>
          <w:sz w:val="24"/>
          <w:szCs w:val="24"/>
        </w:rPr>
        <w:t>that whether or not special circumstances exist in any given case depends on the facts of each case.</w:t>
      </w:r>
    </w:p>
    <w:p w:rsidR="00E64F9F" w:rsidRDefault="00E64F9F" w:rsidP="00E64F9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 reading of decided cases reveals that the court has considered the explanation by the claimant seeking the discharge of the </w:t>
      </w:r>
      <w:r w:rsidRPr="00B47AA0">
        <w:rPr>
          <w:rFonts w:ascii="Times New Roman" w:hAnsi="Times New Roman" w:cs="Times New Roman"/>
          <w:i/>
          <w:sz w:val="24"/>
          <w:szCs w:val="24"/>
        </w:rPr>
        <w:t>pignus judiciale</w:t>
      </w:r>
      <w:r>
        <w:rPr>
          <w:rFonts w:ascii="Times New Roman" w:hAnsi="Times New Roman" w:cs="Times New Roman"/>
          <w:sz w:val="24"/>
          <w:szCs w:val="24"/>
        </w:rPr>
        <w:t xml:space="preserve"> as to why transfer to the claimant has not been conveyance</w:t>
      </w:r>
      <w:r w:rsidR="00476E11">
        <w:rPr>
          <w:rFonts w:ascii="Times New Roman" w:hAnsi="Times New Roman" w:cs="Times New Roman"/>
          <w:sz w:val="24"/>
          <w:szCs w:val="24"/>
        </w:rPr>
        <w:t>d</w:t>
      </w:r>
      <w:r>
        <w:rPr>
          <w:rFonts w:ascii="Times New Roman" w:hAnsi="Times New Roman" w:cs="Times New Roman"/>
          <w:sz w:val="24"/>
          <w:szCs w:val="24"/>
        </w:rPr>
        <w:t xml:space="preserve"> if the claimant claims to have bought the property. In other words, the court will come to the aid of a vigilant and not sluggish claimant. See </w:t>
      </w:r>
      <w:r w:rsidRPr="00A527FA">
        <w:rPr>
          <w:rFonts w:ascii="Times New Roman" w:hAnsi="Times New Roman" w:cs="Times New Roman"/>
          <w:i/>
          <w:sz w:val="24"/>
          <w:szCs w:val="24"/>
        </w:rPr>
        <w:t>Deputy Sheriff Harare</w:t>
      </w:r>
      <w:r>
        <w:rPr>
          <w:rFonts w:ascii="Times New Roman" w:hAnsi="Times New Roman" w:cs="Times New Roman"/>
          <w:sz w:val="24"/>
          <w:szCs w:val="24"/>
        </w:rPr>
        <w:t xml:space="preserve"> v </w:t>
      </w:r>
      <w:r w:rsidRPr="00A527FA">
        <w:rPr>
          <w:rFonts w:ascii="Times New Roman" w:hAnsi="Times New Roman" w:cs="Times New Roman"/>
          <w:i/>
          <w:sz w:val="24"/>
          <w:szCs w:val="24"/>
        </w:rPr>
        <w:t>Moyo &amp; Anor</w:t>
      </w:r>
      <w:r>
        <w:rPr>
          <w:rFonts w:ascii="Times New Roman" w:hAnsi="Times New Roman" w:cs="Times New Roman"/>
          <w:sz w:val="24"/>
          <w:szCs w:val="24"/>
        </w:rPr>
        <w:t xml:space="preserve"> HH 640/15 where </w:t>
      </w:r>
      <w:r>
        <w:rPr>
          <w:rFonts w:ascii="Times New Roman" w:hAnsi="Times New Roman" w:cs="Times New Roman"/>
        </w:rPr>
        <w:t>MUREMBA J</w:t>
      </w:r>
      <w:r>
        <w:rPr>
          <w:rFonts w:ascii="Times New Roman" w:hAnsi="Times New Roman" w:cs="Times New Roman"/>
          <w:sz w:val="24"/>
          <w:szCs w:val="24"/>
        </w:rPr>
        <w:t xml:space="preserve"> granted the discharge of the </w:t>
      </w:r>
      <w:r w:rsidRPr="00B47AA0">
        <w:rPr>
          <w:rFonts w:ascii="Times New Roman" w:hAnsi="Times New Roman" w:cs="Times New Roman"/>
          <w:i/>
          <w:sz w:val="24"/>
          <w:szCs w:val="24"/>
        </w:rPr>
        <w:t>pignus judiciale</w:t>
      </w:r>
      <w:r>
        <w:rPr>
          <w:rFonts w:ascii="Times New Roman" w:hAnsi="Times New Roman" w:cs="Times New Roman"/>
          <w:sz w:val="24"/>
          <w:szCs w:val="24"/>
        </w:rPr>
        <w:t xml:space="preserve"> after considering that the claimant</w:t>
      </w:r>
      <w:r w:rsidR="00476E11">
        <w:rPr>
          <w:rFonts w:ascii="Times New Roman" w:hAnsi="Times New Roman" w:cs="Times New Roman"/>
          <w:sz w:val="24"/>
          <w:szCs w:val="24"/>
        </w:rPr>
        <w:t>s</w:t>
      </w:r>
      <w:r>
        <w:rPr>
          <w:rFonts w:ascii="Times New Roman" w:hAnsi="Times New Roman" w:cs="Times New Roman"/>
          <w:sz w:val="24"/>
          <w:szCs w:val="24"/>
        </w:rPr>
        <w:t xml:space="preserve"> had taken all reasonable steps expected of them to get transfer which transfer could however not be registered on account of a caveat which posed an impediment on transfer. It is worth nothing that at the time of writing this judgment, an appeal against the judgment of </w:t>
      </w:r>
      <w:r w:rsidRPr="00A527FA">
        <w:rPr>
          <w:rFonts w:ascii="Times New Roman" w:hAnsi="Times New Roman" w:cs="Times New Roman"/>
        </w:rPr>
        <w:t>MUREMBA J</w:t>
      </w:r>
      <w:r>
        <w:rPr>
          <w:rFonts w:ascii="Times New Roman" w:hAnsi="Times New Roman" w:cs="Times New Roman"/>
          <w:sz w:val="24"/>
          <w:szCs w:val="24"/>
        </w:rPr>
        <w:t xml:space="preserve"> aforesaid had been determined and dismissed by the Supreme Court as </w:t>
      </w:r>
      <w:r w:rsidRPr="00A527FA">
        <w:rPr>
          <w:rFonts w:ascii="Times New Roman" w:hAnsi="Times New Roman" w:cs="Times New Roman"/>
          <w:i/>
          <w:sz w:val="24"/>
          <w:szCs w:val="24"/>
        </w:rPr>
        <w:t>per</w:t>
      </w:r>
      <w:r>
        <w:rPr>
          <w:rFonts w:ascii="Times New Roman" w:hAnsi="Times New Roman" w:cs="Times New Roman"/>
          <w:sz w:val="24"/>
          <w:szCs w:val="24"/>
        </w:rPr>
        <w:t xml:space="preserve"> the judgment of </w:t>
      </w:r>
      <w:r w:rsidRPr="00A527FA">
        <w:rPr>
          <w:rFonts w:ascii="Times New Roman" w:hAnsi="Times New Roman" w:cs="Times New Roman"/>
        </w:rPr>
        <w:t>UCHENA J</w:t>
      </w:r>
      <w:r w:rsidR="00E23D19">
        <w:rPr>
          <w:rFonts w:ascii="Times New Roman" w:hAnsi="Times New Roman" w:cs="Times New Roman"/>
        </w:rPr>
        <w:t>A</w:t>
      </w:r>
      <w:r>
        <w:rPr>
          <w:rFonts w:ascii="Times New Roman" w:hAnsi="Times New Roman" w:cs="Times New Roman"/>
          <w:sz w:val="24"/>
          <w:szCs w:val="24"/>
        </w:rPr>
        <w:t xml:space="preserve"> in </w:t>
      </w:r>
      <w:r w:rsidRPr="00A527FA">
        <w:rPr>
          <w:rFonts w:ascii="Times New Roman" w:hAnsi="Times New Roman" w:cs="Times New Roman"/>
          <w:i/>
          <w:sz w:val="24"/>
          <w:szCs w:val="24"/>
        </w:rPr>
        <w:t>CBA Bank Ltd</w:t>
      </w:r>
      <w:r>
        <w:rPr>
          <w:rFonts w:ascii="Times New Roman" w:hAnsi="Times New Roman" w:cs="Times New Roman"/>
          <w:sz w:val="24"/>
          <w:szCs w:val="24"/>
        </w:rPr>
        <w:t xml:space="preserve"> v </w:t>
      </w:r>
      <w:r w:rsidRPr="00A527FA">
        <w:rPr>
          <w:rFonts w:ascii="Times New Roman" w:hAnsi="Times New Roman" w:cs="Times New Roman"/>
          <w:i/>
          <w:sz w:val="24"/>
          <w:szCs w:val="24"/>
        </w:rPr>
        <w:t>David Moyo &amp; David</w:t>
      </w:r>
      <w:r>
        <w:rPr>
          <w:rFonts w:ascii="Times New Roman" w:hAnsi="Times New Roman" w:cs="Times New Roman"/>
          <w:sz w:val="24"/>
          <w:szCs w:val="24"/>
        </w:rPr>
        <w:t xml:space="preserve"> </w:t>
      </w:r>
      <w:r w:rsidRPr="00A527FA">
        <w:rPr>
          <w:rFonts w:ascii="Times New Roman" w:hAnsi="Times New Roman" w:cs="Times New Roman"/>
          <w:i/>
          <w:sz w:val="24"/>
          <w:szCs w:val="24"/>
        </w:rPr>
        <w:t>Sheriff Harare</w:t>
      </w:r>
      <w:r>
        <w:rPr>
          <w:rFonts w:ascii="Times New Roman" w:hAnsi="Times New Roman" w:cs="Times New Roman"/>
          <w:sz w:val="24"/>
          <w:szCs w:val="24"/>
        </w:rPr>
        <w:t xml:space="preserve"> under case No. SC 17/18.</w:t>
      </w:r>
    </w:p>
    <w:p w:rsidR="00E64F9F" w:rsidRDefault="00E64F9F" w:rsidP="00E64F9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w:t>
      </w:r>
      <w:r w:rsidRPr="00A527FA">
        <w:rPr>
          <w:rFonts w:ascii="Times New Roman" w:hAnsi="Times New Roman" w:cs="Times New Roman"/>
          <w:i/>
          <w:sz w:val="24"/>
          <w:szCs w:val="24"/>
        </w:rPr>
        <w:t>casu</w:t>
      </w:r>
      <w:r>
        <w:rPr>
          <w:rFonts w:ascii="Times New Roman" w:hAnsi="Times New Roman" w:cs="Times New Roman"/>
          <w:sz w:val="24"/>
          <w:szCs w:val="24"/>
        </w:rPr>
        <w:t>, the following material averments by the claimant were not denied by the judgment creditor.</w:t>
      </w:r>
    </w:p>
    <w:p w:rsidR="00E64F9F" w:rsidRDefault="00E64F9F" w:rsidP="00E64F9F">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the claimant purchased the attached property and fully paid for it.</w:t>
      </w:r>
    </w:p>
    <w:p w:rsidR="00E64F9F" w:rsidRDefault="00E64F9F" w:rsidP="00E64F9F">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that the claimant took the step of securing that the purchased property is detached by the certificate of registered </w:t>
      </w:r>
      <w:r w:rsidR="00476E11">
        <w:rPr>
          <w:rFonts w:ascii="Times New Roman" w:hAnsi="Times New Roman" w:cs="Times New Roman"/>
          <w:sz w:val="24"/>
          <w:szCs w:val="24"/>
        </w:rPr>
        <w:t xml:space="preserve">title </w:t>
      </w:r>
      <w:r>
        <w:rPr>
          <w:rFonts w:ascii="Times New Roman" w:hAnsi="Times New Roman" w:cs="Times New Roman"/>
          <w:sz w:val="24"/>
          <w:szCs w:val="24"/>
        </w:rPr>
        <w:t>from the rest of the seller’s property so that it could singularly be transferred to the claimant.</w:t>
      </w:r>
    </w:p>
    <w:p w:rsidR="00E64F9F" w:rsidRDefault="00E64F9F" w:rsidP="00E64F9F">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transfer of the property to the claimant  was under way.</w:t>
      </w:r>
    </w:p>
    <w:p w:rsidR="00E64F9F" w:rsidRDefault="00E64F9F" w:rsidP="00E64F9F">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the claimant had taken occupation, risk and profit in the said property and had absolute control and enjoyment of the property.</w:t>
      </w:r>
    </w:p>
    <w:p w:rsidR="00E64F9F" w:rsidRDefault="00476E11" w:rsidP="00476E11">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T</w:t>
      </w:r>
      <w:r w:rsidR="00E23D19">
        <w:rPr>
          <w:rFonts w:ascii="Times New Roman" w:hAnsi="Times New Roman" w:cs="Times New Roman"/>
          <w:sz w:val="24"/>
          <w:szCs w:val="24"/>
        </w:rPr>
        <w:t>he judgment creditor</w:t>
      </w:r>
      <w:r w:rsidR="00E64F9F">
        <w:rPr>
          <w:rFonts w:ascii="Times New Roman" w:hAnsi="Times New Roman" w:cs="Times New Roman"/>
          <w:sz w:val="24"/>
          <w:szCs w:val="24"/>
        </w:rPr>
        <w:t xml:space="preserve"> </w:t>
      </w:r>
      <w:r>
        <w:rPr>
          <w:rFonts w:ascii="Times New Roman" w:hAnsi="Times New Roman" w:cs="Times New Roman"/>
          <w:sz w:val="24"/>
          <w:szCs w:val="24"/>
        </w:rPr>
        <w:t xml:space="preserve">did not put </w:t>
      </w:r>
      <w:r w:rsidR="00E23D19">
        <w:rPr>
          <w:rFonts w:ascii="Times New Roman" w:hAnsi="Times New Roman" w:cs="Times New Roman"/>
          <w:sz w:val="24"/>
          <w:szCs w:val="24"/>
        </w:rPr>
        <w:t xml:space="preserve">into </w:t>
      </w:r>
      <w:r>
        <w:rPr>
          <w:rFonts w:ascii="Times New Roman" w:hAnsi="Times New Roman" w:cs="Times New Roman"/>
          <w:sz w:val="24"/>
          <w:szCs w:val="24"/>
        </w:rPr>
        <w:t xml:space="preserve">issue the </w:t>
      </w:r>
      <w:r w:rsidR="00E23D19">
        <w:rPr>
          <w:rFonts w:ascii="Times New Roman" w:hAnsi="Times New Roman" w:cs="Times New Roman"/>
          <w:sz w:val="24"/>
          <w:szCs w:val="24"/>
        </w:rPr>
        <w:t>claimant’s factual</w:t>
      </w:r>
      <w:r>
        <w:rPr>
          <w:rFonts w:ascii="Times New Roman" w:hAnsi="Times New Roman" w:cs="Times New Roman"/>
          <w:sz w:val="24"/>
          <w:szCs w:val="24"/>
        </w:rPr>
        <w:t xml:space="preserve"> </w:t>
      </w:r>
      <w:r w:rsidR="00E23D19">
        <w:rPr>
          <w:rFonts w:ascii="Times New Roman" w:hAnsi="Times New Roman" w:cs="Times New Roman"/>
          <w:sz w:val="24"/>
          <w:szCs w:val="24"/>
        </w:rPr>
        <w:t>averments</w:t>
      </w:r>
      <w:r>
        <w:rPr>
          <w:rFonts w:ascii="Times New Roman" w:hAnsi="Times New Roman" w:cs="Times New Roman"/>
          <w:sz w:val="24"/>
          <w:szCs w:val="24"/>
        </w:rPr>
        <w:t xml:space="preserve"> as summarized. The judgment creditor’s </w:t>
      </w:r>
      <w:r w:rsidR="00E23D19">
        <w:rPr>
          <w:rFonts w:ascii="Times New Roman" w:hAnsi="Times New Roman" w:cs="Times New Roman"/>
          <w:sz w:val="24"/>
          <w:szCs w:val="24"/>
        </w:rPr>
        <w:t xml:space="preserve">instead </w:t>
      </w:r>
      <w:r>
        <w:rPr>
          <w:rFonts w:ascii="Times New Roman" w:hAnsi="Times New Roman" w:cs="Times New Roman"/>
          <w:sz w:val="24"/>
          <w:szCs w:val="24"/>
        </w:rPr>
        <w:t>raised a legal issue</w:t>
      </w:r>
      <w:r w:rsidR="00E64F9F">
        <w:rPr>
          <w:rFonts w:ascii="Times New Roman" w:hAnsi="Times New Roman" w:cs="Times New Roman"/>
          <w:sz w:val="24"/>
          <w:szCs w:val="24"/>
        </w:rPr>
        <w:t xml:space="preserve"> that until the claimant had taken transfer of the property, it could not successfully claim ownership of the property. In my judgment, the judgment creditor was not properly advised in holding</w:t>
      </w:r>
      <w:r w:rsidR="00E23D19">
        <w:rPr>
          <w:rFonts w:ascii="Times New Roman" w:hAnsi="Times New Roman" w:cs="Times New Roman"/>
          <w:sz w:val="24"/>
          <w:szCs w:val="24"/>
        </w:rPr>
        <w:t xml:space="preserve"> as absolute,</w:t>
      </w:r>
      <w:r w:rsidR="00E64F9F">
        <w:rPr>
          <w:rFonts w:ascii="Times New Roman" w:hAnsi="Times New Roman" w:cs="Times New Roman"/>
          <w:sz w:val="24"/>
          <w:szCs w:val="24"/>
        </w:rPr>
        <w:t xml:space="preserve"> the position that until the claimant had taken transfer, it could not enforce its personal rights as against the judgment creditor who has attached the property basing the right of attachment on the fact that the registered title holder is the judgment debtor. The judgment creditor failed to </w:t>
      </w:r>
      <w:r w:rsidR="00E64F9F">
        <w:rPr>
          <w:rFonts w:ascii="Times New Roman" w:hAnsi="Times New Roman" w:cs="Times New Roman"/>
          <w:sz w:val="24"/>
          <w:szCs w:val="24"/>
        </w:rPr>
        <w:lastRenderedPageBreak/>
        <w:t xml:space="preserve">appreciate that a title deed is not conclusive proof of ownership rights. The existence of a title deed in the name of the judgment creditor is merely </w:t>
      </w:r>
      <w:r w:rsidR="00E64F9F" w:rsidRPr="0028580E">
        <w:rPr>
          <w:rFonts w:ascii="Times New Roman" w:hAnsi="Times New Roman" w:cs="Times New Roman"/>
          <w:i/>
          <w:sz w:val="24"/>
          <w:szCs w:val="24"/>
        </w:rPr>
        <w:t>prima facie</w:t>
      </w:r>
      <w:r w:rsidR="00E64F9F">
        <w:rPr>
          <w:rFonts w:ascii="Times New Roman" w:hAnsi="Times New Roman" w:cs="Times New Roman"/>
          <w:sz w:val="24"/>
          <w:szCs w:val="24"/>
        </w:rPr>
        <w:t xml:space="preserve"> proof of ownership and such ownership rights can be challenged successfully by a claimant. Where a challenge has been made, the court will if the claimant proves special circumstances set aside the attachment.</w:t>
      </w:r>
    </w:p>
    <w:p w:rsidR="00E64F9F" w:rsidRDefault="00E64F9F" w:rsidP="00E64F9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Where an allegation made is not denied, it must be taken as admitted. The judgment creditor did not deny the material averments made by the </w:t>
      </w:r>
      <w:r w:rsidR="00476E11">
        <w:rPr>
          <w:rFonts w:ascii="Times New Roman" w:hAnsi="Times New Roman" w:cs="Times New Roman"/>
          <w:sz w:val="24"/>
          <w:szCs w:val="24"/>
        </w:rPr>
        <w:t>claimant</w:t>
      </w:r>
      <w:r>
        <w:rPr>
          <w:rFonts w:ascii="Times New Roman" w:hAnsi="Times New Roman" w:cs="Times New Roman"/>
          <w:sz w:val="24"/>
          <w:szCs w:val="24"/>
        </w:rPr>
        <w:t xml:space="preserve"> in regard to </w:t>
      </w:r>
      <w:r w:rsidR="00476E11">
        <w:rPr>
          <w:rFonts w:ascii="Times New Roman" w:hAnsi="Times New Roman" w:cs="Times New Roman"/>
          <w:sz w:val="24"/>
          <w:szCs w:val="24"/>
        </w:rPr>
        <w:t xml:space="preserve">the existence of </w:t>
      </w:r>
      <w:r>
        <w:rPr>
          <w:rFonts w:ascii="Times New Roman" w:hAnsi="Times New Roman" w:cs="Times New Roman"/>
          <w:sz w:val="24"/>
          <w:szCs w:val="24"/>
        </w:rPr>
        <w:t xml:space="preserve">special circumstances for setting aside the attachment. It mistakenly held the position that for as long as the claimant had not taken transfer of the attached property, it could not lawfully seek the setting aside of the attachment. The judgment creditor was not minded to address the </w:t>
      </w:r>
      <w:r w:rsidR="00476E11">
        <w:rPr>
          <w:rFonts w:ascii="Times New Roman" w:hAnsi="Times New Roman" w:cs="Times New Roman"/>
          <w:sz w:val="24"/>
          <w:szCs w:val="24"/>
        </w:rPr>
        <w:t xml:space="preserve">legal </w:t>
      </w:r>
      <w:r>
        <w:rPr>
          <w:rFonts w:ascii="Times New Roman" w:hAnsi="Times New Roman" w:cs="Times New Roman"/>
          <w:sz w:val="24"/>
          <w:szCs w:val="24"/>
        </w:rPr>
        <w:t>exception of setting aside the execution on the basis of the existence of special circumstances. It simply maintained that the claimant was not the legal owner until registration of transfer. This was hardly the issue. The issue was whether or not despite the fact that the claimant had not yet taken transfer of the property, there existed grounds amounting to special circumstances warranting that the attachment and execution should be set aside.</w:t>
      </w:r>
    </w:p>
    <w:p w:rsidR="00E64F9F" w:rsidRDefault="00E64F9F" w:rsidP="00E64F9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the circumstances I am persuaded that special circumstances exist warranting the court to set aside the attachment. The claimant’s averments that it took all necessary steps to get transfer of the property and had assumed occupation, risk and profit in the property were not controverted. It would be inequitable and certainly not in the interests of justice to allow the execution of the property. The judgment creditor’s interest in the property was to all intents and purposes a paper one inasmuch as it could not and did not lay claim to ownership of the property. The property was therefore on paper registered in the judgment creditor’s name but the judgment creditor had relinquished its rights in favour of the claimant. In terms of s 165 (1) (a) of the constitution</w:t>
      </w:r>
      <w:r w:rsidR="00476E11">
        <w:rPr>
          <w:rFonts w:ascii="Times New Roman" w:hAnsi="Times New Roman" w:cs="Times New Roman"/>
          <w:sz w:val="24"/>
          <w:szCs w:val="24"/>
        </w:rPr>
        <w:t>,</w:t>
      </w:r>
      <w:r>
        <w:rPr>
          <w:rFonts w:ascii="Times New Roman" w:hAnsi="Times New Roman" w:cs="Times New Roman"/>
          <w:sz w:val="24"/>
          <w:szCs w:val="24"/>
        </w:rPr>
        <w:t xml:space="preserve"> the courts must aim to do justice to all persons. This entails achieving fairness taking into account equities and the public policy considerations. The courts must also develop the common law as mandated in s 176 of the constitution. The position taken by the judgment creditor is supported by common law but then even the common law allows for exception where if there are special circumstances, execution of immovable property still registered in the name of a person who has disposed of it can be spared from execution at the instance of the purchaser who is yet to take transfer.</w:t>
      </w:r>
    </w:p>
    <w:p w:rsidR="00E64F9F" w:rsidRDefault="00E64F9F" w:rsidP="00E64F9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 </w:t>
      </w:r>
      <w:r w:rsidR="00476E11">
        <w:rPr>
          <w:rFonts w:ascii="Times New Roman" w:hAnsi="Times New Roman" w:cs="Times New Roman"/>
          <w:sz w:val="24"/>
          <w:szCs w:val="24"/>
        </w:rPr>
        <w:t xml:space="preserve">therefore </w:t>
      </w:r>
      <w:r>
        <w:rPr>
          <w:rFonts w:ascii="Times New Roman" w:hAnsi="Times New Roman" w:cs="Times New Roman"/>
          <w:sz w:val="24"/>
          <w:szCs w:val="24"/>
        </w:rPr>
        <w:t>determine the application by order as follows:</w:t>
      </w:r>
    </w:p>
    <w:p w:rsidR="00E64F9F" w:rsidRDefault="00E64F9F" w:rsidP="00E64F9F">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claimant’s claim succeeds and the attachment in execution by the applicant on 26 July 2016 in case No. HC 1096/14 of the property called an undivided 10% share </w:t>
      </w:r>
      <w:r>
        <w:rPr>
          <w:rFonts w:ascii="Times New Roman" w:hAnsi="Times New Roman" w:cs="Times New Roman"/>
          <w:sz w:val="24"/>
          <w:szCs w:val="24"/>
        </w:rPr>
        <w:lastRenderedPageBreak/>
        <w:t>being share No 7 in stand 4056 Glen Lorne Township of s</w:t>
      </w:r>
      <w:r w:rsidR="00476E11">
        <w:rPr>
          <w:rFonts w:ascii="Times New Roman" w:hAnsi="Times New Roman" w:cs="Times New Roman"/>
          <w:sz w:val="24"/>
          <w:szCs w:val="24"/>
        </w:rPr>
        <w:t>tand 3084 Glen Lorne Township he</w:t>
      </w:r>
      <w:r>
        <w:rPr>
          <w:rFonts w:ascii="Times New Roman" w:hAnsi="Times New Roman" w:cs="Times New Roman"/>
          <w:sz w:val="24"/>
          <w:szCs w:val="24"/>
        </w:rPr>
        <w:t>ld under Certificate of Registered Title Number 1632/14 dated 21 May 2014 is hereby set aside.</w:t>
      </w:r>
    </w:p>
    <w:p w:rsidR="00E64F9F" w:rsidRDefault="00E64F9F" w:rsidP="00E64F9F">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judgment creditor is ordered to pay the applicant and claimant’s costs of the application.</w:t>
      </w:r>
    </w:p>
    <w:p w:rsidR="00E64F9F" w:rsidRDefault="00E64F9F" w:rsidP="00E64F9F">
      <w:pPr>
        <w:spacing w:after="0" w:line="360" w:lineRule="auto"/>
        <w:jc w:val="both"/>
        <w:rPr>
          <w:rFonts w:ascii="Times New Roman" w:hAnsi="Times New Roman" w:cs="Times New Roman"/>
          <w:sz w:val="24"/>
          <w:szCs w:val="24"/>
        </w:rPr>
      </w:pPr>
    </w:p>
    <w:p w:rsidR="00E64F9F" w:rsidRDefault="00E64F9F" w:rsidP="00E64F9F">
      <w:pPr>
        <w:spacing w:after="0" w:line="360" w:lineRule="auto"/>
        <w:jc w:val="both"/>
        <w:rPr>
          <w:rFonts w:ascii="Times New Roman" w:hAnsi="Times New Roman" w:cs="Times New Roman"/>
          <w:sz w:val="24"/>
          <w:szCs w:val="24"/>
        </w:rPr>
      </w:pPr>
    </w:p>
    <w:p w:rsidR="00E64F9F" w:rsidRDefault="00E64F9F" w:rsidP="00E64F9F">
      <w:pPr>
        <w:spacing w:after="0" w:line="360" w:lineRule="auto"/>
        <w:jc w:val="both"/>
        <w:rPr>
          <w:rFonts w:ascii="Times New Roman" w:hAnsi="Times New Roman" w:cs="Times New Roman"/>
          <w:sz w:val="24"/>
          <w:szCs w:val="24"/>
        </w:rPr>
      </w:pPr>
    </w:p>
    <w:p w:rsidR="00E64F9F" w:rsidRDefault="00476E11" w:rsidP="00476E11">
      <w:pPr>
        <w:spacing w:after="0" w:line="240" w:lineRule="auto"/>
        <w:jc w:val="both"/>
        <w:rPr>
          <w:rFonts w:ascii="Times New Roman" w:hAnsi="Times New Roman" w:cs="Times New Roman"/>
          <w:sz w:val="24"/>
          <w:szCs w:val="24"/>
        </w:rPr>
      </w:pPr>
      <w:r w:rsidRPr="00476E11">
        <w:rPr>
          <w:rFonts w:ascii="Times New Roman" w:hAnsi="Times New Roman" w:cs="Times New Roman"/>
          <w:i/>
          <w:sz w:val="24"/>
          <w:szCs w:val="24"/>
        </w:rPr>
        <w:t>Kantor &amp; Immerman</w:t>
      </w:r>
      <w:r>
        <w:rPr>
          <w:rFonts w:ascii="Times New Roman" w:hAnsi="Times New Roman" w:cs="Times New Roman"/>
          <w:sz w:val="24"/>
          <w:szCs w:val="24"/>
        </w:rPr>
        <w:t>, applicant’s legal practitioners</w:t>
      </w:r>
    </w:p>
    <w:p w:rsidR="00E64F9F" w:rsidRDefault="00E64F9F" w:rsidP="00476E11">
      <w:pPr>
        <w:spacing w:after="0" w:line="240" w:lineRule="auto"/>
        <w:jc w:val="both"/>
        <w:rPr>
          <w:rFonts w:ascii="Times New Roman" w:hAnsi="Times New Roman" w:cs="Times New Roman"/>
          <w:sz w:val="24"/>
          <w:szCs w:val="24"/>
        </w:rPr>
      </w:pPr>
      <w:r w:rsidRPr="002B62BC">
        <w:rPr>
          <w:rFonts w:ascii="Times New Roman" w:hAnsi="Times New Roman" w:cs="Times New Roman"/>
          <w:i/>
          <w:sz w:val="24"/>
          <w:szCs w:val="24"/>
        </w:rPr>
        <w:t>Chirenje Legal Practitioners</w:t>
      </w:r>
      <w:r>
        <w:rPr>
          <w:rFonts w:ascii="Times New Roman" w:hAnsi="Times New Roman" w:cs="Times New Roman"/>
          <w:sz w:val="24"/>
          <w:szCs w:val="24"/>
        </w:rPr>
        <w:t>, claimant’s legal practitioners</w:t>
      </w:r>
    </w:p>
    <w:p w:rsidR="00E64F9F" w:rsidRPr="002B62BC" w:rsidRDefault="00E64F9F" w:rsidP="00E64F9F">
      <w:pPr>
        <w:spacing w:after="0" w:line="240" w:lineRule="auto"/>
        <w:jc w:val="both"/>
        <w:rPr>
          <w:rFonts w:ascii="Times New Roman" w:hAnsi="Times New Roman" w:cs="Times New Roman"/>
          <w:sz w:val="24"/>
          <w:szCs w:val="24"/>
        </w:rPr>
      </w:pPr>
      <w:r w:rsidRPr="002B62BC">
        <w:rPr>
          <w:rFonts w:ascii="Times New Roman" w:hAnsi="Times New Roman" w:cs="Times New Roman"/>
          <w:i/>
          <w:sz w:val="24"/>
          <w:szCs w:val="24"/>
        </w:rPr>
        <w:t>Dube Manika</w:t>
      </w:r>
      <w:r w:rsidR="00241F9A">
        <w:rPr>
          <w:rFonts w:ascii="Times New Roman" w:hAnsi="Times New Roman" w:cs="Times New Roman"/>
          <w:i/>
          <w:sz w:val="24"/>
          <w:szCs w:val="24"/>
        </w:rPr>
        <w:t>i</w:t>
      </w:r>
      <w:r w:rsidRPr="002B62BC">
        <w:rPr>
          <w:rFonts w:ascii="Times New Roman" w:hAnsi="Times New Roman" w:cs="Times New Roman"/>
          <w:i/>
          <w:sz w:val="24"/>
          <w:szCs w:val="24"/>
        </w:rPr>
        <w:t xml:space="preserve"> &amp; Hwacha</w:t>
      </w:r>
      <w:r>
        <w:rPr>
          <w:rFonts w:ascii="Times New Roman" w:hAnsi="Times New Roman" w:cs="Times New Roman"/>
          <w:sz w:val="24"/>
          <w:szCs w:val="24"/>
        </w:rPr>
        <w:t>, judgment creditor’s legal practitioners</w:t>
      </w:r>
    </w:p>
    <w:p w:rsidR="00E64F9F" w:rsidRPr="0028580E" w:rsidRDefault="00E64F9F" w:rsidP="00E64F9F">
      <w:pPr>
        <w:spacing w:after="0" w:line="360" w:lineRule="auto"/>
        <w:jc w:val="both"/>
        <w:rPr>
          <w:rFonts w:ascii="Times New Roman" w:hAnsi="Times New Roman" w:cs="Times New Roman"/>
          <w:sz w:val="24"/>
          <w:szCs w:val="24"/>
        </w:rPr>
      </w:pPr>
    </w:p>
    <w:p w:rsidR="008404B8" w:rsidRDefault="008404B8" w:rsidP="00AD46C5">
      <w:pPr>
        <w:spacing w:after="0" w:line="360" w:lineRule="auto"/>
        <w:jc w:val="both"/>
        <w:rPr>
          <w:rFonts w:ascii="Times New Roman" w:hAnsi="Times New Roman" w:cs="Times New Roman"/>
          <w:sz w:val="24"/>
          <w:szCs w:val="24"/>
        </w:rPr>
      </w:pPr>
    </w:p>
    <w:p w:rsidR="008404B8" w:rsidRDefault="008404B8" w:rsidP="00AD46C5">
      <w:pPr>
        <w:spacing w:after="0" w:line="360" w:lineRule="auto"/>
        <w:jc w:val="both"/>
        <w:rPr>
          <w:rFonts w:ascii="Times New Roman" w:hAnsi="Times New Roman" w:cs="Times New Roman"/>
          <w:sz w:val="24"/>
          <w:szCs w:val="24"/>
        </w:rPr>
      </w:pPr>
    </w:p>
    <w:p w:rsidR="008404B8" w:rsidRDefault="008404B8" w:rsidP="00AD46C5">
      <w:pPr>
        <w:spacing w:after="0" w:line="360" w:lineRule="auto"/>
        <w:jc w:val="both"/>
        <w:rPr>
          <w:rFonts w:ascii="Times New Roman" w:hAnsi="Times New Roman" w:cs="Times New Roman"/>
          <w:sz w:val="24"/>
          <w:szCs w:val="24"/>
        </w:rPr>
      </w:pPr>
    </w:p>
    <w:p w:rsidR="008404B8" w:rsidRDefault="008404B8" w:rsidP="00AD46C5">
      <w:pPr>
        <w:spacing w:after="0" w:line="360" w:lineRule="auto"/>
        <w:jc w:val="both"/>
        <w:rPr>
          <w:rFonts w:ascii="Times New Roman" w:hAnsi="Times New Roman" w:cs="Times New Roman"/>
          <w:sz w:val="24"/>
          <w:szCs w:val="24"/>
        </w:rPr>
      </w:pPr>
    </w:p>
    <w:p w:rsidR="008404B8" w:rsidRDefault="008404B8" w:rsidP="00AD46C5">
      <w:pPr>
        <w:spacing w:after="0" w:line="360" w:lineRule="auto"/>
        <w:jc w:val="both"/>
        <w:rPr>
          <w:rFonts w:ascii="Times New Roman" w:hAnsi="Times New Roman" w:cs="Times New Roman"/>
          <w:sz w:val="24"/>
          <w:szCs w:val="24"/>
        </w:rPr>
      </w:pPr>
    </w:p>
    <w:sectPr w:rsidR="008404B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2AA" w:rsidRDefault="003552AA" w:rsidP="008404B8">
      <w:pPr>
        <w:spacing w:after="0" w:line="240" w:lineRule="auto"/>
      </w:pPr>
      <w:r>
        <w:separator/>
      </w:r>
    </w:p>
  </w:endnote>
  <w:endnote w:type="continuationSeparator" w:id="0">
    <w:p w:rsidR="003552AA" w:rsidRDefault="003552AA" w:rsidP="008404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216" w:rsidRDefault="0032021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216" w:rsidRDefault="0032021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216" w:rsidRDefault="0032021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2AA" w:rsidRDefault="003552AA" w:rsidP="008404B8">
      <w:pPr>
        <w:spacing w:after="0" w:line="240" w:lineRule="auto"/>
      </w:pPr>
      <w:r>
        <w:separator/>
      </w:r>
    </w:p>
  </w:footnote>
  <w:footnote w:type="continuationSeparator" w:id="0">
    <w:p w:rsidR="003552AA" w:rsidRDefault="003552AA" w:rsidP="008404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216" w:rsidRDefault="0032021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0174960"/>
      <w:docPartObj>
        <w:docPartGallery w:val="Page Numbers (Top of Page)"/>
        <w:docPartUnique/>
      </w:docPartObj>
    </w:sdtPr>
    <w:sdtEndPr>
      <w:rPr>
        <w:noProof/>
      </w:rPr>
    </w:sdtEndPr>
    <w:sdtContent>
      <w:p w:rsidR="008404B8" w:rsidRDefault="008404B8">
        <w:pPr>
          <w:pStyle w:val="Header"/>
          <w:jc w:val="right"/>
          <w:rPr>
            <w:noProof/>
          </w:rPr>
        </w:pPr>
        <w:r>
          <w:fldChar w:fldCharType="begin"/>
        </w:r>
        <w:r>
          <w:instrText xml:space="preserve"> PAGE   \* MERGEFORMAT </w:instrText>
        </w:r>
        <w:r>
          <w:fldChar w:fldCharType="separate"/>
        </w:r>
        <w:r w:rsidR="006C5606">
          <w:rPr>
            <w:noProof/>
          </w:rPr>
          <w:t>1</w:t>
        </w:r>
        <w:r>
          <w:rPr>
            <w:noProof/>
          </w:rPr>
          <w:fldChar w:fldCharType="end"/>
        </w:r>
      </w:p>
      <w:p w:rsidR="008404B8" w:rsidRDefault="008404B8">
        <w:pPr>
          <w:pStyle w:val="Header"/>
          <w:jc w:val="right"/>
          <w:rPr>
            <w:noProof/>
          </w:rPr>
        </w:pPr>
        <w:r>
          <w:rPr>
            <w:noProof/>
          </w:rPr>
          <w:t>HH</w:t>
        </w:r>
        <w:r w:rsidR="00320216">
          <w:rPr>
            <w:noProof/>
          </w:rPr>
          <w:t xml:space="preserve"> 505-18</w:t>
        </w:r>
      </w:p>
      <w:p w:rsidR="008404B8" w:rsidRDefault="008404B8">
        <w:pPr>
          <w:pStyle w:val="Header"/>
          <w:jc w:val="right"/>
        </w:pPr>
        <w:r>
          <w:rPr>
            <w:noProof/>
          </w:rPr>
          <w:t>HC 10826/16</w:t>
        </w:r>
      </w:p>
    </w:sdtContent>
  </w:sdt>
  <w:p w:rsidR="008404B8" w:rsidRDefault="008404B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216" w:rsidRDefault="0032021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44814"/>
    <w:multiLevelType w:val="hybridMultilevel"/>
    <w:tmpl w:val="02B2D2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4E6621"/>
    <w:multiLevelType w:val="hybridMultilevel"/>
    <w:tmpl w:val="BBB80D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B22"/>
    <w:rsid w:val="00172F9F"/>
    <w:rsid w:val="0020026E"/>
    <w:rsid w:val="00241F9A"/>
    <w:rsid w:val="002E67F5"/>
    <w:rsid w:val="00313D87"/>
    <w:rsid w:val="00320216"/>
    <w:rsid w:val="0034227B"/>
    <w:rsid w:val="003552AA"/>
    <w:rsid w:val="00397BCF"/>
    <w:rsid w:val="003E4EEB"/>
    <w:rsid w:val="00476E11"/>
    <w:rsid w:val="005536A2"/>
    <w:rsid w:val="0058131A"/>
    <w:rsid w:val="005A0140"/>
    <w:rsid w:val="00682806"/>
    <w:rsid w:val="006B6B22"/>
    <w:rsid w:val="006C5606"/>
    <w:rsid w:val="00710E1B"/>
    <w:rsid w:val="007D0D0C"/>
    <w:rsid w:val="008404B8"/>
    <w:rsid w:val="00AD46C5"/>
    <w:rsid w:val="00B004D7"/>
    <w:rsid w:val="00B015D5"/>
    <w:rsid w:val="00B04793"/>
    <w:rsid w:val="00B8479E"/>
    <w:rsid w:val="00D22AF6"/>
    <w:rsid w:val="00D323A0"/>
    <w:rsid w:val="00D73F5A"/>
    <w:rsid w:val="00E10222"/>
    <w:rsid w:val="00E23D19"/>
    <w:rsid w:val="00E64F9F"/>
    <w:rsid w:val="00ED4A33"/>
    <w:rsid w:val="00EE5AB8"/>
    <w:rsid w:val="00FC3B7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0D1212-3FEF-4055-BC0D-EEAA67F5F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04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04B8"/>
  </w:style>
  <w:style w:type="paragraph" w:styleId="Footer">
    <w:name w:val="footer"/>
    <w:basedOn w:val="Normal"/>
    <w:link w:val="FooterChar"/>
    <w:uiPriority w:val="99"/>
    <w:unhideWhenUsed/>
    <w:rsid w:val="008404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04B8"/>
  </w:style>
  <w:style w:type="paragraph" w:styleId="ListParagraph">
    <w:name w:val="List Paragraph"/>
    <w:basedOn w:val="Normal"/>
    <w:uiPriority w:val="34"/>
    <w:qFormat/>
    <w:rsid w:val="00E64F9F"/>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2777</Words>
  <Characters>15830</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JSC</cp:lastModifiedBy>
  <cp:revision>2</cp:revision>
  <dcterms:created xsi:type="dcterms:W3CDTF">2018-08-31T07:44:00Z</dcterms:created>
  <dcterms:modified xsi:type="dcterms:W3CDTF">2018-08-31T07:44:00Z</dcterms:modified>
</cp:coreProperties>
</file>