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95D" w:rsidRDefault="006F295D" w:rsidP="00FC510D">
      <w:pPr>
        <w:spacing w:after="0" w:line="240" w:lineRule="auto"/>
        <w:rPr>
          <w:rFonts w:ascii="Tahoma" w:hAnsi="Tahoma" w:cs="Tahoma"/>
          <w:b/>
          <w:sz w:val="24"/>
          <w:szCs w:val="24"/>
        </w:rPr>
      </w:pPr>
      <w:bookmarkStart w:id="0" w:name="_GoBack"/>
      <w:bookmarkEnd w:id="0"/>
    </w:p>
    <w:p w:rsidR="007C208A" w:rsidRPr="006F4EB0" w:rsidRDefault="00FC510D" w:rsidP="00FC510D">
      <w:pPr>
        <w:spacing w:after="0" w:line="240" w:lineRule="auto"/>
        <w:rPr>
          <w:rFonts w:ascii="Tahoma" w:hAnsi="Tahoma" w:cs="Tahoma"/>
          <w:b/>
          <w:sz w:val="24"/>
          <w:szCs w:val="24"/>
        </w:rPr>
      </w:pPr>
      <w:r w:rsidRPr="006F4EB0">
        <w:rPr>
          <w:rFonts w:ascii="Tahoma" w:hAnsi="Tahoma" w:cs="Tahoma"/>
          <w:b/>
          <w:sz w:val="24"/>
          <w:szCs w:val="24"/>
        </w:rPr>
        <w:t xml:space="preserve">IN THE LABOUR COURT </w:t>
      </w:r>
      <w:r w:rsidR="00924D52">
        <w:rPr>
          <w:rFonts w:ascii="Tahoma" w:hAnsi="Tahoma" w:cs="Tahoma"/>
          <w:b/>
          <w:sz w:val="24"/>
          <w:szCs w:val="24"/>
        </w:rPr>
        <w:t>OF ZIMBABWE</w:t>
      </w:r>
      <w:r w:rsidR="00924D52">
        <w:rPr>
          <w:rFonts w:ascii="Tahoma" w:hAnsi="Tahoma" w:cs="Tahoma"/>
          <w:b/>
          <w:sz w:val="24"/>
          <w:szCs w:val="24"/>
        </w:rPr>
        <w:tab/>
      </w:r>
      <w:r w:rsidR="004F56A1">
        <w:rPr>
          <w:rFonts w:ascii="Tahoma" w:hAnsi="Tahoma" w:cs="Tahoma"/>
          <w:b/>
          <w:sz w:val="24"/>
          <w:szCs w:val="24"/>
        </w:rPr>
        <w:t xml:space="preserve">     </w:t>
      </w:r>
      <w:r w:rsidR="006F4EB0">
        <w:rPr>
          <w:rFonts w:ascii="Tahoma" w:hAnsi="Tahoma" w:cs="Tahoma"/>
          <w:b/>
          <w:sz w:val="24"/>
          <w:szCs w:val="24"/>
        </w:rPr>
        <w:t>JUDGMENT NO. LC/H/</w:t>
      </w:r>
      <w:r w:rsidR="007C023F">
        <w:rPr>
          <w:rFonts w:ascii="Tahoma" w:hAnsi="Tahoma" w:cs="Tahoma"/>
          <w:b/>
          <w:sz w:val="24"/>
          <w:szCs w:val="24"/>
        </w:rPr>
        <w:t>182</w:t>
      </w:r>
      <w:r w:rsidR="00E843A3">
        <w:rPr>
          <w:rFonts w:ascii="Tahoma" w:hAnsi="Tahoma" w:cs="Tahoma"/>
          <w:b/>
          <w:sz w:val="24"/>
          <w:szCs w:val="24"/>
        </w:rPr>
        <w:t>/2021</w:t>
      </w:r>
    </w:p>
    <w:p w:rsidR="00924D52" w:rsidRDefault="00FC510D" w:rsidP="00FC510D">
      <w:pPr>
        <w:spacing w:after="0" w:line="240" w:lineRule="auto"/>
        <w:rPr>
          <w:rFonts w:ascii="Tahoma" w:hAnsi="Tahoma" w:cs="Tahoma"/>
          <w:b/>
          <w:sz w:val="24"/>
          <w:szCs w:val="24"/>
        </w:rPr>
      </w:pPr>
      <w:r w:rsidRPr="006F4EB0">
        <w:rPr>
          <w:rFonts w:ascii="Tahoma" w:hAnsi="Tahoma" w:cs="Tahoma"/>
          <w:b/>
          <w:sz w:val="24"/>
          <w:szCs w:val="24"/>
        </w:rPr>
        <w:t xml:space="preserve">HARARE, </w:t>
      </w:r>
      <w:r w:rsidR="00AE65F6">
        <w:rPr>
          <w:rFonts w:ascii="Tahoma" w:hAnsi="Tahoma" w:cs="Tahoma"/>
          <w:b/>
          <w:sz w:val="24"/>
          <w:szCs w:val="24"/>
        </w:rPr>
        <w:t>22</w:t>
      </w:r>
      <w:r w:rsidR="00DC2CEA">
        <w:rPr>
          <w:rFonts w:ascii="Tahoma" w:hAnsi="Tahoma" w:cs="Tahoma"/>
          <w:b/>
          <w:sz w:val="24"/>
          <w:szCs w:val="24"/>
        </w:rPr>
        <w:t xml:space="preserve"> SEPTEMBER</w:t>
      </w:r>
      <w:r w:rsidR="00EE4321">
        <w:rPr>
          <w:rFonts w:ascii="Tahoma" w:hAnsi="Tahoma" w:cs="Tahoma"/>
          <w:b/>
          <w:sz w:val="24"/>
          <w:szCs w:val="24"/>
        </w:rPr>
        <w:t>, 202</w:t>
      </w:r>
      <w:r w:rsidR="00DE3843">
        <w:rPr>
          <w:rFonts w:ascii="Tahoma" w:hAnsi="Tahoma" w:cs="Tahoma"/>
          <w:b/>
          <w:sz w:val="24"/>
          <w:szCs w:val="24"/>
        </w:rPr>
        <w:t>1</w:t>
      </w:r>
      <w:r w:rsidR="00924D52">
        <w:rPr>
          <w:rFonts w:ascii="Tahoma" w:hAnsi="Tahoma" w:cs="Tahoma"/>
          <w:b/>
          <w:sz w:val="24"/>
          <w:szCs w:val="24"/>
        </w:rPr>
        <w:tab/>
      </w:r>
      <w:r w:rsidR="00924D52">
        <w:rPr>
          <w:rFonts w:ascii="Tahoma" w:hAnsi="Tahoma" w:cs="Tahoma"/>
          <w:b/>
          <w:sz w:val="24"/>
          <w:szCs w:val="24"/>
        </w:rPr>
        <w:tab/>
      </w:r>
      <w:r w:rsidR="004F56A1">
        <w:rPr>
          <w:rFonts w:ascii="Tahoma" w:hAnsi="Tahoma" w:cs="Tahoma"/>
          <w:b/>
          <w:sz w:val="24"/>
          <w:szCs w:val="24"/>
        </w:rPr>
        <w:t xml:space="preserve">     </w:t>
      </w:r>
      <w:r w:rsidRPr="006F4EB0">
        <w:rPr>
          <w:rFonts w:ascii="Tahoma" w:hAnsi="Tahoma" w:cs="Tahoma"/>
          <w:b/>
          <w:sz w:val="24"/>
          <w:szCs w:val="24"/>
        </w:rPr>
        <w:t>CASE NO.</w:t>
      </w:r>
      <w:r w:rsidR="00AE65F6">
        <w:rPr>
          <w:rFonts w:ascii="Tahoma" w:hAnsi="Tahoma" w:cs="Tahoma"/>
          <w:b/>
          <w:sz w:val="24"/>
          <w:szCs w:val="24"/>
        </w:rPr>
        <w:t xml:space="preserve"> LC/H/41/20</w:t>
      </w:r>
    </w:p>
    <w:p w:rsidR="00FC510D" w:rsidRPr="006F4EB0" w:rsidRDefault="007C023F" w:rsidP="00FC510D">
      <w:pPr>
        <w:spacing w:after="0" w:line="240" w:lineRule="auto"/>
        <w:rPr>
          <w:rFonts w:ascii="Tahoma" w:hAnsi="Tahoma" w:cs="Tahoma"/>
          <w:b/>
          <w:sz w:val="24"/>
          <w:szCs w:val="24"/>
        </w:rPr>
      </w:pPr>
      <w:r>
        <w:rPr>
          <w:rFonts w:ascii="Tahoma" w:hAnsi="Tahoma" w:cs="Tahoma"/>
          <w:b/>
          <w:sz w:val="24"/>
          <w:szCs w:val="24"/>
        </w:rPr>
        <w:t>AND 22 OCTOBER</w:t>
      </w:r>
      <w:r w:rsidR="004F56A1">
        <w:rPr>
          <w:rFonts w:ascii="Tahoma" w:hAnsi="Tahoma" w:cs="Tahoma"/>
          <w:b/>
          <w:sz w:val="24"/>
          <w:szCs w:val="24"/>
        </w:rPr>
        <w:t xml:space="preserve">, </w:t>
      </w:r>
      <w:r w:rsidR="00E843A3">
        <w:rPr>
          <w:rFonts w:ascii="Tahoma" w:hAnsi="Tahoma" w:cs="Tahoma"/>
          <w:b/>
          <w:sz w:val="24"/>
          <w:szCs w:val="24"/>
        </w:rPr>
        <w:t>2021</w:t>
      </w:r>
    </w:p>
    <w:p w:rsidR="00FC510D" w:rsidRPr="006F4EB0" w:rsidRDefault="00FC510D" w:rsidP="00FC510D">
      <w:pPr>
        <w:spacing w:after="0" w:line="240" w:lineRule="auto"/>
        <w:rPr>
          <w:rFonts w:ascii="Tahoma" w:hAnsi="Tahoma" w:cs="Tahoma"/>
          <w:b/>
          <w:sz w:val="24"/>
          <w:szCs w:val="24"/>
        </w:rPr>
      </w:pPr>
    </w:p>
    <w:p w:rsidR="00FC510D" w:rsidRPr="006F4EB0" w:rsidRDefault="00FC510D" w:rsidP="00FC510D">
      <w:pPr>
        <w:spacing w:after="0" w:line="240" w:lineRule="auto"/>
        <w:rPr>
          <w:rFonts w:ascii="Tahoma" w:hAnsi="Tahoma" w:cs="Tahoma"/>
          <w:b/>
          <w:sz w:val="24"/>
          <w:szCs w:val="24"/>
        </w:rPr>
      </w:pPr>
    </w:p>
    <w:p w:rsidR="00FC510D" w:rsidRPr="006F4EB0" w:rsidRDefault="00FC510D" w:rsidP="00FC510D">
      <w:pPr>
        <w:spacing w:after="0" w:line="240" w:lineRule="auto"/>
        <w:rPr>
          <w:rFonts w:ascii="Tahoma" w:hAnsi="Tahoma" w:cs="Tahoma"/>
          <w:sz w:val="24"/>
          <w:szCs w:val="24"/>
        </w:rPr>
      </w:pPr>
      <w:r w:rsidRPr="006F4EB0">
        <w:rPr>
          <w:rFonts w:ascii="Tahoma" w:hAnsi="Tahoma" w:cs="Tahoma"/>
          <w:sz w:val="24"/>
          <w:szCs w:val="24"/>
        </w:rPr>
        <w:t>In the matter between:</w:t>
      </w:r>
    </w:p>
    <w:p w:rsidR="00FC510D" w:rsidRPr="006F4EB0" w:rsidRDefault="00FC510D" w:rsidP="00FC510D">
      <w:pPr>
        <w:spacing w:after="0" w:line="240" w:lineRule="auto"/>
        <w:rPr>
          <w:rFonts w:ascii="Tahoma" w:hAnsi="Tahoma" w:cs="Tahoma"/>
          <w:b/>
          <w:sz w:val="24"/>
          <w:szCs w:val="24"/>
        </w:rPr>
      </w:pPr>
    </w:p>
    <w:p w:rsidR="00FC510D" w:rsidRPr="006F4EB0" w:rsidRDefault="00FC510D" w:rsidP="00FC510D">
      <w:pPr>
        <w:spacing w:after="0" w:line="240" w:lineRule="auto"/>
        <w:rPr>
          <w:rFonts w:ascii="Tahoma" w:hAnsi="Tahoma" w:cs="Tahoma"/>
          <w:b/>
          <w:sz w:val="24"/>
          <w:szCs w:val="24"/>
        </w:rPr>
      </w:pPr>
    </w:p>
    <w:p w:rsidR="00FC510D" w:rsidRPr="00DF5536" w:rsidRDefault="00AE65F6" w:rsidP="00FC510D">
      <w:pPr>
        <w:spacing w:after="0" w:line="240" w:lineRule="auto"/>
        <w:rPr>
          <w:rFonts w:ascii="Tahoma" w:hAnsi="Tahoma" w:cs="Tahoma"/>
          <w:b/>
          <w:sz w:val="24"/>
          <w:szCs w:val="24"/>
        </w:rPr>
      </w:pPr>
      <w:r>
        <w:rPr>
          <w:rFonts w:ascii="Tahoma" w:hAnsi="Tahoma" w:cs="Tahoma"/>
          <w:b/>
          <w:sz w:val="24"/>
          <w:szCs w:val="24"/>
        </w:rPr>
        <w:t>ALEXIO MUNGATE</w:t>
      </w:r>
      <w:r w:rsidR="002550A4">
        <w:rPr>
          <w:rFonts w:ascii="Tahoma" w:hAnsi="Tahoma" w:cs="Tahoma"/>
          <w:b/>
          <w:sz w:val="24"/>
          <w:szCs w:val="24"/>
        </w:rPr>
        <w:tab/>
      </w:r>
      <w:r w:rsidR="002550A4">
        <w:rPr>
          <w:rFonts w:ascii="Tahoma" w:hAnsi="Tahoma" w:cs="Tahoma"/>
          <w:b/>
          <w:sz w:val="24"/>
          <w:szCs w:val="24"/>
        </w:rPr>
        <w:tab/>
      </w:r>
      <w:r w:rsidR="00E843A3">
        <w:rPr>
          <w:rFonts w:ascii="Tahoma" w:hAnsi="Tahoma" w:cs="Tahoma"/>
          <w:b/>
          <w:sz w:val="24"/>
          <w:szCs w:val="24"/>
        </w:rPr>
        <w:tab/>
      </w:r>
      <w:r w:rsidR="009B0121">
        <w:rPr>
          <w:rFonts w:ascii="Tahoma" w:hAnsi="Tahoma" w:cs="Tahoma"/>
          <w:b/>
          <w:sz w:val="24"/>
          <w:szCs w:val="24"/>
        </w:rPr>
        <w:tab/>
      </w:r>
      <w:r w:rsidR="009B0121">
        <w:rPr>
          <w:rFonts w:ascii="Tahoma" w:hAnsi="Tahoma" w:cs="Tahoma"/>
          <w:b/>
          <w:sz w:val="24"/>
          <w:szCs w:val="24"/>
        </w:rPr>
        <w:tab/>
      </w:r>
      <w:r>
        <w:rPr>
          <w:rFonts w:ascii="Tahoma" w:hAnsi="Tahoma" w:cs="Tahoma"/>
          <w:b/>
          <w:sz w:val="24"/>
          <w:szCs w:val="24"/>
        </w:rPr>
        <w:tab/>
      </w:r>
      <w:r>
        <w:rPr>
          <w:rFonts w:ascii="Tahoma" w:hAnsi="Tahoma" w:cs="Tahoma"/>
          <w:b/>
          <w:sz w:val="24"/>
          <w:szCs w:val="24"/>
        </w:rPr>
        <w:tab/>
        <w:t>Appellant</w:t>
      </w:r>
    </w:p>
    <w:p w:rsidR="00FC510D" w:rsidRPr="00DF5536" w:rsidRDefault="00FC510D" w:rsidP="00FC510D">
      <w:pPr>
        <w:spacing w:after="0" w:line="240" w:lineRule="auto"/>
        <w:rPr>
          <w:rFonts w:ascii="Tahoma" w:hAnsi="Tahoma" w:cs="Tahoma"/>
          <w:sz w:val="24"/>
          <w:szCs w:val="24"/>
        </w:rPr>
      </w:pPr>
    </w:p>
    <w:p w:rsidR="004030B9" w:rsidRPr="004030B9" w:rsidRDefault="004030B9" w:rsidP="00FC510D">
      <w:pPr>
        <w:spacing w:after="0" w:line="240" w:lineRule="auto"/>
        <w:rPr>
          <w:rFonts w:ascii="Tahoma" w:hAnsi="Tahoma" w:cs="Tahoma"/>
          <w:sz w:val="24"/>
          <w:szCs w:val="24"/>
        </w:rPr>
      </w:pPr>
      <w:r w:rsidRPr="004030B9">
        <w:rPr>
          <w:rFonts w:ascii="Tahoma" w:hAnsi="Tahoma" w:cs="Tahoma"/>
          <w:sz w:val="24"/>
          <w:szCs w:val="24"/>
        </w:rPr>
        <w:t>Versus</w:t>
      </w:r>
    </w:p>
    <w:p w:rsidR="004030B9" w:rsidRDefault="004030B9" w:rsidP="00FC510D">
      <w:pPr>
        <w:spacing w:after="0" w:line="240" w:lineRule="auto"/>
        <w:rPr>
          <w:rFonts w:ascii="Tahoma" w:hAnsi="Tahoma" w:cs="Tahoma"/>
          <w:b/>
          <w:sz w:val="24"/>
          <w:szCs w:val="24"/>
        </w:rPr>
      </w:pPr>
    </w:p>
    <w:p w:rsidR="004030B9" w:rsidRDefault="00AE65F6" w:rsidP="00FC510D">
      <w:pPr>
        <w:spacing w:after="0" w:line="240" w:lineRule="auto"/>
        <w:rPr>
          <w:rFonts w:ascii="Tahoma" w:hAnsi="Tahoma" w:cs="Tahoma"/>
          <w:b/>
          <w:sz w:val="24"/>
          <w:szCs w:val="24"/>
        </w:rPr>
      </w:pPr>
      <w:r>
        <w:rPr>
          <w:rFonts w:ascii="Tahoma" w:hAnsi="Tahoma" w:cs="Tahoma"/>
          <w:b/>
          <w:sz w:val="24"/>
          <w:szCs w:val="24"/>
        </w:rPr>
        <w:t>ZESA HOLDINGS (PVT) LTD</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004030B9">
        <w:rPr>
          <w:rFonts w:ascii="Tahoma" w:hAnsi="Tahoma" w:cs="Tahoma"/>
          <w:b/>
          <w:sz w:val="24"/>
          <w:szCs w:val="24"/>
        </w:rPr>
        <w:t>Respondent</w:t>
      </w:r>
    </w:p>
    <w:p w:rsidR="00B57B25" w:rsidRDefault="00B57B25" w:rsidP="00FC510D">
      <w:pPr>
        <w:spacing w:after="0" w:line="240" w:lineRule="auto"/>
        <w:rPr>
          <w:rFonts w:ascii="Tahoma" w:hAnsi="Tahoma" w:cs="Tahoma"/>
          <w:b/>
          <w:sz w:val="24"/>
          <w:szCs w:val="24"/>
        </w:rPr>
      </w:pPr>
    </w:p>
    <w:p w:rsidR="00AE65F6" w:rsidRDefault="00AE65F6" w:rsidP="00FC510D">
      <w:pPr>
        <w:spacing w:after="0" w:line="240" w:lineRule="auto"/>
        <w:rPr>
          <w:rFonts w:ascii="Tahoma" w:hAnsi="Tahoma" w:cs="Tahoma"/>
          <w:b/>
          <w:sz w:val="24"/>
          <w:szCs w:val="24"/>
        </w:rPr>
      </w:pPr>
    </w:p>
    <w:p w:rsidR="00FC510D" w:rsidRDefault="00DD6656" w:rsidP="00FC510D">
      <w:pPr>
        <w:spacing w:after="0" w:line="240" w:lineRule="auto"/>
        <w:rPr>
          <w:rFonts w:ascii="Tahoma" w:hAnsi="Tahoma" w:cs="Tahoma"/>
          <w:b/>
          <w:sz w:val="24"/>
          <w:szCs w:val="24"/>
        </w:rPr>
      </w:pPr>
      <w:r w:rsidRPr="006C5BFE">
        <w:rPr>
          <w:rFonts w:ascii="Tahoma" w:hAnsi="Tahoma" w:cs="Tahoma"/>
          <w:b/>
          <w:sz w:val="24"/>
          <w:szCs w:val="24"/>
        </w:rPr>
        <w:t xml:space="preserve">Before The </w:t>
      </w:r>
      <w:r w:rsidR="00B90604" w:rsidRPr="006C5BFE">
        <w:rPr>
          <w:rFonts w:ascii="Tahoma" w:hAnsi="Tahoma" w:cs="Tahoma"/>
          <w:b/>
          <w:sz w:val="24"/>
          <w:szCs w:val="24"/>
        </w:rPr>
        <w:t>Honourable Kachambwa</w:t>
      </w:r>
      <w:r w:rsidRPr="006C5BFE">
        <w:rPr>
          <w:rFonts w:ascii="Tahoma" w:hAnsi="Tahoma" w:cs="Tahoma"/>
          <w:b/>
          <w:sz w:val="24"/>
          <w:szCs w:val="24"/>
        </w:rPr>
        <w:t xml:space="preserve"> J;</w:t>
      </w:r>
    </w:p>
    <w:p w:rsidR="002550A4" w:rsidRPr="006C5BFE" w:rsidRDefault="002550A4" w:rsidP="00FC510D">
      <w:pPr>
        <w:spacing w:after="0" w:line="240" w:lineRule="auto"/>
        <w:rPr>
          <w:rFonts w:ascii="Tahoma" w:hAnsi="Tahoma" w:cs="Tahoma"/>
          <w:b/>
          <w:sz w:val="24"/>
          <w:szCs w:val="24"/>
        </w:rPr>
      </w:pPr>
    </w:p>
    <w:p w:rsidR="00FC510D" w:rsidRPr="006F4EB0" w:rsidRDefault="00CD27A0" w:rsidP="00FC510D">
      <w:pPr>
        <w:spacing w:after="0" w:line="240" w:lineRule="auto"/>
        <w:rPr>
          <w:rFonts w:ascii="Tahoma" w:hAnsi="Tahoma" w:cs="Tahoma"/>
          <w:b/>
          <w:sz w:val="24"/>
          <w:szCs w:val="24"/>
        </w:rPr>
      </w:pPr>
      <w:r>
        <w:rPr>
          <w:rFonts w:ascii="Tahoma" w:hAnsi="Tahoma" w:cs="Tahoma"/>
          <w:sz w:val="24"/>
          <w:szCs w:val="24"/>
        </w:rPr>
        <w:tab/>
        <w:t xml:space="preserve"> </w:t>
      </w:r>
    </w:p>
    <w:p w:rsidR="00FC510D" w:rsidRPr="00FC4142" w:rsidRDefault="00AE65F6" w:rsidP="00DD6656">
      <w:pPr>
        <w:spacing w:after="0" w:line="240" w:lineRule="auto"/>
        <w:rPr>
          <w:rFonts w:ascii="Tahoma" w:hAnsi="Tahoma" w:cs="Tahoma"/>
          <w:sz w:val="24"/>
          <w:szCs w:val="24"/>
        </w:rPr>
      </w:pPr>
      <w:r>
        <w:rPr>
          <w:rFonts w:ascii="Tahoma" w:hAnsi="Tahoma" w:cs="Tahoma"/>
          <w:sz w:val="24"/>
          <w:szCs w:val="24"/>
        </w:rPr>
        <w:t>For Appellant</w:t>
      </w:r>
      <w:r w:rsidR="009B0121" w:rsidRPr="00FC4142">
        <w:rPr>
          <w:rFonts w:ascii="Tahoma" w:hAnsi="Tahoma" w:cs="Tahoma"/>
          <w:sz w:val="24"/>
          <w:szCs w:val="24"/>
        </w:rPr>
        <w:t>:</w:t>
      </w:r>
      <w:r w:rsidR="00FC510D" w:rsidRPr="00FC4142">
        <w:rPr>
          <w:rFonts w:ascii="Tahoma" w:hAnsi="Tahoma" w:cs="Tahoma"/>
          <w:sz w:val="24"/>
          <w:szCs w:val="24"/>
        </w:rPr>
        <w:tab/>
      </w:r>
      <w:r w:rsidR="00FC510D" w:rsidRPr="00FC4142">
        <w:rPr>
          <w:rFonts w:ascii="Tahoma" w:hAnsi="Tahoma" w:cs="Tahoma"/>
          <w:sz w:val="24"/>
          <w:szCs w:val="24"/>
        </w:rPr>
        <w:tab/>
      </w:r>
      <w:r w:rsidR="00FC510D" w:rsidRPr="00FC4142">
        <w:rPr>
          <w:rFonts w:ascii="Tahoma" w:hAnsi="Tahoma" w:cs="Tahoma"/>
          <w:sz w:val="24"/>
          <w:szCs w:val="24"/>
        </w:rPr>
        <w:tab/>
      </w:r>
      <w:r>
        <w:rPr>
          <w:rFonts w:ascii="Tahoma" w:hAnsi="Tahoma" w:cs="Tahoma"/>
          <w:sz w:val="24"/>
          <w:szCs w:val="24"/>
        </w:rPr>
        <w:tab/>
      </w:r>
      <w:r>
        <w:rPr>
          <w:rFonts w:ascii="Tahoma" w:hAnsi="Tahoma" w:cs="Tahoma"/>
          <w:sz w:val="24"/>
          <w:szCs w:val="24"/>
        </w:rPr>
        <w:tab/>
        <w:t>Itai Simbi (Trade Unionist)</w:t>
      </w:r>
    </w:p>
    <w:p w:rsidR="00FC510D" w:rsidRPr="00FC4142" w:rsidRDefault="00FC510D" w:rsidP="00FC510D">
      <w:pPr>
        <w:spacing w:after="0" w:line="240" w:lineRule="auto"/>
        <w:ind w:left="2880" w:firstLine="720"/>
        <w:rPr>
          <w:rFonts w:ascii="Tahoma" w:hAnsi="Tahoma" w:cs="Tahoma"/>
          <w:sz w:val="24"/>
          <w:szCs w:val="24"/>
        </w:rPr>
      </w:pPr>
    </w:p>
    <w:p w:rsidR="009B0121" w:rsidRDefault="00FC510D" w:rsidP="00DD6656">
      <w:pPr>
        <w:spacing w:after="0" w:line="240" w:lineRule="auto"/>
        <w:rPr>
          <w:rFonts w:ascii="Tahoma" w:hAnsi="Tahoma" w:cs="Tahoma"/>
          <w:sz w:val="24"/>
          <w:szCs w:val="24"/>
        </w:rPr>
      </w:pPr>
      <w:r w:rsidRPr="00FC4142">
        <w:rPr>
          <w:rFonts w:ascii="Tahoma" w:hAnsi="Tahoma" w:cs="Tahoma"/>
          <w:sz w:val="24"/>
          <w:szCs w:val="24"/>
        </w:rPr>
        <w:t>For Respondent</w:t>
      </w:r>
      <w:r w:rsidR="009B0121" w:rsidRPr="00FC4142">
        <w:rPr>
          <w:rFonts w:ascii="Tahoma" w:hAnsi="Tahoma" w:cs="Tahoma"/>
          <w:sz w:val="24"/>
          <w:szCs w:val="24"/>
        </w:rPr>
        <w:t>:</w:t>
      </w:r>
      <w:r w:rsidR="00032398" w:rsidRPr="00FC4142">
        <w:rPr>
          <w:rFonts w:ascii="Tahoma" w:hAnsi="Tahoma" w:cs="Tahoma"/>
          <w:sz w:val="24"/>
          <w:szCs w:val="24"/>
        </w:rPr>
        <w:tab/>
      </w:r>
      <w:r w:rsidR="00032398" w:rsidRPr="00FC4142">
        <w:rPr>
          <w:rFonts w:ascii="Tahoma" w:hAnsi="Tahoma" w:cs="Tahoma"/>
          <w:sz w:val="24"/>
          <w:szCs w:val="24"/>
        </w:rPr>
        <w:tab/>
      </w:r>
      <w:r w:rsidR="00032398" w:rsidRPr="00FC4142">
        <w:rPr>
          <w:rFonts w:ascii="Tahoma" w:hAnsi="Tahoma" w:cs="Tahoma"/>
          <w:sz w:val="24"/>
          <w:szCs w:val="24"/>
        </w:rPr>
        <w:tab/>
      </w:r>
      <w:r w:rsidR="002550A4">
        <w:rPr>
          <w:rFonts w:ascii="Tahoma" w:hAnsi="Tahoma" w:cs="Tahoma"/>
          <w:sz w:val="24"/>
          <w:szCs w:val="24"/>
        </w:rPr>
        <w:tab/>
      </w:r>
      <w:r w:rsidR="00AE65F6">
        <w:rPr>
          <w:rFonts w:ascii="Tahoma" w:hAnsi="Tahoma" w:cs="Tahoma"/>
          <w:sz w:val="24"/>
          <w:szCs w:val="24"/>
        </w:rPr>
        <w:tab/>
        <w:t>I. Chisango (Legal Officer)</w:t>
      </w:r>
    </w:p>
    <w:p w:rsidR="00B57B25" w:rsidRDefault="00B57B25" w:rsidP="00DD6656">
      <w:pPr>
        <w:spacing w:after="0" w:line="240" w:lineRule="auto"/>
        <w:rPr>
          <w:rFonts w:ascii="Tahoma" w:hAnsi="Tahoma" w:cs="Tahoma"/>
          <w:sz w:val="24"/>
          <w:szCs w:val="24"/>
        </w:rPr>
      </w:pPr>
    </w:p>
    <w:p w:rsidR="002550A4" w:rsidRDefault="002550A4" w:rsidP="00FC510D">
      <w:pPr>
        <w:spacing w:after="0" w:line="240" w:lineRule="auto"/>
        <w:rPr>
          <w:rFonts w:ascii="Tahoma" w:hAnsi="Tahoma" w:cs="Tahoma"/>
          <w:b/>
          <w:sz w:val="24"/>
          <w:szCs w:val="24"/>
        </w:rPr>
      </w:pPr>
    </w:p>
    <w:p w:rsidR="00D335A5" w:rsidRDefault="00D335A5" w:rsidP="00FC510D">
      <w:pPr>
        <w:spacing w:after="0" w:line="240" w:lineRule="auto"/>
        <w:rPr>
          <w:rFonts w:ascii="Tahoma" w:hAnsi="Tahoma" w:cs="Tahoma"/>
          <w:b/>
          <w:sz w:val="24"/>
          <w:szCs w:val="24"/>
        </w:rPr>
      </w:pPr>
    </w:p>
    <w:p w:rsidR="00FC510D" w:rsidRDefault="006F4EB0" w:rsidP="00FC510D">
      <w:pPr>
        <w:spacing w:after="0" w:line="240" w:lineRule="auto"/>
        <w:rPr>
          <w:rFonts w:ascii="Tahoma" w:hAnsi="Tahoma" w:cs="Tahoma"/>
          <w:b/>
          <w:sz w:val="24"/>
          <w:szCs w:val="24"/>
        </w:rPr>
      </w:pPr>
      <w:r>
        <w:rPr>
          <w:rFonts w:ascii="Tahoma" w:hAnsi="Tahoma" w:cs="Tahoma"/>
          <w:b/>
          <w:sz w:val="24"/>
          <w:szCs w:val="24"/>
        </w:rPr>
        <w:t>KACHAMBWA</w:t>
      </w:r>
      <w:r w:rsidR="00DD6656" w:rsidRPr="006F4EB0">
        <w:rPr>
          <w:rFonts w:ascii="Tahoma" w:hAnsi="Tahoma" w:cs="Tahoma"/>
          <w:b/>
          <w:sz w:val="24"/>
          <w:szCs w:val="24"/>
        </w:rPr>
        <w:t xml:space="preserve"> J</w:t>
      </w:r>
      <w:r w:rsidR="00FC510D" w:rsidRPr="006F4EB0">
        <w:rPr>
          <w:rFonts w:ascii="Tahoma" w:hAnsi="Tahoma" w:cs="Tahoma"/>
          <w:b/>
          <w:sz w:val="24"/>
          <w:szCs w:val="24"/>
        </w:rPr>
        <w:t>:</w:t>
      </w:r>
    </w:p>
    <w:p w:rsidR="00FC4142" w:rsidRDefault="00FC4142" w:rsidP="00FC510D">
      <w:pPr>
        <w:spacing w:after="0" w:line="240" w:lineRule="auto"/>
        <w:rPr>
          <w:rFonts w:ascii="Tahoma" w:hAnsi="Tahoma" w:cs="Tahoma"/>
          <w:b/>
          <w:sz w:val="24"/>
          <w:szCs w:val="24"/>
        </w:rPr>
      </w:pPr>
    </w:p>
    <w:p w:rsidR="00FC4142" w:rsidRDefault="00B57B25" w:rsidP="00FC510D">
      <w:pPr>
        <w:spacing w:after="0" w:line="240" w:lineRule="auto"/>
        <w:rPr>
          <w:rFonts w:ascii="Tahoma" w:hAnsi="Tahoma" w:cs="Tahoma"/>
          <w:b/>
          <w:sz w:val="24"/>
          <w:szCs w:val="24"/>
        </w:rPr>
      </w:pPr>
      <w:r>
        <w:rPr>
          <w:rFonts w:ascii="Tahoma" w:hAnsi="Tahoma" w:cs="Tahoma"/>
          <w:b/>
          <w:sz w:val="24"/>
          <w:szCs w:val="24"/>
        </w:rPr>
        <w:tab/>
      </w:r>
    </w:p>
    <w:p w:rsidR="006F513E" w:rsidRPr="00DA0343" w:rsidRDefault="00447BD9" w:rsidP="0001231F">
      <w:pPr>
        <w:spacing w:after="0" w:line="360" w:lineRule="auto"/>
        <w:jc w:val="both"/>
        <w:rPr>
          <w:rFonts w:ascii="Tahoma" w:hAnsi="Tahoma" w:cs="Tahoma"/>
          <w:sz w:val="24"/>
          <w:szCs w:val="24"/>
          <w:u w:val="single"/>
        </w:rPr>
      </w:pPr>
      <w:r w:rsidRPr="00DA0343">
        <w:rPr>
          <w:rFonts w:ascii="Tahoma" w:hAnsi="Tahoma" w:cs="Tahoma"/>
          <w:sz w:val="24"/>
          <w:szCs w:val="24"/>
          <w:u w:val="single"/>
        </w:rPr>
        <w:t>Judgment on Point in limine</w:t>
      </w:r>
    </w:p>
    <w:p w:rsidR="00447BD9" w:rsidRDefault="00447BD9" w:rsidP="0001231F">
      <w:pPr>
        <w:spacing w:after="0" w:line="360" w:lineRule="auto"/>
        <w:jc w:val="both"/>
        <w:rPr>
          <w:rFonts w:ascii="Tahoma" w:hAnsi="Tahoma" w:cs="Tahoma"/>
          <w:b/>
          <w:sz w:val="24"/>
          <w:szCs w:val="24"/>
        </w:rPr>
      </w:pPr>
    </w:p>
    <w:p w:rsidR="00447BD9" w:rsidRDefault="00447BD9" w:rsidP="00447BD9">
      <w:pPr>
        <w:spacing w:after="0" w:line="360" w:lineRule="auto"/>
        <w:ind w:firstLine="720"/>
        <w:jc w:val="both"/>
        <w:rPr>
          <w:rFonts w:ascii="Tahoma" w:hAnsi="Tahoma" w:cs="Tahoma"/>
          <w:sz w:val="24"/>
          <w:szCs w:val="24"/>
        </w:rPr>
      </w:pPr>
      <w:r w:rsidRPr="00447BD9">
        <w:rPr>
          <w:rFonts w:ascii="Tahoma" w:hAnsi="Tahoma" w:cs="Tahoma"/>
          <w:sz w:val="24"/>
          <w:szCs w:val="24"/>
        </w:rPr>
        <w:t>This is an appeal</w:t>
      </w:r>
      <w:r>
        <w:rPr>
          <w:rFonts w:ascii="Tahoma" w:hAnsi="Tahoma" w:cs="Tahoma"/>
          <w:sz w:val="24"/>
          <w:szCs w:val="24"/>
        </w:rPr>
        <w:t xml:space="preserve"> by the employee against the decision of the employer finding him guilty and imposing a penalty of dismissal</w:t>
      </w:r>
      <w:r w:rsidR="00385902">
        <w:rPr>
          <w:rFonts w:ascii="Tahoma" w:hAnsi="Tahoma" w:cs="Tahoma"/>
          <w:sz w:val="24"/>
          <w:szCs w:val="24"/>
        </w:rPr>
        <w:t xml:space="preserve">. </w:t>
      </w:r>
      <w:r>
        <w:rPr>
          <w:rFonts w:ascii="Tahoma" w:hAnsi="Tahoma" w:cs="Tahoma"/>
          <w:sz w:val="24"/>
          <w:szCs w:val="24"/>
        </w:rPr>
        <w:t>The appellant</w:t>
      </w:r>
      <w:r w:rsidR="00385902">
        <w:rPr>
          <w:rFonts w:ascii="Tahoma" w:hAnsi="Tahoma" w:cs="Tahoma"/>
          <w:sz w:val="24"/>
          <w:szCs w:val="24"/>
        </w:rPr>
        <w:t xml:space="preserve"> raised</w:t>
      </w:r>
      <w:r w:rsidR="00DA0343">
        <w:rPr>
          <w:rFonts w:ascii="Tahoma" w:hAnsi="Tahoma" w:cs="Tahoma"/>
          <w:sz w:val="24"/>
          <w:szCs w:val="24"/>
        </w:rPr>
        <w:t xml:space="preserve"> a point in </w:t>
      </w:r>
      <w:r w:rsidR="00DA0343" w:rsidRPr="00DA0343">
        <w:rPr>
          <w:rFonts w:ascii="Tahoma" w:hAnsi="Tahoma" w:cs="Tahoma"/>
          <w:i/>
          <w:sz w:val="24"/>
          <w:szCs w:val="24"/>
        </w:rPr>
        <w:t>limine</w:t>
      </w:r>
      <w:r w:rsidR="00DA0343">
        <w:rPr>
          <w:rFonts w:ascii="Tahoma" w:hAnsi="Tahoma" w:cs="Tahoma"/>
          <w:sz w:val="24"/>
          <w:szCs w:val="24"/>
        </w:rPr>
        <w:t xml:space="preserve"> to the effect that the respondent had not responded by use of Form LC2 as required by the Rules of the court. Further there was no a</w:t>
      </w:r>
      <w:r w:rsidR="003D7E2E">
        <w:rPr>
          <w:rFonts w:ascii="Tahoma" w:hAnsi="Tahoma" w:cs="Tahoma"/>
          <w:sz w:val="24"/>
          <w:szCs w:val="24"/>
        </w:rPr>
        <w:t>ffidavit attached as required as</w:t>
      </w:r>
      <w:r w:rsidR="00DA0343">
        <w:rPr>
          <w:rFonts w:ascii="Tahoma" w:hAnsi="Tahoma" w:cs="Tahoma"/>
          <w:sz w:val="24"/>
          <w:szCs w:val="24"/>
        </w:rPr>
        <w:t xml:space="preserve"> per Form LC2. The appellant called for the response to be expunged and the matter to proceed unopposed.</w:t>
      </w:r>
    </w:p>
    <w:p w:rsidR="00DA0343" w:rsidRDefault="00DA0343" w:rsidP="00447BD9">
      <w:pPr>
        <w:spacing w:after="0" w:line="360" w:lineRule="auto"/>
        <w:ind w:firstLine="720"/>
        <w:jc w:val="both"/>
        <w:rPr>
          <w:rFonts w:ascii="Tahoma" w:hAnsi="Tahoma" w:cs="Tahoma"/>
          <w:sz w:val="24"/>
          <w:szCs w:val="24"/>
        </w:rPr>
      </w:pPr>
    </w:p>
    <w:p w:rsidR="00DA0343" w:rsidRDefault="00DA0343" w:rsidP="00447BD9">
      <w:pPr>
        <w:spacing w:after="0" w:line="360" w:lineRule="auto"/>
        <w:ind w:firstLine="720"/>
        <w:jc w:val="both"/>
        <w:rPr>
          <w:rFonts w:ascii="Tahoma" w:hAnsi="Tahoma" w:cs="Tahoma"/>
          <w:sz w:val="24"/>
          <w:szCs w:val="24"/>
        </w:rPr>
      </w:pPr>
      <w:r>
        <w:rPr>
          <w:rFonts w:ascii="Tahoma" w:hAnsi="Tahoma" w:cs="Tahoma"/>
          <w:sz w:val="24"/>
          <w:szCs w:val="24"/>
        </w:rPr>
        <w:t xml:space="preserve">In response the respondent accepted the error and blamed it on the counsel. Further it also blamed counsel for holding onto the papers such that the respondent </w:t>
      </w:r>
      <w:r>
        <w:rPr>
          <w:rFonts w:ascii="Tahoma" w:hAnsi="Tahoma" w:cs="Tahoma"/>
          <w:sz w:val="24"/>
          <w:szCs w:val="24"/>
        </w:rPr>
        <w:lastRenderedPageBreak/>
        <w:t>failed to rectify the error. It pointed out that the contents of the affidavit are nevertheless in the response and as such the appellant is not prejudiced at all. That being so</w:t>
      </w:r>
      <w:r w:rsidR="00387837">
        <w:rPr>
          <w:rFonts w:ascii="Tahoma" w:hAnsi="Tahoma" w:cs="Tahoma"/>
          <w:sz w:val="24"/>
          <w:szCs w:val="24"/>
        </w:rPr>
        <w:t xml:space="preserve"> the respondent prayed that the error be condoned in the spirit of resolving labour matters on merit rather </w:t>
      </w:r>
      <w:r w:rsidR="003D7E2E">
        <w:rPr>
          <w:rFonts w:ascii="Tahoma" w:hAnsi="Tahoma" w:cs="Tahoma"/>
          <w:sz w:val="24"/>
          <w:szCs w:val="24"/>
        </w:rPr>
        <w:t xml:space="preserve">than </w:t>
      </w:r>
      <w:r w:rsidR="00387837">
        <w:rPr>
          <w:rFonts w:ascii="Tahoma" w:hAnsi="Tahoma" w:cs="Tahoma"/>
          <w:sz w:val="24"/>
          <w:szCs w:val="24"/>
        </w:rPr>
        <w:t>on a technicality.</w:t>
      </w:r>
    </w:p>
    <w:p w:rsidR="009C2D8D" w:rsidRDefault="009C2D8D" w:rsidP="00447BD9">
      <w:pPr>
        <w:spacing w:after="0" w:line="360" w:lineRule="auto"/>
        <w:ind w:firstLine="720"/>
        <w:jc w:val="both"/>
        <w:rPr>
          <w:rFonts w:ascii="Tahoma" w:hAnsi="Tahoma" w:cs="Tahoma"/>
          <w:sz w:val="24"/>
          <w:szCs w:val="24"/>
        </w:rPr>
      </w:pPr>
    </w:p>
    <w:p w:rsidR="009C2D8D" w:rsidRDefault="009C2D8D" w:rsidP="00447BD9">
      <w:pPr>
        <w:spacing w:after="0" w:line="360" w:lineRule="auto"/>
        <w:ind w:firstLine="720"/>
        <w:jc w:val="both"/>
        <w:rPr>
          <w:rFonts w:ascii="Tahoma" w:hAnsi="Tahoma" w:cs="Tahoma"/>
          <w:sz w:val="24"/>
          <w:szCs w:val="24"/>
        </w:rPr>
      </w:pPr>
      <w:r>
        <w:rPr>
          <w:rFonts w:ascii="Tahoma" w:hAnsi="Tahoma" w:cs="Tahoma"/>
          <w:sz w:val="24"/>
          <w:szCs w:val="24"/>
        </w:rPr>
        <w:t xml:space="preserve">Both parties referred to case law as well as the labour Act, </w:t>
      </w:r>
      <w:r w:rsidRPr="009C2D8D">
        <w:rPr>
          <w:rFonts w:ascii="Tahoma" w:hAnsi="Tahoma" w:cs="Tahoma"/>
          <w:i/>
          <w:sz w:val="24"/>
          <w:szCs w:val="24"/>
        </w:rPr>
        <w:t>[Chapter 28:01].</w:t>
      </w:r>
      <w:r>
        <w:rPr>
          <w:rFonts w:ascii="Tahoma" w:hAnsi="Tahoma" w:cs="Tahoma"/>
          <w:sz w:val="24"/>
          <w:szCs w:val="24"/>
        </w:rPr>
        <w:t xml:space="preserve"> (The Act).</w:t>
      </w:r>
    </w:p>
    <w:p w:rsidR="009C2D8D" w:rsidRDefault="009C2D8D" w:rsidP="00447BD9">
      <w:pPr>
        <w:spacing w:after="0" w:line="360" w:lineRule="auto"/>
        <w:ind w:firstLine="720"/>
        <w:jc w:val="both"/>
        <w:rPr>
          <w:rFonts w:ascii="Tahoma" w:hAnsi="Tahoma" w:cs="Tahoma"/>
          <w:sz w:val="24"/>
          <w:szCs w:val="24"/>
        </w:rPr>
      </w:pPr>
    </w:p>
    <w:p w:rsidR="009C2D8D" w:rsidRDefault="009C2D8D" w:rsidP="00447BD9">
      <w:pPr>
        <w:spacing w:after="0" w:line="360" w:lineRule="auto"/>
        <w:ind w:firstLine="720"/>
        <w:jc w:val="both"/>
        <w:rPr>
          <w:rFonts w:ascii="Tahoma" w:hAnsi="Tahoma" w:cs="Tahoma"/>
          <w:sz w:val="24"/>
          <w:szCs w:val="24"/>
        </w:rPr>
      </w:pPr>
      <w:r>
        <w:rPr>
          <w:rFonts w:ascii="Tahoma" w:hAnsi="Tahoma" w:cs="Tahoma"/>
          <w:sz w:val="24"/>
          <w:szCs w:val="24"/>
        </w:rPr>
        <w:t>Rule 19 of the Labour Court Rules, 2017 S.I 150</w:t>
      </w:r>
      <w:r w:rsidR="003D7E2E">
        <w:rPr>
          <w:rFonts w:ascii="Tahoma" w:hAnsi="Tahoma" w:cs="Tahoma"/>
          <w:sz w:val="24"/>
          <w:szCs w:val="24"/>
        </w:rPr>
        <w:t xml:space="preserve"> of 2017</w:t>
      </w:r>
      <w:r>
        <w:rPr>
          <w:rFonts w:ascii="Tahoma" w:hAnsi="Tahoma" w:cs="Tahoma"/>
          <w:sz w:val="24"/>
          <w:szCs w:val="24"/>
        </w:rPr>
        <w:t xml:space="preserve"> </w:t>
      </w:r>
      <w:r w:rsidR="00AA17AB">
        <w:rPr>
          <w:rFonts w:ascii="Tahoma" w:hAnsi="Tahoma" w:cs="Tahoma"/>
          <w:sz w:val="24"/>
          <w:szCs w:val="24"/>
        </w:rPr>
        <w:t>deals with appeals 19(2) (a) says that;</w:t>
      </w:r>
    </w:p>
    <w:p w:rsidR="00AA17AB" w:rsidRDefault="00AA17AB" w:rsidP="00447BD9">
      <w:pPr>
        <w:spacing w:after="0" w:line="360" w:lineRule="auto"/>
        <w:ind w:firstLine="720"/>
        <w:jc w:val="both"/>
        <w:rPr>
          <w:rFonts w:ascii="Tahoma" w:hAnsi="Tahoma" w:cs="Tahoma"/>
          <w:sz w:val="24"/>
          <w:szCs w:val="24"/>
        </w:rPr>
      </w:pPr>
    </w:p>
    <w:p w:rsidR="00AA17AB" w:rsidRPr="00AA17AB" w:rsidRDefault="00AA17AB" w:rsidP="00447BD9">
      <w:pPr>
        <w:spacing w:after="0" w:line="360" w:lineRule="auto"/>
        <w:ind w:firstLine="720"/>
        <w:jc w:val="both"/>
        <w:rPr>
          <w:rFonts w:ascii="Tahoma" w:hAnsi="Tahoma" w:cs="Tahoma"/>
          <w:i/>
        </w:rPr>
      </w:pPr>
      <w:r>
        <w:rPr>
          <w:rFonts w:ascii="Tahoma" w:hAnsi="Tahoma" w:cs="Tahoma"/>
          <w:sz w:val="24"/>
          <w:szCs w:val="24"/>
        </w:rPr>
        <w:tab/>
        <w:t>“</w:t>
      </w:r>
      <w:r w:rsidRPr="00AA17AB">
        <w:rPr>
          <w:rFonts w:ascii="Tahoma" w:hAnsi="Tahoma" w:cs="Tahoma"/>
          <w:i/>
        </w:rPr>
        <w:t>The respondent shall within ten days of receiving a notice of appeal-</w:t>
      </w:r>
    </w:p>
    <w:p w:rsidR="00AA17AB" w:rsidRPr="00AA17AB" w:rsidRDefault="00AA17AB" w:rsidP="00447BD9">
      <w:pPr>
        <w:spacing w:after="0" w:line="360" w:lineRule="auto"/>
        <w:ind w:firstLine="720"/>
        <w:jc w:val="both"/>
        <w:rPr>
          <w:rFonts w:ascii="Tahoma" w:hAnsi="Tahoma" w:cs="Tahoma"/>
          <w:i/>
        </w:rPr>
      </w:pPr>
      <w:r w:rsidRPr="00AA17AB">
        <w:rPr>
          <w:rFonts w:ascii="Tahoma" w:hAnsi="Tahoma" w:cs="Tahoma"/>
          <w:i/>
        </w:rPr>
        <w:tab/>
      </w:r>
      <w:r w:rsidRPr="00AA17AB">
        <w:rPr>
          <w:rFonts w:ascii="Tahoma" w:hAnsi="Tahoma" w:cs="Tahoma"/>
          <w:i/>
        </w:rPr>
        <w:tab/>
        <w:t>(a)</w:t>
      </w:r>
      <w:r w:rsidRPr="00AA17AB">
        <w:rPr>
          <w:rFonts w:ascii="Tahoma" w:hAnsi="Tahoma" w:cs="Tahoma"/>
          <w:i/>
        </w:rPr>
        <w:tab/>
        <w:t>complete in three copies a notice of response in Form LC2,”</w:t>
      </w:r>
    </w:p>
    <w:p w:rsidR="00AA17AB" w:rsidRDefault="00AA17AB" w:rsidP="00AA17AB">
      <w:pPr>
        <w:spacing w:after="0" w:line="360" w:lineRule="auto"/>
        <w:jc w:val="both"/>
        <w:rPr>
          <w:rFonts w:ascii="Tahoma" w:hAnsi="Tahoma" w:cs="Tahoma"/>
          <w:sz w:val="24"/>
          <w:szCs w:val="24"/>
        </w:rPr>
      </w:pPr>
    </w:p>
    <w:p w:rsidR="00AA17AB" w:rsidRDefault="00AA17AB" w:rsidP="00AA17AB">
      <w:pPr>
        <w:spacing w:after="0" w:line="360" w:lineRule="auto"/>
        <w:ind w:firstLine="720"/>
        <w:jc w:val="both"/>
        <w:rPr>
          <w:rFonts w:ascii="Tahoma" w:hAnsi="Tahoma" w:cs="Tahoma"/>
          <w:sz w:val="24"/>
          <w:szCs w:val="24"/>
        </w:rPr>
      </w:pPr>
      <w:r>
        <w:rPr>
          <w:rFonts w:ascii="Tahoma" w:hAnsi="Tahoma" w:cs="Tahoma"/>
          <w:sz w:val="24"/>
          <w:szCs w:val="24"/>
        </w:rPr>
        <w:t>It appears that it is compulsory to use the Form LC2. However one has to read the rules together and appreciate the larger picture.</w:t>
      </w:r>
    </w:p>
    <w:p w:rsidR="004439A0" w:rsidRDefault="004439A0" w:rsidP="00AA17AB">
      <w:pPr>
        <w:spacing w:after="0" w:line="360" w:lineRule="auto"/>
        <w:ind w:firstLine="720"/>
        <w:jc w:val="both"/>
        <w:rPr>
          <w:rFonts w:ascii="Tahoma" w:hAnsi="Tahoma" w:cs="Tahoma"/>
          <w:sz w:val="24"/>
          <w:szCs w:val="24"/>
        </w:rPr>
      </w:pPr>
    </w:p>
    <w:p w:rsidR="004439A0" w:rsidRDefault="004439A0" w:rsidP="00283220">
      <w:pPr>
        <w:spacing w:after="0" w:line="360" w:lineRule="auto"/>
        <w:ind w:firstLine="720"/>
        <w:jc w:val="both"/>
        <w:rPr>
          <w:rFonts w:ascii="Tahoma" w:hAnsi="Tahoma" w:cs="Tahoma"/>
          <w:sz w:val="24"/>
          <w:szCs w:val="24"/>
        </w:rPr>
      </w:pPr>
      <w:r>
        <w:rPr>
          <w:rFonts w:ascii="Tahoma" w:hAnsi="Tahoma" w:cs="Tahoma"/>
          <w:sz w:val="24"/>
          <w:szCs w:val="24"/>
        </w:rPr>
        <w:t>Rule 47 further explains on the use of the forms.</w:t>
      </w:r>
      <w:r w:rsidR="003D7E2E">
        <w:rPr>
          <w:rFonts w:ascii="Tahoma" w:hAnsi="Tahoma" w:cs="Tahoma"/>
          <w:sz w:val="24"/>
          <w:szCs w:val="24"/>
        </w:rPr>
        <w:t xml:space="preserve"> Rule 47 says that-</w:t>
      </w:r>
    </w:p>
    <w:p w:rsidR="00283220" w:rsidRPr="003D7E2E" w:rsidRDefault="003D7E2E" w:rsidP="00283220">
      <w:pPr>
        <w:spacing w:after="0" w:line="360" w:lineRule="auto"/>
        <w:ind w:left="1440" w:hanging="720"/>
        <w:jc w:val="both"/>
        <w:rPr>
          <w:rFonts w:ascii="Tahoma" w:hAnsi="Tahoma" w:cs="Tahoma"/>
          <w:i/>
        </w:rPr>
      </w:pPr>
      <w:r w:rsidRPr="003D7E2E">
        <w:rPr>
          <w:rFonts w:ascii="Tahoma" w:hAnsi="Tahoma" w:cs="Tahoma"/>
          <w:i/>
        </w:rPr>
        <w:t>“</w:t>
      </w:r>
      <w:r w:rsidR="00283220" w:rsidRPr="003D7E2E">
        <w:rPr>
          <w:rFonts w:ascii="Tahoma" w:hAnsi="Tahoma" w:cs="Tahoma"/>
          <w:i/>
        </w:rPr>
        <w:t>(1)</w:t>
      </w:r>
      <w:r w:rsidR="00283220" w:rsidRPr="003D7E2E">
        <w:rPr>
          <w:rFonts w:ascii="Tahoma" w:hAnsi="Tahoma" w:cs="Tahoma"/>
          <w:i/>
        </w:rPr>
        <w:tab/>
        <w:t>The forms prescribed in the schedule shall be used in all proceedings to which they are applicable with such modifications as the circumstances may require.</w:t>
      </w:r>
    </w:p>
    <w:p w:rsidR="007D76B8" w:rsidRPr="003D7E2E" w:rsidRDefault="007D76B8" w:rsidP="00283220">
      <w:pPr>
        <w:spacing w:after="0" w:line="360" w:lineRule="auto"/>
        <w:ind w:left="1440" w:hanging="720"/>
        <w:jc w:val="both"/>
        <w:rPr>
          <w:rFonts w:ascii="Tahoma" w:hAnsi="Tahoma" w:cs="Tahoma"/>
          <w:i/>
        </w:rPr>
      </w:pPr>
      <w:r w:rsidRPr="003D7E2E">
        <w:rPr>
          <w:rFonts w:ascii="Tahoma" w:hAnsi="Tahoma" w:cs="Tahoma"/>
          <w:i/>
        </w:rPr>
        <w:t>(2)</w:t>
      </w:r>
      <w:r w:rsidRPr="003D7E2E">
        <w:rPr>
          <w:rFonts w:ascii="Tahoma" w:hAnsi="Tahoma" w:cs="Tahoma"/>
          <w:i/>
        </w:rPr>
        <w:tab/>
        <w:t>Subject to this rule</w:t>
      </w:r>
      <w:r w:rsidR="00287843" w:rsidRPr="003D7E2E">
        <w:rPr>
          <w:rFonts w:ascii="Tahoma" w:hAnsi="Tahoma" w:cs="Tahoma"/>
          <w:i/>
        </w:rPr>
        <w:t>, a person required to complete any form prescribed in the schedule may modify it by making such alterations to it as circumstances require.</w:t>
      </w:r>
    </w:p>
    <w:p w:rsidR="00287843" w:rsidRPr="003D7E2E" w:rsidRDefault="00287843" w:rsidP="00283220">
      <w:pPr>
        <w:spacing w:after="0" w:line="360" w:lineRule="auto"/>
        <w:ind w:left="1440" w:hanging="720"/>
        <w:jc w:val="both"/>
        <w:rPr>
          <w:rFonts w:ascii="Tahoma" w:hAnsi="Tahoma" w:cs="Tahoma"/>
          <w:i/>
        </w:rPr>
      </w:pPr>
      <w:r w:rsidRPr="003D7E2E">
        <w:rPr>
          <w:rFonts w:ascii="Tahoma" w:hAnsi="Tahoma" w:cs="Tahoma"/>
          <w:i/>
        </w:rPr>
        <w:t>(3)</w:t>
      </w:r>
      <w:r w:rsidRPr="003D7E2E">
        <w:rPr>
          <w:rFonts w:ascii="Tahoma" w:hAnsi="Tahoma" w:cs="Tahoma"/>
          <w:i/>
        </w:rPr>
        <w:tab/>
        <w:t>The registrar may refuse to accept any modified form and require the party modifying it to submit another form substantially compliant with that prescribed in the schedule if the registrar is of the opinion that the modified form is not so compliant.</w:t>
      </w:r>
      <w:r w:rsidR="003D7E2E" w:rsidRPr="003D7E2E">
        <w:rPr>
          <w:rFonts w:ascii="Tahoma" w:hAnsi="Tahoma" w:cs="Tahoma"/>
          <w:i/>
        </w:rPr>
        <w:t>”</w:t>
      </w:r>
    </w:p>
    <w:p w:rsidR="00287843" w:rsidRDefault="00287843" w:rsidP="00283220">
      <w:pPr>
        <w:spacing w:after="0" w:line="360" w:lineRule="auto"/>
        <w:ind w:left="1440" w:hanging="720"/>
        <w:jc w:val="both"/>
        <w:rPr>
          <w:rFonts w:ascii="Tahoma" w:hAnsi="Tahoma" w:cs="Tahoma"/>
          <w:sz w:val="24"/>
          <w:szCs w:val="24"/>
        </w:rPr>
      </w:pPr>
    </w:p>
    <w:p w:rsidR="004439A0" w:rsidRDefault="004439A0" w:rsidP="00AA17AB">
      <w:pPr>
        <w:spacing w:after="0" w:line="360" w:lineRule="auto"/>
        <w:ind w:firstLine="720"/>
        <w:jc w:val="both"/>
        <w:rPr>
          <w:rFonts w:ascii="Tahoma" w:hAnsi="Tahoma" w:cs="Tahoma"/>
          <w:sz w:val="24"/>
          <w:szCs w:val="24"/>
        </w:rPr>
      </w:pPr>
      <w:r>
        <w:rPr>
          <w:rFonts w:ascii="Tahoma" w:hAnsi="Tahoma" w:cs="Tahoma"/>
          <w:sz w:val="24"/>
          <w:szCs w:val="24"/>
        </w:rPr>
        <w:t>It appears that the Registrar has power to accept or reject a modified form. One would probably go further to say that the registr</w:t>
      </w:r>
      <w:r w:rsidR="004476AE">
        <w:rPr>
          <w:rFonts w:ascii="Tahoma" w:hAnsi="Tahoma" w:cs="Tahoma"/>
          <w:sz w:val="24"/>
          <w:szCs w:val="24"/>
        </w:rPr>
        <w:t>ar has power to reject a response</w:t>
      </w:r>
      <w:r>
        <w:rPr>
          <w:rFonts w:ascii="Tahoma" w:hAnsi="Tahoma" w:cs="Tahoma"/>
          <w:sz w:val="24"/>
          <w:szCs w:val="24"/>
        </w:rPr>
        <w:t xml:space="preserve"> that is not</w:t>
      </w:r>
      <w:r w:rsidR="00F5429D">
        <w:rPr>
          <w:rFonts w:ascii="Tahoma" w:hAnsi="Tahoma" w:cs="Tahoma"/>
          <w:sz w:val="24"/>
          <w:szCs w:val="24"/>
        </w:rPr>
        <w:t xml:space="preserve"> in in terms of the relevant form such that where a response does not attach a </w:t>
      </w:r>
      <w:r w:rsidR="00F5429D">
        <w:rPr>
          <w:rFonts w:ascii="Tahoma" w:hAnsi="Tahoma" w:cs="Tahoma"/>
          <w:sz w:val="24"/>
          <w:szCs w:val="24"/>
        </w:rPr>
        <w:lastRenderedPageBreak/>
        <w:t>required affidavit it ends at the Registrar’s door.</w:t>
      </w:r>
      <w:r w:rsidR="00890FEE">
        <w:rPr>
          <w:rFonts w:ascii="Tahoma" w:hAnsi="Tahoma" w:cs="Tahoma"/>
          <w:sz w:val="24"/>
          <w:szCs w:val="24"/>
        </w:rPr>
        <w:t xml:space="preserve"> The response would not even be in terms of a modified form. This authority of the</w:t>
      </w:r>
      <w:r w:rsidR="00D071AC">
        <w:rPr>
          <w:rFonts w:ascii="Tahoma" w:hAnsi="Tahoma" w:cs="Tahoma"/>
          <w:sz w:val="24"/>
          <w:szCs w:val="24"/>
        </w:rPr>
        <w:t xml:space="preserve"> Registrar is meant to assist the court not to be exposed to the type of arguments that we are dealing with daily and they are on the increase. They are becoming the order of the day.</w:t>
      </w:r>
    </w:p>
    <w:p w:rsidR="00D071AC" w:rsidRDefault="00D071AC" w:rsidP="00AA17AB">
      <w:pPr>
        <w:spacing w:after="0" w:line="360" w:lineRule="auto"/>
        <w:ind w:firstLine="720"/>
        <w:jc w:val="both"/>
        <w:rPr>
          <w:rFonts w:ascii="Tahoma" w:hAnsi="Tahoma" w:cs="Tahoma"/>
          <w:sz w:val="24"/>
          <w:szCs w:val="24"/>
        </w:rPr>
      </w:pPr>
    </w:p>
    <w:p w:rsidR="00D071AC" w:rsidRDefault="00D071AC" w:rsidP="00AA17AB">
      <w:pPr>
        <w:spacing w:after="0" w:line="360" w:lineRule="auto"/>
        <w:ind w:firstLine="720"/>
        <w:jc w:val="both"/>
        <w:rPr>
          <w:rFonts w:ascii="Tahoma" w:hAnsi="Tahoma" w:cs="Tahoma"/>
          <w:sz w:val="24"/>
          <w:szCs w:val="24"/>
        </w:rPr>
      </w:pPr>
      <w:r>
        <w:rPr>
          <w:rFonts w:ascii="Tahoma" w:hAnsi="Tahoma" w:cs="Tahoma"/>
          <w:sz w:val="24"/>
          <w:szCs w:val="24"/>
        </w:rPr>
        <w:t>The respondent urged the court to apply Rule 32 and allow the response. The appellant on the other hand said that Rule 32 cannot save the respondent as it was informed of the error and did not correct it. Further Rule 47 is peremptory. Rule 32 reads-</w:t>
      </w:r>
    </w:p>
    <w:p w:rsidR="00D071AC" w:rsidRPr="001779E5" w:rsidRDefault="00D071AC" w:rsidP="001779E5">
      <w:pPr>
        <w:spacing w:after="0" w:line="360" w:lineRule="auto"/>
        <w:ind w:left="2880" w:hanging="720"/>
        <w:jc w:val="both"/>
        <w:rPr>
          <w:rFonts w:ascii="Tahoma" w:hAnsi="Tahoma" w:cs="Tahoma"/>
          <w:i/>
        </w:rPr>
      </w:pPr>
      <w:r w:rsidRPr="001779E5">
        <w:rPr>
          <w:rFonts w:ascii="Tahoma" w:hAnsi="Tahoma" w:cs="Tahoma"/>
          <w:i/>
        </w:rPr>
        <w:t>“32.</w:t>
      </w:r>
      <w:r w:rsidR="001779E5" w:rsidRPr="001779E5">
        <w:rPr>
          <w:rFonts w:ascii="Tahoma" w:hAnsi="Tahoma" w:cs="Tahoma"/>
          <w:i/>
        </w:rPr>
        <w:tab/>
      </w:r>
      <w:r w:rsidRPr="001779E5">
        <w:rPr>
          <w:rFonts w:ascii="Tahoma" w:hAnsi="Tahoma" w:cs="Tahoma"/>
          <w:i/>
        </w:rPr>
        <w:t xml:space="preserve"> At any time before or during</w:t>
      </w:r>
      <w:r w:rsidR="001779E5" w:rsidRPr="001779E5">
        <w:rPr>
          <w:rFonts w:ascii="Tahoma" w:hAnsi="Tahoma" w:cs="Tahoma"/>
          <w:i/>
        </w:rPr>
        <w:t xml:space="preserve"> the hearing of a matter a Judge or the court may-</w:t>
      </w:r>
    </w:p>
    <w:p w:rsidR="001779E5" w:rsidRDefault="001779E5" w:rsidP="001779E5">
      <w:pPr>
        <w:spacing w:after="0" w:line="360" w:lineRule="auto"/>
        <w:ind w:left="2880" w:hanging="720"/>
        <w:jc w:val="both"/>
        <w:rPr>
          <w:rFonts w:ascii="Tahoma" w:hAnsi="Tahoma" w:cs="Tahoma"/>
          <w:i/>
        </w:rPr>
      </w:pPr>
      <w:r w:rsidRPr="001779E5">
        <w:rPr>
          <w:rFonts w:ascii="Tahoma" w:hAnsi="Tahoma" w:cs="Tahoma"/>
          <w:i/>
        </w:rPr>
        <w:t>(a)</w:t>
      </w:r>
      <w:r w:rsidRPr="001779E5">
        <w:rPr>
          <w:rFonts w:ascii="Tahoma" w:hAnsi="Tahoma" w:cs="Tahoma"/>
          <w:i/>
        </w:rPr>
        <w:tab/>
        <w:t>direct, authorize or condone a departure from any of these rules, including an extension of any period specified therein, where the Judge or Court is satisfied that the departure is required in the interest of justice, fairness and equity”.</w:t>
      </w:r>
    </w:p>
    <w:p w:rsidR="00A84D59" w:rsidRPr="001779E5" w:rsidRDefault="00A84D59" w:rsidP="001779E5">
      <w:pPr>
        <w:spacing w:after="0" w:line="360" w:lineRule="auto"/>
        <w:ind w:left="2880" w:hanging="720"/>
        <w:jc w:val="both"/>
        <w:rPr>
          <w:rFonts w:ascii="Tahoma" w:hAnsi="Tahoma" w:cs="Tahoma"/>
          <w:i/>
        </w:rPr>
      </w:pPr>
    </w:p>
    <w:p w:rsidR="001779E5" w:rsidRDefault="004476AE" w:rsidP="001779E5">
      <w:pPr>
        <w:spacing w:after="0" w:line="360" w:lineRule="auto"/>
        <w:jc w:val="both"/>
        <w:rPr>
          <w:rFonts w:ascii="Tahoma" w:hAnsi="Tahoma" w:cs="Tahoma"/>
          <w:sz w:val="24"/>
          <w:szCs w:val="24"/>
        </w:rPr>
      </w:pPr>
      <w:r>
        <w:rPr>
          <w:rFonts w:ascii="Tahoma" w:hAnsi="Tahoma" w:cs="Tahoma"/>
          <w:sz w:val="24"/>
          <w:szCs w:val="24"/>
        </w:rPr>
        <w:t>Is</w:t>
      </w:r>
      <w:r w:rsidR="001779E5">
        <w:rPr>
          <w:rFonts w:ascii="Tahoma" w:hAnsi="Tahoma" w:cs="Tahoma"/>
          <w:sz w:val="24"/>
          <w:szCs w:val="24"/>
        </w:rPr>
        <w:t xml:space="preserve"> this a case for such departure?.</w:t>
      </w:r>
    </w:p>
    <w:p w:rsidR="00A84D59" w:rsidRDefault="00A84D59" w:rsidP="001779E5">
      <w:pPr>
        <w:spacing w:after="0" w:line="360" w:lineRule="auto"/>
        <w:jc w:val="both"/>
        <w:rPr>
          <w:rFonts w:ascii="Tahoma" w:hAnsi="Tahoma" w:cs="Tahoma"/>
          <w:sz w:val="24"/>
          <w:szCs w:val="24"/>
        </w:rPr>
      </w:pPr>
      <w:r>
        <w:rPr>
          <w:rFonts w:ascii="Tahoma" w:hAnsi="Tahoma" w:cs="Tahoma"/>
          <w:sz w:val="24"/>
          <w:szCs w:val="24"/>
        </w:rPr>
        <w:t>Rule 29 deals with a situation where a party fails to file a notice of response. It reads-</w:t>
      </w:r>
    </w:p>
    <w:p w:rsidR="008D365C" w:rsidRDefault="008D365C" w:rsidP="001779E5">
      <w:pPr>
        <w:spacing w:after="0" w:line="360" w:lineRule="auto"/>
        <w:jc w:val="both"/>
        <w:rPr>
          <w:rFonts w:ascii="Tahoma" w:hAnsi="Tahoma" w:cs="Tahoma"/>
          <w:sz w:val="24"/>
          <w:szCs w:val="24"/>
        </w:rPr>
      </w:pPr>
    </w:p>
    <w:p w:rsidR="008D365C" w:rsidRPr="00A5241C" w:rsidRDefault="008D365C" w:rsidP="008D365C">
      <w:pPr>
        <w:spacing w:after="0" w:line="360" w:lineRule="auto"/>
        <w:ind w:left="720"/>
        <w:jc w:val="both"/>
        <w:rPr>
          <w:rFonts w:ascii="Tahoma" w:hAnsi="Tahoma" w:cs="Tahoma"/>
          <w:i/>
        </w:rPr>
      </w:pPr>
      <w:r w:rsidRPr="00A5241C">
        <w:rPr>
          <w:rFonts w:ascii="Tahoma" w:hAnsi="Tahoma" w:cs="Tahoma"/>
          <w:i/>
        </w:rPr>
        <w:t xml:space="preserve">“Where the respondent fails to file notice of response within the period specified in rules 14, 19 or 20 and that party fails to comply </w:t>
      </w:r>
      <w:r w:rsidR="00A248DF">
        <w:rPr>
          <w:rFonts w:ascii="Tahoma" w:hAnsi="Tahoma" w:cs="Tahoma"/>
          <w:i/>
        </w:rPr>
        <w:t xml:space="preserve"> t</w:t>
      </w:r>
      <w:r w:rsidRPr="00A5241C">
        <w:rPr>
          <w:rFonts w:ascii="Tahoma" w:hAnsi="Tahoma" w:cs="Tahoma"/>
          <w:i/>
        </w:rPr>
        <w:t>he matter shall nevertheless be set down in terms of rule 28 and if, on the day of hearing, the defaulting party-</w:t>
      </w:r>
    </w:p>
    <w:p w:rsidR="002F673E" w:rsidRPr="00A5241C" w:rsidRDefault="002F673E" w:rsidP="002F673E">
      <w:pPr>
        <w:spacing w:after="0" w:line="360" w:lineRule="auto"/>
        <w:ind w:left="2160" w:hanging="720"/>
        <w:jc w:val="both"/>
        <w:rPr>
          <w:rFonts w:ascii="Tahoma" w:hAnsi="Tahoma" w:cs="Tahoma"/>
          <w:i/>
        </w:rPr>
      </w:pPr>
      <w:r w:rsidRPr="00A5241C">
        <w:rPr>
          <w:rFonts w:ascii="Tahoma" w:hAnsi="Tahoma" w:cs="Tahoma"/>
          <w:i/>
        </w:rPr>
        <w:t>(a)</w:t>
      </w:r>
      <w:r w:rsidRPr="00A5241C">
        <w:rPr>
          <w:rFonts w:ascii="Tahoma" w:hAnsi="Tahoma" w:cs="Tahoma"/>
          <w:i/>
        </w:rPr>
        <w:tab/>
        <w:t>appears and shows good cause why he or she did not file a notice of response, the court may according to the nature of the case, or as the justice of the case requires-</w:t>
      </w:r>
    </w:p>
    <w:p w:rsidR="002F673E" w:rsidRPr="00A5241C" w:rsidRDefault="002F673E" w:rsidP="002F673E">
      <w:pPr>
        <w:spacing w:after="0" w:line="360" w:lineRule="auto"/>
        <w:ind w:left="2880" w:hanging="720"/>
        <w:jc w:val="both"/>
        <w:rPr>
          <w:rFonts w:ascii="Tahoma" w:hAnsi="Tahoma" w:cs="Tahoma"/>
          <w:i/>
        </w:rPr>
      </w:pPr>
      <w:r w:rsidRPr="00A5241C">
        <w:rPr>
          <w:rFonts w:ascii="Tahoma" w:hAnsi="Tahoma" w:cs="Tahoma"/>
          <w:i/>
        </w:rPr>
        <w:t>(i)</w:t>
      </w:r>
      <w:r w:rsidRPr="00A5241C">
        <w:rPr>
          <w:rFonts w:ascii="Tahoma" w:hAnsi="Tahoma" w:cs="Tahoma"/>
          <w:i/>
        </w:rPr>
        <w:tab/>
        <w:t>postpone the matter to enable the defaulting party to comply; or</w:t>
      </w:r>
    </w:p>
    <w:p w:rsidR="002F673E" w:rsidRPr="00A5241C" w:rsidRDefault="002F673E" w:rsidP="002F673E">
      <w:pPr>
        <w:spacing w:after="0" w:line="360" w:lineRule="auto"/>
        <w:ind w:left="2880" w:hanging="720"/>
        <w:jc w:val="both"/>
        <w:rPr>
          <w:rFonts w:ascii="Tahoma" w:hAnsi="Tahoma" w:cs="Tahoma"/>
          <w:i/>
        </w:rPr>
      </w:pPr>
      <w:r w:rsidRPr="00A5241C">
        <w:rPr>
          <w:rFonts w:ascii="Tahoma" w:hAnsi="Tahoma" w:cs="Tahoma"/>
          <w:i/>
        </w:rPr>
        <w:t>(ii)</w:t>
      </w:r>
      <w:r w:rsidRPr="00A5241C">
        <w:rPr>
          <w:rFonts w:ascii="Tahoma" w:hAnsi="Tahoma" w:cs="Tahoma"/>
          <w:i/>
        </w:rPr>
        <w:tab/>
        <w:t>proceed to determine the matter,</w:t>
      </w:r>
    </w:p>
    <w:p w:rsidR="002F673E" w:rsidRPr="00A5241C" w:rsidRDefault="002F673E" w:rsidP="002F673E">
      <w:pPr>
        <w:spacing w:after="0" w:line="360" w:lineRule="auto"/>
        <w:ind w:left="2880" w:hanging="720"/>
        <w:jc w:val="both"/>
        <w:rPr>
          <w:rFonts w:ascii="Tahoma" w:hAnsi="Tahoma" w:cs="Tahoma"/>
          <w:i/>
        </w:rPr>
      </w:pPr>
      <w:r w:rsidRPr="00A5241C">
        <w:rPr>
          <w:rFonts w:ascii="Tahoma" w:hAnsi="Tahoma" w:cs="Tahoma"/>
          <w:i/>
        </w:rPr>
        <w:tab/>
        <w:t>or</w:t>
      </w:r>
    </w:p>
    <w:p w:rsidR="002F673E" w:rsidRPr="00A5241C" w:rsidRDefault="002F673E" w:rsidP="002F673E">
      <w:pPr>
        <w:spacing w:after="0" w:line="360" w:lineRule="auto"/>
        <w:ind w:left="2880" w:hanging="720"/>
        <w:jc w:val="both"/>
        <w:rPr>
          <w:rFonts w:ascii="Tahoma" w:hAnsi="Tahoma" w:cs="Tahoma"/>
          <w:i/>
        </w:rPr>
      </w:pPr>
      <w:r w:rsidRPr="00A5241C">
        <w:rPr>
          <w:rFonts w:ascii="Tahoma" w:hAnsi="Tahoma" w:cs="Tahoma"/>
          <w:i/>
        </w:rPr>
        <w:lastRenderedPageBreak/>
        <w:t>(b)</w:t>
      </w:r>
      <w:r w:rsidRPr="00A5241C">
        <w:rPr>
          <w:rFonts w:ascii="Tahoma" w:hAnsi="Tahoma" w:cs="Tahoma"/>
          <w:i/>
        </w:rPr>
        <w:tab/>
        <w:t>does not appear or fails to show good cause why he or she did not file a response, shall be barred, and the Court may, according to the nature of the case, or as the justice of the case requires-</w:t>
      </w:r>
    </w:p>
    <w:p w:rsidR="002F673E" w:rsidRPr="00A5241C" w:rsidRDefault="002F673E" w:rsidP="002F673E">
      <w:pPr>
        <w:spacing w:after="0" w:line="360" w:lineRule="auto"/>
        <w:ind w:left="3600" w:hanging="720"/>
        <w:jc w:val="both"/>
        <w:rPr>
          <w:rFonts w:ascii="Tahoma" w:hAnsi="Tahoma" w:cs="Tahoma"/>
          <w:i/>
        </w:rPr>
      </w:pPr>
      <w:r w:rsidRPr="00A5241C">
        <w:rPr>
          <w:rFonts w:ascii="Tahoma" w:hAnsi="Tahoma" w:cs="Tahoma"/>
          <w:i/>
        </w:rPr>
        <w:t>(i)</w:t>
      </w:r>
      <w:r w:rsidRPr="00A5241C">
        <w:rPr>
          <w:rFonts w:ascii="Tahoma" w:hAnsi="Tahoma" w:cs="Tahoma"/>
          <w:i/>
        </w:rPr>
        <w:tab/>
        <w:t>enter a default judgment against the defaulting party; or</w:t>
      </w:r>
    </w:p>
    <w:p w:rsidR="002F673E" w:rsidRPr="00A5241C" w:rsidRDefault="002F673E" w:rsidP="002F673E">
      <w:pPr>
        <w:spacing w:after="0" w:line="360" w:lineRule="auto"/>
        <w:ind w:left="3600" w:hanging="720"/>
        <w:jc w:val="both"/>
        <w:rPr>
          <w:rFonts w:ascii="Tahoma" w:hAnsi="Tahoma" w:cs="Tahoma"/>
          <w:i/>
        </w:rPr>
      </w:pPr>
      <w:r w:rsidRPr="00A5241C">
        <w:rPr>
          <w:rFonts w:ascii="Tahoma" w:hAnsi="Tahoma" w:cs="Tahoma"/>
          <w:i/>
        </w:rPr>
        <w:t>(ii)</w:t>
      </w:r>
      <w:r w:rsidRPr="00A5241C">
        <w:rPr>
          <w:rFonts w:ascii="Tahoma" w:hAnsi="Tahoma" w:cs="Tahoma"/>
          <w:i/>
        </w:rPr>
        <w:tab/>
        <w:t>proceed to determine the matter”.</w:t>
      </w:r>
    </w:p>
    <w:p w:rsidR="00C03593" w:rsidRDefault="00C03593" w:rsidP="00C03593">
      <w:pPr>
        <w:spacing w:after="0" w:line="360" w:lineRule="auto"/>
        <w:jc w:val="both"/>
        <w:rPr>
          <w:rFonts w:ascii="Tahoma" w:hAnsi="Tahoma" w:cs="Tahoma"/>
          <w:sz w:val="24"/>
          <w:szCs w:val="24"/>
        </w:rPr>
      </w:pPr>
    </w:p>
    <w:p w:rsidR="00C03593" w:rsidRDefault="009A4EB2" w:rsidP="00C03593">
      <w:pPr>
        <w:spacing w:after="0" w:line="360" w:lineRule="auto"/>
        <w:jc w:val="both"/>
        <w:rPr>
          <w:rFonts w:ascii="Tahoma" w:hAnsi="Tahoma" w:cs="Tahoma"/>
          <w:sz w:val="24"/>
          <w:szCs w:val="24"/>
        </w:rPr>
      </w:pPr>
      <w:r>
        <w:rPr>
          <w:rFonts w:ascii="Tahoma" w:hAnsi="Tahoma" w:cs="Tahoma"/>
          <w:sz w:val="24"/>
          <w:szCs w:val="24"/>
        </w:rPr>
        <w:tab/>
        <w:t xml:space="preserve">The appellant </w:t>
      </w:r>
      <w:r w:rsidR="00C03593">
        <w:rPr>
          <w:rFonts w:ascii="Tahoma" w:hAnsi="Tahoma" w:cs="Tahoma"/>
          <w:sz w:val="24"/>
          <w:szCs w:val="24"/>
        </w:rPr>
        <w:t>advocated for an unopposed appeal. I have referred to Rule 29 to show the attitude of the rules for failure to file a notice of response. The Rules are desirous of giving the failing party a chance to be heard.</w:t>
      </w:r>
      <w:r w:rsidR="009738EA">
        <w:rPr>
          <w:rFonts w:ascii="Tahoma" w:hAnsi="Tahoma" w:cs="Tahoma"/>
          <w:sz w:val="24"/>
          <w:szCs w:val="24"/>
        </w:rPr>
        <w:t xml:space="preserve"> Not only that, the court is even given the opportunity not to just enter a default judgment but to proceed to determine the matter</w:t>
      </w:r>
      <w:r w:rsidR="00853664">
        <w:rPr>
          <w:rFonts w:ascii="Tahoma" w:hAnsi="Tahoma" w:cs="Tahoma"/>
          <w:sz w:val="24"/>
          <w:szCs w:val="24"/>
        </w:rPr>
        <w:t xml:space="preserve">. </w:t>
      </w:r>
      <w:r w:rsidR="009738EA">
        <w:rPr>
          <w:rFonts w:ascii="Tahoma" w:hAnsi="Tahoma" w:cs="Tahoma"/>
          <w:sz w:val="24"/>
          <w:szCs w:val="24"/>
        </w:rPr>
        <w:t>This means that the court will not necessarily decide in favour of the party before it.</w:t>
      </w:r>
      <w:r w:rsidR="009C4D64">
        <w:rPr>
          <w:rFonts w:ascii="Tahoma" w:hAnsi="Tahoma" w:cs="Tahoma"/>
          <w:sz w:val="24"/>
          <w:szCs w:val="24"/>
        </w:rPr>
        <w:t xml:space="preserve"> The court is required to consider the papers filed of record and determine the matter, in this case the appeal. In other words the appeal may</w:t>
      </w:r>
      <w:r>
        <w:rPr>
          <w:rFonts w:ascii="Tahoma" w:hAnsi="Tahoma" w:cs="Tahoma"/>
          <w:sz w:val="24"/>
          <w:szCs w:val="24"/>
        </w:rPr>
        <w:t>,</w:t>
      </w:r>
      <w:r w:rsidR="009C4D64">
        <w:rPr>
          <w:rFonts w:ascii="Tahoma" w:hAnsi="Tahoma" w:cs="Tahoma"/>
          <w:sz w:val="24"/>
          <w:szCs w:val="24"/>
        </w:rPr>
        <w:t xml:space="preserve"> according to the papers on record, be hopeless for one reason or another and the court may dismiss it. It appears to me that such a process forces the court to look at the absent party’s side as per the record. According to the record an appellant may </w:t>
      </w:r>
      <w:r>
        <w:rPr>
          <w:rFonts w:ascii="Tahoma" w:hAnsi="Tahoma" w:cs="Tahoma"/>
          <w:sz w:val="24"/>
          <w:szCs w:val="24"/>
        </w:rPr>
        <w:t>clearly be wrong on the facts or</w:t>
      </w:r>
      <w:r w:rsidR="009C4D64">
        <w:rPr>
          <w:rFonts w:ascii="Tahoma" w:hAnsi="Tahoma" w:cs="Tahoma"/>
          <w:sz w:val="24"/>
          <w:szCs w:val="24"/>
        </w:rPr>
        <w:t xml:space="preserve"> the law. The court cannot decide the matter in the appellant’s favour unless it is a default judgment</w:t>
      </w:r>
      <w:r w:rsidR="000608ED">
        <w:rPr>
          <w:rFonts w:ascii="Tahoma" w:hAnsi="Tahoma" w:cs="Tahoma"/>
          <w:sz w:val="24"/>
          <w:szCs w:val="24"/>
        </w:rPr>
        <w:t>.</w:t>
      </w:r>
      <w:r>
        <w:rPr>
          <w:rFonts w:ascii="Tahoma" w:hAnsi="Tahoma" w:cs="Tahoma"/>
          <w:sz w:val="24"/>
          <w:szCs w:val="24"/>
        </w:rPr>
        <w:t xml:space="preserve"> Thus the court acts as the ban</w:t>
      </w:r>
      <w:r w:rsidR="009C4D64">
        <w:rPr>
          <w:rFonts w:ascii="Tahoma" w:hAnsi="Tahoma" w:cs="Tahoma"/>
          <w:sz w:val="24"/>
          <w:szCs w:val="24"/>
        </w:rPr>
        <w:t>ned party’s lawyer in order to have a balanced view of the case. That can be avoided by allowing the party to be heard.</w:t>
      </w:r>
    </w:p>
    <w:p w:rsidR="000913AB" w:rsidRDefault="000913AB" w:rsidP="00C03593">
      <w:pPr>
        <w:spacing w:after="0" w:line="360" w:lineRule="auto"/>
        <w:jc w:val="both"/>
        <w:rPr>
          <w:rFonts w:ascii="Tahoma" w:hAnsi="Tahoma" w:cs="Tahoma"/>
          <w:sz w:val="24"/>
          <w:szCs w:val="24"/>
        </w:rPr>
      </w:pPr>
    </w:p>
    <w:p w:rsidR="00334E19" w:rsidRDefault="0015670A" w:rsidP="00C03593">
      <w:pPr>
        <w:spacing w:after="0" w:line="360" w:lineRule="auto"/>
        <w:jc w:val="both"/>
        <w:rPr>
          <w:rFonts w:ascii="Tahoma" w:hAnsi="Tahoma" w:cs="Tahoma"/>
          <w:sz w:val="24"/>
          <w:szCs w:val="24"/>
        </w:rPr>
      </w:pPr>
      <w:r>
        <w:rPr>
          <w:rFonts w:ascii="Tahoma" w:hAnsi="Tahoma" w:cs="Tahoma"/>
          <w:sz w:val="24"/>
          <w:szCs w:val="24"/>
        </w:rPr>
        <w:tab/>
        <w:t>There is a slight difference between labour and</w:t>
      </w:r>
      <w:r w:rsidR="00422BE5">
        <w:rPr>
          <w:rFonts w:ascii="Tahoma" w:hAnsi="Tahoma" w:cs="Tahoma"/>
          <w:sz w:val="24"/>
          <w:szCs w:val="24"/>
        </w:rPr>
        <w:t xml:space="preserve"> high court cases. As has been shown above the Rules in the Labour court are more accommodating. It is even established in precedent that the Labour court should seek to decide matters on merit rather than on technicalities. However it is also important that the court must seek to discourage parties from fragrantly breaching the rules or from not being diligent. The court can do this by other </w:t>
      </w:r>
      <w:r w:rsidR="007B79E9">
        <w:rPr>
          <w:rFonts w:ascii="Tahoma" w:hAnsi="Tahoma" w:cs="Tahoma"/>
          <w:sz w:val="24"/>
          <w:szCs w:val="24"/>
        </w:rPr>
        <w:t xml:space="preserve">means other than shutting out the </w:t>
      </w:r>
      <w:r w:rsidR="00422BE5">
        <w:rPr>
          <w:rFonts w:ascii="Tahoma" w:hAnsi="Tahoma" w:cs="Tahoma"/>
          <w:sz w:val="24"/>
          <w:szCs w:val="24"/>
        </w:rPr>
        <w:t>defaulting party. An award of cost is one way. It remains important though that rules are made to be obeyed.</w:t>
      </w:r>
      <w:r w:rsidR="00D2139A">
        <w:rPr>
          <w:rFonts w:ascii="Tahoma" w:hAnsi="Tahoma" w:cs="Tahoma"/>
          <w:sz w:val="24"/>
          <w:szCs w:val="24"/>
        </w:rPr>
        <w:t xml:space="preserve"> But barring a party may do more injustice than justice between the parties in cases like this </w:t>
      </w:r>
      <w:r w:rsidR="00D2139A">
        <w:rPr>
          <w:rFonts w:ascii="Tahoma" w:hAnsi="Tahoma" w:cs="Tahoma"/>
          <w:sz w:val="24"/>
          <w:szCs w:val="24"/>
        </w:rPr>
        <w:lastRenderedPageBreak/>
        <w:t xml:space="preserve">one. An employee must escape the consequences of his acts not through the fault of others but because he/she is innocent. </w:t>
      </w:r>
    </w:p>
    <w:p w:rsidR="009157FF" w:rsidRDefault="009157FF" w:rsidP="00C03593">
      <w:pPr>
        <w:spacing w:after="0" w:line="360" w:lineRule="auto"/>
        <w:jc w:val="both"/>
        <w:rPr>
          <w:rFonts w:ascii="Tahoma" w:hAnsi="Tahoma" w:cs="Tahoma"/>
          <w:sz w:val="24"/>
          <w:szCs w:val="24"/>
        </w:rPr>
      </w:pPr>
    </w:p>
    <w:p w:rsidR="00334E19" w:rsidRDefault="00334E19" w:rsidP="00C03593">
      <w:pPr>
        <w:spacing w:after="0" w:line="360" w:lineRule="auto"/>
        <w:jc w:val="both"/>
        <w:rPr>
          <w:rFonts w:ascii="Tahoma" w:hAnsi="Tahoma" w:cs="Tahoma"/>
          <w:sz w:val="24"/>
          <w:szCs w:val="24"/>
        </w:rPr>
      </w:pPr>
      <w:r>
        <w:rPr>
          <w:rFonts w:ascii="Tahoma" w:hAnsi="Tahoma" w:cs="Tahoma"/>
          <w:sz w:val="24"/>
          <w:szCs w:val="24"/>
        </w:rPr>
        <w:tab/>
        <w:t>In the circumstances of this case it would be more appropriate to allow the respondent to be heard than to have the matter unopposed. The court may award costs against the respondent for any costs incurred because of this error. This inconvenience would have been avoided if the respondent had been diligent even through its legal officers and not the counsel.</w:t>
      </w:r>
    </w:p>
    <w:p w:rsidR="0079457E" w:rsidRDefault="0079457E" w:rsidP="00C03593">
      <w:pPr>
        <w:spacing w:after="0" w:line="360" w:lineRule="auto"/>
        <w:jc w:val="both"/>
        <w:rPr>
          <w:rFonts w:ascii="Tahoma" w:hAnsi="Tahoma" w:cs="Tahoma"/>
          <w:sz w:val="24"/>
          <w:szCs w:val="24"/>
        </w:rPr>
      </w:pPr>
    </w:p>
    <w:p w:rsidR="0079457E" w:rsidRDefault="0079457E" w:rsidP="00C03593">
      <w:pPr>
        <w:spacing w:after="0" w:line="360" w:lineRule="auto"/>
        <w:jc w:val="both"/>
        <w:rPr>
          <w:rFonts w:ascii="Tahoma" w:hAnsi="Tahoma" w:cs="Tahoma"/>
          <w:sz w:val="24"/>
          <w:szCs w:val="24"/>
        </w:rPr>
      </w:pPr>
      <w:r>
        <w:rPr>
          <w:rFonts w:ascii="Tahoma" w:hAnsi="Tahoma" w:cs="Tahoma"/>
          <w:sz w:val="24"/>
          <w:szCs w:val="24"/>
        </w:rPr>
        <w:tab/>
        <w:t>If the appellant is not clear about any point in the response because of the absence of an affidavit such point can be clarified to enable the appellant to prosecute his appeal adequately.</w:t>
      </w:r>
      <w:r w:rsidR="003A2A1D">
        <w:rPr>
          <w:rFonts w:ascii="Tahoma" w:hAnsi="Tahoma" w:cs="Tahoma"/>
          <w:sz w:val="24"/>
          <w:szCs w:val="24"/>
        </w:rPr>
        <w:t xml:space="preserve"> It must be pointed out though that apart from the failure to apply the rule there is no prejudice that has been shown. It is more a question of form rather than substance.</w:t>
      </w:r>
    </w:p>
    <w:p w:rsidR="00FD1EDB" w:rsidRDefault="00FD1EDB" w:rsidP="00C03593">
      <w:pPr>
        <w:spacing w:after="0" w:line="360" w:lineRule="auto"/>
        <w:jc w:val="both"/>
        <w:rPr>
          <w:rFonts w:ascii="Tahoma" w:hAnsi="Tahoma" w:cs="Tahoma"/>
          <w:sz w:val="24"/>
          <w:szCs w:val="24"/>
        </w:rPr>
      </w:pPr>
    </w:p>
    <w:p w:rsidR="0079457E" w:rsidRDefault="0079457E" w:rsidP="00C03593">
      <w:pPr>
        <w:spacing w:after="0" w:line="360" w:lineRule="auto"/>
        <w:jc w:val="both"/>
        <w:rPr>
          <w:rFonts w:ascii="Tahoma" w:hAnsi="Tahoma" w:cs="Tahoma"/>
          <w:sz w:val="24"/>
          <w:szCs w:val="24"/>
        </w:rPr>
      </w:pPr>
    </w:p>
    <w:p w:rsidR="0079457E" w:rsidRDefault="0079457E" w:rsidP="00C03593">
      <w:pPr>
        <w:spacing w:after="0" w:line="360" w:lineRule="auto"/>
        <w:jc w:val="both"/>
        <w:rPr>
          <w:rFonts w:ascii="Tahoma" w:hAnsi="Tahoma" w:cs="Tahoma"/>
          <w:sz w:val="24"/>
          <w:szCs w:val="24"/>
        </w:rPr>
      </w:pPr>
    </w:p>
    <w:p w:rsidR="0079457E" w:rsidRPr="00553618" w:rsidRDefault="0079457E" w:rsidP="00C03593">
      <w:pPr>
        <w:spacing w:after="0" w:line="360" w:lineRule="auto"/>
        <w:jc w:val="both"/>
        <w:rPr>
          <w:rFonts w:ascii="Tahoma" w:hAnsi="Tahoma" w:cs="Tahoma"/>
          <w:b/>
          <w:sz w:val="24"/>
          <w:szCs w:val="24"/>
        </w:rPr>
      </w:pPr>
      <w:r w:rsidRPr="00553618">
        <w:rPr>
          <w:rFonts w:ascii="Tahoma" w:hAnsi="Tahoma" w:cs="Tahoma"/>
          <w:b/>
          <w:sz w:val="24"/>
          <w:szCs w:val="24"/>
        </w:rPr>
        <w:t>In the result it is ordered that:</w:t>
      </w:r>
    </w:p>
    <w:p w:rsidR="0079457E" w:rsidRPr="00553618" w:rsidRDefault="0079457E" w:rsidP="00C03593">
      <w:pPr>
        <w:spacing w:after="0" w:line="360" w:lineRule="auto"/>
        <w:jc w:val="both"/>
        <w:rPr>
          <w:rFonts w:ascii="Tahoma" w:hAnsi="Tahoma" w:cs="Tahoma"/>
          <w:b/>
          <w:sz w:val="24"/>
          <w:szCs w:val="24"/>
        </w:rPr>
      </w:pPr>
    </w:p>
    <w:p w:rsidR="0079457E" w:rsidRDefault="0079457E" w:rsidP="00C03593">
      <w:pPr>
        <w:spacing w:after="0" w:line="360" w:lineRule="auto"/>
        <w:jc w:val="both"/>
        <w:rPr>
          <w:rFonts w:ascii="Tahoma" w:hAnsi="Tahoma" w:cs="Tahoma"/>
          <w:sz w:val="24"/>
          <w:szCs w:val="24"/>
        </w:rPr>
      </w:pPr>
      <w:r>
        <w:rPr>
          <w:rFonts w:ascii="Tahoma" w:hAnsi="Tahoma" w:cs="Tahoma"/>
          <w:sz w:val="24"/>
          <w:szCs w:val="24"/>
        </w:rPr>
        <w:t>1.</w:t>
      </w:r>
      <w:r>
        <w:rPr>
          <w:rFonts w:ascii="Tahoma" w:hAnsi="Tahoma" w:cs="Tahoma"/>
          <w:sz w:val="24"/>
          <w:szCs w:val="24"/>
        </w:rPr>
        <w:tab/>
        <w:t xml:space="preserve">The point in </w:t>
      </w:r>
      <w:r w:rsidRPr="00553618">
        <w:rPr>
          <w:rFonts w:ascii="Tahoma" w:hAnsi="Tahoma" w:cs="Tahoma"/>
          <w:i/>
          <w:sz w:val="24"/>
          <w:szCs w:val="24"/>
        </w:rPr>
        <w:t>limine</w:t>
      </w:r>
      <w:r>
        <w:rPr>
          <w:rFonts w:ascii="Tahoma" w:hAnsi="Tahoma" w:cs="Tahoma"/>
          <w:sz w:val="24"/>
          <w:szCs w:val="24"/>
        </w:rPr>
        <w:t xml:space="preserve"> is</w:t>
      </w:r>
      <w:r w:rsidR="00553618">
        <w:rPr>
          <w:rFonts w:ascii="Tahoma" w:hAnsi="Tahoma" w:cs="Tahoma"/>
          <w:sz w:val="24"/>
          <w:szCs w:val="24"/>
        </w:rPr>
        <w:t xml:space="preserve"> dismissed.</w:t>
      </w:r>
    </w:p>
    <w:p w:rsidR="00553618" w:rsidRDefault="00553618" w:rsidP="00C03593">
      <w:pPr>
        <w:spacing w:after="0" w:line="360" w:lineRule="auto"/>
        <w:jc w:val="both"/>
        <w:rPr>
          <w:rFonts w:ascii="Tahoma" w:hAnsi="Tahoma" w:cs="Tahoma"/>
          <w:sz w:val="24"/>
          <w:szCs w:val="24"/>
        </w:rPr>
      </w:pPr>
      <w:r>
        <w:rPr>
          <w:rFonts w:ascii="Tahoma" w:hAnsi="Tahoma" w:cs="Tahoma"/>
          <w:sz w:val="24"/>
          <w:szCs w:val="24"/>
        </w:rPr>
        <w:t>2.</w:t>
      </w:r>
      <w:r>
        <w:rPr>
          <w:rFonts w:ascii="Tahoma" w:hAnsi="Tahoma" w:cs="Tahoma"/>
          <w:sz w:val="24"/>
          <w:szCs w:val="24"/>
        </w:rPr>
        <w:tab/>
        <w:t>The respondent shall pay the costs of the hearing if any.</w:t>
      </w:r>
    </w:p>
    <w:p w:rsidR="00553618" w:rsidRDefault="00553618" w:rsidP="00C03593">
      <w:pPr>
        <w:spacing w:after="0" w:line="360" w:lineRule="auto"/>
        <w:jc w:val="both"/>
        <w:rPr>
          <w:rFonts w:ascii="Tahoma" w:hAnsi="Tahoma" w:cs="Tahoma"/>
          <w:sz w:val="24"/>
          <w:szCs w:val="24"/>
        </w:rPr>
      </w:pPr>
      <w:r>
        <w:rPr>
          <w:rFonts w:ascii="Tahoma" w:hAnsi="Tahoma" w:cs="Tahoma"/>
          <w:sz w:val="24"/>
          <w:szCs w:val="24"/>
        </w:rPr>
        <w:t>3.</w:t>
      </w:r>
      <w:r>
        <w:rPr>
          <w:rFonts w:ascii="Tahoma" w:hAnsi="Tahoma" w:cs="Tahoma"/>
          <w:sz w:val="24"/>
          <w:szCs w:val="24"/>
        </w:rPr>
        <w:tab/>
        <w:t>The registrar shall set down the appeal for continuation.</w:t>
      </w:r>
    </w:p>
    <w:p w:rsidR="00EA6E1A" w:rsidRDefault="00EA6E1A" w:rsidP="00C03593">
      <w:pPr>
        <w:spacing w:after="0" w:line="360" w:lineRule="auto"/>
        <w:jc w:val="both"/>
        <w:rPr>
          <w:rFonts w:ascii="Tahoma" w:hAnsi="Tahoma" w:cs="Tahoma"/>
          <w:sz w:val="24"/>
          <w:szCs w:val="24"/>
        </w:rPr>
      </w:pPr>
    </w:p>
    <w:p w:rsidR="00EA6E1A" w:rsidRDefault="00EA6E1A" w:rsidP="00C03593">
      <w:pPr>
        <w:spacing w:after="0" w:line="360" w:lineRule="auto"/>
        <w:jc w:val="both"/>
        <w:rPr>
          <w:rFonts w:ascii="Tahoma" w:hAnsi="Tahoma" w:cs="Tahoma"/>
          <w:sz w:val="24"/>
          <w:szCs w:val="24"/>
        </w:rPr>
      </w:pPr>
    </w:p>
    <w:p w:rsidR="00EA6E1A" w:rsidRDefault="00EA6E1A" w:rsidP="00C03593">
      <w:pPr>
        <w:spacing w:after="0" w:line="360" w:lineRule="auto"/>
        <w:jc w:val="both"/>
        <w:rPr>
          <w:rFonts w:ascii="Tahoma" w:hAnsi="Tahoma" w:cs="Tahoma"/>
          <w:sz w:val="24"/>
          <w:szCs w:val="24"/>
        </w:rPr>
      </w:pPr>
    </w:p>
    <w:p w:rsidR="00EA6E1A" w:rsidRDefault="00EA6E1A" w:rsidP="00C03593">
      <w:pPr>
        <w:spacing w:after="0" w:line="360" w:lineRule="auto"/>
        <w:jc w:val="both"/>
        <w:rPr>
          <w:rFonts w:ascii="Tahoma" w:hAnsi="Tahoma" w:cs="Tahoma"/>
          <w:sz w:val="24"/>
          <w:szCs w:val="24"/>
        </w:rPr>
      </w:pPr>
    </w:p>
    <w:p w:rsidR="00EA6E1A" w:rsidRDefault="00EA6E1A" w:rsidP="00C03593">
      <w:pPr>
        <w:spacing w:after="0" w:line="360" w:lineRule="auto"/>
        <w:jc w:val="both"/>
        <w:rPr>
          <w:rFonts w:ascii="Tahoma" w:hAnsi="Tahoma" w:cs="Tahoma"/>
          <w:sz w:val="24"/>
          <w:szCs w:val="24"/>
        </w:rPr>
      </w:pPr>
    </w:p>
    <w:p w:rsidR="00EA6E1A" w:rsidRDefault="00EA6E1A" w:rsidP="00C03593">
      <w:pPr>
        <w:spacing w:after="0" w:line="360" w:lineRule="auto"/>
        <w:jc w:val="both"/>
        <w:rPr>
          <w:rFonts w:ascii="Tahoma" w:hAnsi="Tahoma" w:cs="Tahoma"/>
          <w:sz w:val="24"/>
          <w:szCs w:val="24"/>
        </w:rPr>
      </w:pPr>
    </w:p>
    <w:p w:rsidR="00EA6E1A" w:rsidRDefault="00EA6E1A" w:rsidP="00C03593">
      <w:pPr>
        <w:spacing w:after="0" w:line="360" w:lineRule="auto"/>
        <w:jc w:val="both"/>
        <w:rPr>
          <w:rFonts w:ascii="Tahoma" w:hAnsi="Tahoma" w:cs="Tahoma"/>
          <w:sz w:val="24"/>
          <w:szCs w:val="24"/>
        </w:rPr>
      </w:pPr>
    </w:p>
    <w:p w:rsidR="00EA6E1A" w:rsidRDefault="00EA6E1A" w:rsidP="00C03593">
      <w:pPr>
        <w:spacing w:after="0" w:line="360" w:lineRule="auto"/>
        <w:jc w:val="both"/>
        <w:rPr>
          <w:rFonts w:ascii="Tahoma" w:hAnsi="Tahoma" w:cs="Tahoma"/>
          <w:sz w:val="24"/>
          <w:szCs w:val="24"/>
        </w:rPr>
      </w:pPr>
      <w:r>
        <w:rPr>
          <w:rFonts w:ascii="Tahoma" w:hAnsi="Tahoma" w:cs="Tahoma"/>
          <w:sz w:val="24"/>
          <w:szCs w:val="24"/>
        </w:rPr>
        <w:lastRenderedPageBreak/>
        <w:t>C. Kachambwa, J</w:t>
      </w:r>
    </w:p>
    <w:p w:rsidR="00EA6E1A" w:rsidRDefault="00EA6E1A" w:rsidP="00C03593">
      <w:pPr>
        <w:spacing w:after="0" w:line="360" w:lineRule="auto"/>
        <w:jc w:val="both"/>
        <w:rPr>
          <w:rFonts w:ascii="Tahoma" w:hAnsi="Tahoma" w:cs="Tahoma"/>
          <w:sz w:val="24"/>
          <w:szCs w:val="24"/>
        </w:rPr>
      </w:pPr>
    </w:p>
    <w:p w:rsidR="00EA6E1A" w:rsidRPr="006C409C" w:rsidRDefault="00EA6E1A" w:rsidP="00C03593">
      <w:pPr>
        <w:spacing w:after="0" w:line="360" w:lineRule="auto"/>
        <w:jc w:val="both"/>
        <w:rPr>
          <w:rFonts w:ascii="Tahoma" w:hAnsi="Tahoma" w:cs="Tahoma"/>
          <w:sz w:val="32"/>
          <w:szCs w:val="32"/>
          <w:u w:val="single"/>
        </w:rPr>
      </w:pPr>
      <w:r w:rsidRPr="006C409C">
        <w:rPr>
          <w:rFonts w:ascii="Tahoma" w:hAnsi="Tahoma" w:cs="Tahoma"/>
          <w:sz w:val="32"/>
          <w:szCs w:val="32"/>
          <w:u w:val="single"/>
        </w:rPr>
        <w:t>Cases</w:t>
      </w:r>
    </w:p>
    <w:p w:rsidR="00EA6E1A" w:rsidRDefault="00EA6E1A" w:rsidP="00C03593">
      <w:pPr>
        <w:spacing w:after="0" w:line="360" w:lineRule="auto"/>
        <w:jc w:val="both"/>
        <w:rPr>
          <w:rFonts w:ascii="Tahoma" w:hAnsi="Tahoma" w:cs="Tahoma"/>
          <w:sz w:val="24"/>
          <w:szCs w:val="24"/>
        </w:rPr>
      </w:pPr>
    </w:p>
    <w:p w:rsidR="00EA6E1A" w:rsidRDefault="00EA6E1A" w:rsidP="00EA6E1A">
      <w:pPr>
        <w:spacing w:after="0" w:line="360" w:lineRule="auto"/>
        <w:ind w:left="720" w:hanging="720"/>
        <w:jc w:val="both"/>
        <w:rPr>
          <w:rFonts w:ascii="Tahoma" w:hAnsi="Tahoma" w:cs="Tahoma"/>
          <w:sz w:val="24"/>
          <w:szCs w:val="24"/>
        </w:rPr>
      </w:pPr>
      <w:r>
        <w:rPr>
          <w:rFonts w:ascii="Tahoma" w:hAnsi="Tahoma" w:cs="Tahoma"/>
          <w:sz w:val="24"/>
          <w:szCs w:val="24"/>
        </w:rPr>
        <w:t>1.</w:t>
      </w:r>
      <w:r>
        <w:rPr>
          <w:rFonts w:ascii="Tahoma" w:hAnsi="Tahoma" w:cs="Tahoma"/>
          <w:sz w:val="24"/>
          <w:szCs w:val="24"/>
        </w:rPr>
        <w:tab/>
        <w:t>Turner and Sons (Pvt) Ltd v Master of the High Court and Theresa Grimmel and Dobbrock (Pvt) Ltd</w:t>
      </w:r>
      <w:r w:rsidR="006C409C">
        <w:rPr>
          <w:rFonts w:ascii="Tahoma" w:hAnsi="Tahoma" w:cs="Tahoma"/>
          <w:sz w:val="24"/>
          <w:szCs w:val="24"/>
        </w:rPr>
        <w:t>.</w:t>
      </w:r>
    </w:p>
    <w:p w:rsidR="006C409C" w:rsidRDefault="006C409C" w:rsidP="00EA6E1A">
      <w:pPr>
        <w:spacing w:after="0" w:line="360" w:lineRule="auto"/>
        <w:ind w:left="720" w:hanging="720"/>
        <w:jc w:val="both"/>
        <w:rPr>
          <w:rFonts w:ascii="Tahoma" w:hAnsi="Tahoma" w:cs="Tahoma"/>
          <w:sz w:val="24"/>
          <w:szCs w:val="24"/>
        </w:rPr>
      </w:pPr>
    </w:p>
    <w:p w:rsidR="006C409C" w:rsidRDefault="006C409C" w:rsidP="00EA6E1A">
      <w:pPr>
        <w:spacing w:after="0" w:line="360" w:lineRule="auto"/>
        <w:ind w:left="720" w:hanging="720"/>
        <w:jc w:val="both"/>
        <w:rPr>
          <w:rFonts w:ascii="Tahoma" w:hAnsi="Tahoma" w:cs="Tahoma"/>
          <w:sz w:val="24"/>
          <w:szCs w:val="24"/>
        </w:rPr>
      </w:pPr>
      <w:r>
        <w:rPr>
          <w:rFonts w:ascii="Tahoma" w:hAnsi="Tahoma" w:cs="Tahoma"/>
          <w:sz w:val="24"/>
          <w:szCs w:val="24"/>
        </w:rPr>
        <w:t>2.</w:t>
      </w:r>
      <w:r>
        <w:rPr>
          <w:rFonts w:ascii="Tahoma" w:hAnsi="Tahoma" w:cs="Tahoma"/>
          <w:sz w:val="24"/>
          <w:szCs w:val="24"/>
        </w:rPr>
        <w:tab/>
        <w:t>Zimbabwe Open University v Dr O. Mazombwe HH 1012/2008.</w:t>
      </w:r>
    </w:p>
    <w:p w:rsidR="006C409C" w:rsidRDefault="006C409C" w:rsidP="00EA6E1A">
      <w:pPr>
        <w:spacing w:after="0" w:line="360" w:lineRule="auto"/>
        <w:ind w:left="720" w:hanging="720"/>
        <w:jc w:val="both"/>
        <w:rPr>
          <w:rFonts w:ascii="Tahoma" w:hAnsi="Tahoma" w:cs="Tahoma"/>
          <w:sz w:val="24"/>
          <w:szCs w:val="24"/>
        </w:rPr>
      </w:pPr>
    </w:p>
    <w:p w:rsidR="006C409C" w:rsidRDefault="006C409C" w:rsidP="00EA6E1A">
      <w:pPr>
        <w:spacing w:after="0" w:line="360" w:lineRule="auto"/>
        <w:ind w:left="720" w:hanging="720"/>
        <w:jc w:val="both"/>
        <w:rPr>
          <w:rFonts w:ascii="Tahoma" w:hAnsi="Tahoma" w:cs="Tahoma"/>
          <w:sz w:val="24"/>
          <w:szCs w:val="24"/>
        </w:rPr>
      </w:pPr>
      <w:r>
        <w:rPr>
          <w:rFonts w:ascii="Tahoma" w:hAnsi="Tahoma" w:cs="Tahoma"/>
          <w:sz w:val="24"/>
          <w:szCs w:val="24"/>
        </w:rPr>
        <w:t>3.</w:t>
      </w:r>
      <w:r>
        <w:rPr>
          <w:rFonts w:ascii="Tahoma" w:hAnsi="Tahoma" w:cs="Tahoma"/>
          <w:sz w:val="24"/>
          <w:szCs w:val="24"/>
        </w:rPr>
        <w:tab/>
        <w:t>Kumbula Sibanda v Thabani Siziba and Master of the High Court – Bulawayo and Director of Housing &amp; Community Services – Bulawayo and the Deputy Sheriff – Bulawayo HB 94/07.</w:t>
      </w:r>
    </w:p>
    <w:p w:rsidR="006C409C" w:rsidRDefault="006C409C" w:rsidP="00EA6E1A">
      <w:pPr>
        <w:spacing w:after="0" w:line="360" w:lineRule="auto"/>
        <w:ind w:left="720" w:hanging="720"/>
        <w:jc w:val="both"/>
        <w:rPr>
          <w:rFonts w:ascii="Tahoma" w:hAnsi="Tahoma" w:cs="Tahoma"/>
          <w:sz w:val="24"/>
          <w:szCs w:val="24"/>
        </w:rPr>
      </w:pPr>
    </w:p>
    <w:p w:rsidR="006C409C" w:rsidRDefault="006C409C" w:rsidP="00EA6E1A">
      <w:pPr>
        <w:spacing w:after="0" w:line="360" w:lineRule="auto"/>
        <w:ind w:left="720" w:hanging="720"/>
        <w:jc w:val="both"/>
        <w:rPr>
          <w:rFonts w:ascii="Tahoma" w:hAnsi="Tahoma" w:cs="Tahoma"/>
          <w:sz w:val="24"/>
          <w:szCs w:val="24"/>
        </w:rPr>
      </w:pPr>
      <w:r>
        <w:rPr>
          <w:rFonts w:ascii="Tahoma" w:hAnsi="Tahoma" w:cs="Tahoma"/>
          <w:sz w:val="24"/>
          <w:szCs w:val="24"/>
        </w:rPr>
        <w:t>4.</w:t>
      </w:r>
      <w:r>
        <w:rPr>
          <w:rFonts w:ascii="Tahoma" w:hAnsi="Tahoma" w:cs="Tahoma"/>
          <w:sz w:val="24"/>
          <w:szCs w:val="24"/>
        </w:rPr>
        <w:tab/>
        <w:t>Standard Chartered Bank v Chinyemba (z) ZLR 197 (S).</w:t>
      </w:r>
    </w:p>
    <w:p w:rsidR="006C409C" w:rsidRDefault="006C409C" w:rsidP="00EA6E1A">
      <w:pPr>
        <w:spacing w:after="0" w:line="360" w:lineRule="auto"/>
        <w:ind w:left="720" w:hanging="720"/>
        <w:jc w:val="both"/>
        <w:rPr>
          <w:rFonts w:ascii="Tahoma" w:hAnsi="Tahoma" w:cs="Tahoma"/>
          <w:sz w:val="24"/>
          <w:szCs w:val="24"/>
        </w:rPr>
      </w:pPr>
    </w:p>
    <w:p w:rsidR="006C409C" w:rsidRDefault="006C409C" w:rsidP="00EA6E1A">
      <w:pPr>
        <w:spacing w:after="0" w:line="360" w:lineRule="auto"/>
        <w:ind w:left="720" w:hanging="720"/>
        <w:jc w:val="both"/>
        <w:rPr>
          <w:rFonts w:ascii="Tahoma" w:hAnsi="Tahoma" w:cs="Tahoma"/>
          <w:sz w:val="24"/>
          <w:szCs w:val="24"/>
        </w:rPr>
      </w:pPr>
      <w:r>
        <w:rPr>
          <w:rFonts w:ascii="Tahoma" w:hAnsi="Tahoma" w:cs="Tahoma"/>
          <w:sz w:val="24"/>
          <w:szCs w:val="24"/>
        </w:rPr>
        <w:t>5.</w:t>
      </w:r>
      <w:r>
        <w:rPr>
          <w:rFonts w:ascii="Tahoma" w:hAnsi="Tahoma" w:cs="Tahoma"/>
          <w:sz w:val="24"/>
          <w:szCs w:val="24"/>
        </w:rPr>
        <w:tab/>
        <w:t>Zimbabwe Platinum Mines (Pvt) Ltd v Makro Plan SC 84/15.</w:t>
      </w:r>
    </w:p>
    <w:p w:rsidR="006C409C" w:rsidRDefault="006C409C" w:rsidP="00EA6E1A">
      <w:pPr>
        <w:spacing w:after="0" w:line="360" w:lineRule="auto"/>
        <w:ind w:left="720" w:hanging="720"/>
        <w:jc w:val="both"/>
        <w:rPr>
          <w:rFonts w:ascii="Tahoma" w:hAnsi="Tahoma" w:cs="Tahoma"/>
          <w:sz w:val="24"/>
          <w:szCs w:val="24"/>
        </w:rPr>
      </w:pPr>
    </w:p>
    <w:p w:rsidR="006C409C" w:rsidRDefault="006C409C" w:rsidP="00EA6E1A">
      <w:pPr>
        <w:spacing w:after="0" w:line="360" w:lineRule="auto"/>
        <w:ind w:left="720" w:hanging="720"/>
        <w:jc w:val="both"/>
        <w:rPr>
          <w:rFonts w:ascii="Tahoma" w:hAnsi="Tahoma" w:cs="Tahoma"/>
          <w:sz w:val="24"/>
          <w:szCs w:val="24"/>
        </w:rPr>
      </w:pPr>
      <w:r>
        <w:rPr>
          <w:rFonts w:ascii="Tahoma" w:hAnsi="Tahoma" w:cs="Tahoma"/>
          <w:sz w:val="24"/>
          <w:szCs w:val="24"/>
        </w:rPr>
        <w:t>6.</w:t>
      </w:r>
      <w:r>
        <w:rPr>
          <w:rFonts w:ascii="Tahoma" w:hAnsi="Tahoma" w:cs="Tahoma"/>
          <w:sz w:val="24"/>
          <w:szCs w:val="24"/>
        </w:rPr>
        <w:tab/>
        <w:t>Dalny Mine v Musa Banda 1999 91) ZLR 220 (S).</w:t>
      </w:r>
    </w:p>
    <w:p w:rsidR="006C409C" w:rsidRDefault="006C409C" w:rsidP="00EA6E1A">
      <w:pPr>
        <w:spacing w:after="0" w:line="360" w:lineRule="auto"/>
        <w:ind w:left="720" w:hanging="720"/>
        <w:jc w:val="both"/>
        <w:rPr>
          <w:rFonts w:ascii="Tahoma" w:hAnsi="Tahoma" w:cs="Tahoma"/>
          <w:sz w:val="24"/>
          <w:szCs w:val="24"/>
        </w:rPr>
      </w:pPr>
    </w:p>
    <w:p w:rsidR="006C409C" w:rsidRDefault="006C409C" w:rsidP="00EA6E1A">
      <w:pPr>
        <w:spacing w:after="0" w:line="360" w:lineRule="auto"/>
        <w:ind w:left="720" w:hanging="720"/>
        <w:jc w:val="both"/>
        <w:rPr>
          <w:rFonts w:ascii="Tahoma" w:hAnsi="Tahoma" w:cs="Tahoma"/>
          <w:sz w:val="24"/>
          <w:szCs w:val="24"/>
        </w:rPr>
      </w:pPr>
      <w:r>
        <w:rPr>
          <w:rFonts w:ascii="Tahoma" w:hAnsi="Tahoma" w:cs="Tahoma"/>
          <w:sz w:val="24"/>
          <w:szCs w:val="24"/>
        </w:rPr>
        <w:t>7.</w:t>
      </w:r>
      <w:r>
        <w:rPr>
          <w:rFonts w:ascii="Tahoma" w:hAnsi="Tahoma" w:cs="Tahoma"/>
          <w:sz w:val="24"/>
          <w:szCs w:val="24"/>
        </w:rPr>
        <w:tab/>
        <w:t>Tongai Machona v Old Mutual SC 34/21.</w:t>
      </w:r>
    </w:p>
    <w:p w:rsidR="0079457E" w:rsidRDefault="0079457E" w:rsidP="00C03593">
      <w:pPr>
        <w:spacing w:after="0" w:line="360" w:lineRule="auto"/>
        <w:jc w:val="both"/>
        <w:rPr>
          <w:rFonts w:ascii="Tahoma" w:hAnsi="Tahoma" w:cs="Tahoma"/>
          <w:sz w:val="24"/>
          <w:szCs w:val="24"/>
        </w:rPr>
      </w:pPr>
    </w:p>
    <w:p w:rsidR="002F673E" w:rsidRPr="00447BD9" w:rsidRDefault="002F673E" w:rsidP="002F673E">
      <w:pPr>
        <w:spacing w:after="0" w:line="360" w:lineRule="auto"/>
        <w:ind w:left="2880" w:hanging="720"/>
        <w:jc w:val="both"/>
        <w:rPr>
          <w:rFonts w:ascii="Tahoma" w:hAnsi="Tahoma" w:cs="Tahoma"/>
          <w:sz w:val="24"/>
          <w:szCs w:val="24"/>
        </w:rPr>
      </w:pPr>
    </w:p>
    <w:sectPr w:rsidR="002F673E" w:rsidRPr="00447BD9" w:rsidSect="000A738D">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7B2" w:rsidRDefault="00B977B2" w:rsidP="000A738D">
      <w:pPr>
        <w:spacing w:after="0" w:line="240" w:lineRule="auto"/>
      </w:pPr>
      <w:r>
        <w:separator/>
      </w:r>
    </w:p>
  </w:endnote>
  <w:endnote w:type="continuationSeparator" w:id="0">
    <w:p w:rsidR="00B977B2" w:rsidRDefault="00B977B2" w:rsidP="000A7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7B2" w:rsidRDefault="00B977B2" w:rsidP="000A738D">
      <w:pPr>
        <w:spacing w:after="0" w:line="240" w:lineRule="auto"/>
      </w:pPr>
      <w:r>
        <w:separator/>
      </w:r>
    </w:p>
  </w:footnote>
  <w:footnote w:type="continuationSeparator" w:id="0">
    <w:p w:rsidR="00B977B2" w:rsidRDefault="00B977B2" w:rsidP="000A73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274456"/>
      <w:docPartObj>
        <w:docPartGallery w:val="Page Numbers (Top of Page)"/>
        <w:docPartUnique/>
      </w:docPartObj>
    </w:sdtPr>
    <w:sdtEndPr>
      <w:rPr>
        <w:noProof/>
      </w:rPr>
    </w:sdtEndPr>
    <w:sdtContent>
      <w:p w:rsidR="0079457E" w:rsidRDefault="0079457E">
        <w:pPr>
          <w:pStyle w:val="Header"/>
          <w:jc w:val="right"/>
          <w:rPr>
            <w:noProof/>
          </w:rPr>
        </w:pPr>
        <w:r>
          <w:fldChar w:fldCharType="begin"/>
        </w:r>
        <w:r>
          <w:instrText xml:space="preserve"> PAGE   \* MERGEFORMAT </w:instrText>
        </w:r>
        <w:r>
          <w:fldChar w:fldCharType="separate"/>
        </w:r>
        <w:r w:rsidR="002261F8">
          <w:rPr>
            <w:noProof/>
          </w:rPr>
          <w:t>6</w:t>
        </w:r>
        <w:r>
          <w:rPr>
            <w:noProof/>
          </w:rPr>
          <w:fldChar w:fldCharType="end"/>
        </w:r>
      </w:p>
      <w:p w:rsidR="0079457E" w:rsidRDefault="0079457E">
        <w:pPr>
          <w:pStyle w:val="Header"/>
          <w:jc w:val="right"/>
          <w:rPr>
            <w:noProof/>
          </w:rPr>
        </w:pPr>
        <w:r>
          <w:rPr>
            <w:noProof/>
          </w:rPr>
          <w:t xml:space="preserve">JUDGMENT </w:t>
        </w:r>
        <w:r w:rsidR="00B62980">
          <w:rPr>
            <w:noProof/>
          </w:rPr>
          <w:t>LC/H</w:t>
        </w:r>
        <w:r>
          <w:rPr>
            <w:noProof/>
          </w:rPr>
          <w:t>/</w:t>
        </w:r>
        <w:r w:rsidR="007C023F">
          <w:rPr>
            <w:noProof/>
          </w:rPr>
          <w:t>182</w:t>
        </w:r>
        <w:r>
          <w:rPr>
            <w:noProof/>
          </w:rPr>
          <w:t>/2021</w:t>
        </w:r>
      </w:p>
      <w:p w:rsidR="0079457E" w:rsidRDefault="0079457E">
        <w:pPr>
          <w:pStyle w:val="Header"/>
          <w:jc w:val="right"/>
        </w:pPr>
        <w:r>
          <w:rPr>
            <w:noProof/>
          </w:rPr>
          <w:t>CASE NO. LC/H/41/20</w:t>
        </w:r>
      </w:p>
    </w:sdtContent>
  </w:sdt>
  <w:p w:rsidR="0079457E" w:rsidRDefault="007945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F58F2"/>
    <w:multiLevelType w:val="hybridMultilevel"/>
    <w:tmpl w:val="94E24CB8"/>
    <w:lvl w:ilvl="0" w:tplc="F58A74EA">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385681F"/>
    <w:multiLevelType w:val="hybridMultilevel"/>
    <w:tmpl w:val="267476CA"/>
    <w:lvl w:ilvl="0" w:tplc="AD2CEBE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BF72F21"/>
    <w:multiLevelType w:val="hybridMultilevel"/>
    <w:tmpl w:val="DFB0FE98"/>
    <w:lvl w:ilvl="0" w:tplc="99168892">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7F721D8E"/>
    <w:multiLevelType w:val="hybridMultilevel"/>
    <w:tmpl w:val="BB0425CA"/>
    <w:lvl w:ilvl="0" w:tplc="5C4E98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10D"/>
    <w:rsid w:val="0000091B"/>
    <w:rsid w:val="000015D8"/>
    <w:rsid w:val="000016B6"/>
    <w:rsid w:val="00001BAE"/>
    <w:rsid w:val="0000758D"/>
    <w:rsid w:val="00007F52"/>
    <w:rsid w:val="0001231F"/>
    <w:rsid w:val="000127FC"/>
    <w:rsid w:val="00020F7A"/>
    <w:rsid w:val="00022549"/>
    <w:rsid w:val="0003192E"/>
    <w:rsid w:val="00032398"/>
    <w:rsid w:val="00033B06"/>
    <w:rsid w:val="000402CC"/>
    <w:rsid w:val="0004342B"/>
    <w:rsid w:val="00043598"/>
    <w:rsid w:val="00043E7C"/>
    <w:rsid w:val="000478E8"/>
    <w:rsid w:val="000503C1"/>
    <w:rsid w:val="000504F9"/>
    <w:rsid w:val="000524F8"/>
    <w:rsid w:val="00054F2B"/>
    <w:rsid w:val="0005598B"/>
    <w:rsid w:val="000602B3"/>
    <w:rsid w:val="000608ED"/>
    <w:rsid w:val="0007028F"/>
    <w:rsid w:val="00071637"/>
    <w:rsid w:val="000754AE"/>
    <w:rsid w:val="00085EB6"/>
    <w:rsid w:val="00087A2D"/>
    <w:rsid w:val="000913AB"/>
    <w:rsid w:val="000913EE"/>
    <w:rsid w:val="0009444D"/>
    <w:rsid w:val="0009757E"/>
    <w:rsid w:val="000A1861"/>
    <w:rsid w:val="000A3B30"/>
    <w:rsid w:val="000A738D"/>
    <w:rsid w:val="000B716B"/>
    <w:rsid w:val="000B7185"/>
    <w:rsid w:val="000B7D3D"/>
    <w:rsid w:val="000C0044"/>
    <w:rsid w:val="000C0C8B"/>
    <w:rsid w:val="000C2B3F"/>
    <w:rsid w:val="000C57D1"/>
    <w:rsid w:val="000C6137"/>
    <w:rsid w:val="000D3116"/>
    <w:rsid w:val="000D5340"/>
    <w:rsid w:val="000E3CFB"/>
    <w:rsid w:val="000F0E50"/>
    <w:rsid w:val="000F11CD"/>
    <w:rsid w:val="000F4543"/>
    <w:rsid w:val="000F7D46"/>
    <w:rsid w:val="0010100E"/>
    <w:rsid w:val="00103BD8"/>
    <w:rsid w:val="00103CC0"/>
    <w:rsid w:val="00107211"/>
    <w:rsid w:val="00113FA4"/>
    <w:rsid w:val="00122BA5"/>
    <w:rsid w:val="0012548C"/>
    <w:rsid w:val="00135442"/>
    <w:rsid w:val="00147852"/>
    <w:rsid w:val="0015670A"/>
    <w:rsid w:val="0016418B"/>
    <w:rsid w:val="001671A7"/>
    <w:rsid w:val="0017332C"/>
    <w:rsid w:val="00173565"/>
    <w:rsid w:val="00176E37"/>
    <w:rsid w:val="001779E5"/>
    <w:rsid w:val="00182EB6"/>
    <w:rsid w:val="00183F0D"/>
    <w:rsid w:val="00184330"/>
    <w:rsid w:val="00184DBF"/>
    <w:rsid w:val="00192A00"/>
    <w:rsid w:val="001A0F30"/>
    <w:rsid w:val="001A6328"/>
    <w:rsid w:val="001B2ACE"/>
    <w:rsid w:val="001B5C94"/>
    <w:rsid w:val="001C23A4"/>
    <w:rsid w:val="001D10B1"/>
    <w:rsid w:val="001D2553"/>
    <w:rsid w:val="001D52AF"/>
    <w:rsid w:val="001D56CA"/>
    <w:rsid w:val="001D64A9"/>
    <w:rsid w:val="001D6764"/>
    <w:rsid w:val="001E6550"/>
    <w:rsid w:val="001F0AB8"/>
    <w:rsid w:val="001F6EB7"/>
    <w:rsid w:val="0020542B"/>
    <w:rsid w:val="002149E4"/>
    <w:rsid w:val="00217045"/>
    <w:rsid w:val="00217ECA"/>
    <w:rsid w:val="00220660"/>
    <w:rsid w:val="00221C49"/>
    <w:rsid w:val="002261F8"/>
    <w:rsid w:val="00234972"/>
    <w:rsid w:val="00237780"/>
    <w:rsid w:val="00244C28"/>
    <w:rsid w:val="00252829"/>
    <w:rsid w:val="002550A4"/>
    <w:rsid w:val="00256B4B"/>
    <w:rsid w:val="002576F7"/>
    <w:rsid w:val="00267244"/>
    <w:rsid w:val="00267FD8"/>
    <w:rsid w:val="0027077C"/>
    <w:rsid w:val="0027480E"/>
    <w:rsid w:val="00283220"/>
    <w:rsid w:val="00287843"/>
    <w:rsid w:val="00291C65"/>
    <w:rsid w:val="00294B1C"/>
    <w:rsid w:val="002970A5"/>
    <w:rsid w:val="002A018D"/>
    <w:rsid w:val="002A2B82"/>
    <w:rsid w:val="002A35AF"/>
    <w:rsid w:val="002A457F"/>
    <w:rsid w:val="002A47F8"/>
    <w:rsid w:val="002A4BEE"/>
    <w:rsid w:val="002A5F50"/>
    <w:rsid w:val="002A6875"/>
    <w:rsid w:val="002B0E4F"/>
    <w:rsid w:val="002B1755"/>
    <w:rsid w:val="002B1D19"/>
    <w:rsid w:val="002B3AF8"/>
    <w:rsid w:val="002B7F53"/>
    <w:rsid w:val="002C1E99"/>
    <w:rsid w:val="002C3014"/>
    <w:rsid w:val="002C3314"/>
    <w:rsid w:val="002C5782"/>
    <w:rsid w:val="002C67FF"/>
    <w:rsid w:val="002C7D61"/>
    <w:rsid w:val="002D186F"/>
    <w:rsid w:val="002D214F"/>
    <w:rsid w:val="002D5CD0"/>
    <w:rsid w:val="002D77AD"/>
    <w:rsid w:val="002E0561"/>
    <w:rsid w:val="002E09CA"/>
    <w:rsid w:val="002E4B94"/>
    <w:rsid w:val="002E75E8"/>
    <w:rsid w:val="002F10FC"/>
    <w:rsid w:val="002F22C2"/>
    <w:rsid w:val="002F673E"/>
    <w:rsid w:val="0030018A"/>
    <w:rsid w:val="003007DE"/>
    <w:rsid w:val="00301F30"/>
    <w:rsid w:val="0030228D"/>
    <w:rsid w:val="00303163"/>
    <w:rsid w:val="0031105D"/>
    <w:rsid w:val="00311833"/>
    <w:rsid w:val="00317469"/>
    <w:rsid w:val="00322FC4"/>
    <w:rsid w:val="00324D74"/>
    <w:rsid w:val="00324E36"/>
    <w:rsid w:val="003260F1"/>
    <w:rsid w:val="0032786F"/>
    <w:rsid w:val="0033175A"/>
    <w:rsid w:val="00334E19"/>
    <w:rsid w:val="00335DAB"/>
    <w:rsid w:val="00337DD5"/>
    <w:rsid w:val="0034179A"/>
    <w:rsid w:val="00342C4F"/>
    <w:rsid w:val="00353023"/>
    <w:rsid w:val="003531B3"/>
    <w:rsid w:val="00354304"/>
    <w:rsid w:val="0036462E"/>
    <w:rsid w:val="00364C3C"/>
    <w:rsid w:val="003658FC"/>
    <w:rsid w:val="00365B16"/>
    <w:rsid w:val="0037320F"/>
    <w:rsid w:val="00376E7A"/>
    <w:rsid w:val="00377D5E"/>
    <w:rsid w:val="003841CE"/>
    <w:rsid w:val="003851BE"/>
    <w:rsid w:val="00385902"/>
    <w:rsid w:val="00387837"/>
    <w:rsid w:val="00390C00"/>
    <w:rsid w:val="00391093"/>
    <w:rsid w:val="00392EC6"/>
    <w:rsid w:val="00394677"/>
    <w:rsid w:val="003955AD"/>
    <w:rsid w:val="003A2A1D"/>
    <w:rsid w:val="003A34B7"/>
    <w:rsid w:val="003A6A1B"/>
    <w:rsid w:val="003A6DEA"/>
    <w:rsid w:val="003A7266"/>
    <w:rsid w:val="003A7AF9"/>
    <w:rsid w:val="003C1188"/>
    <w:rsid w:val="003C262F"/>
    <w:rsid w:val="003C6119"/>
    <w:rsid w:val="003D12D4"/>
    <w:rsid w:val="003D1B3C"/>
    <w:rsid w:val="003D1BF6"/>
    <w:rsid w:val="003D1D71"/>
    <w:rsid w:val="003D427C"/>
    <w:rsid w:val="003D50EC"/>
    <w:rsid w:val="003D62F2"/>
    <w:rsid w:val="003D7E2E"/>
    <w:rsid w:val="003E1444"/>
    <w:rsid w:val="003E4C32"/>
    <w:rsid w:val="003E51EE"/>
    <w:rsid w:val="003E7D57"/>
    <w:rsid w:val="003F4EDC"/>
    <w:rsid w:val="003F7EA4"/>
    <w:rsid w:val="004014E9"/>
    <w:rsid w:val="00401950"/>
    <w:rsid w:val="00402F1F"/>
    <w:rsid w:val="004030B9"/>
    <w:rsid w:val="00414015"/>
    <w:rsid w:val="00415A2E"/>
    <w:rsid w:val="00415CD7"/>
    <w:rsid w:val="0041664F"/>
    <w:rsid w:val="00422BE5"/>
    <w:rsid w:val="004257B5"/>
    <w:rsid w:val="00425855"/>
    <w:rsid w:val="00434920"/>
    <w:rsid w:val="004355EA"/>
    <w:rsid w:val="0043596E"/>
    <w:rsid w:val="00435E59"/>
    <w:rsid w:val="00437A8B"/>
    <w:rsid w:val="004435E6"/>
    <w:rsid w:val="004439A0"/>
    <w:rsid w:val="00446D16"/>
    <w:rsid w:val="004476AE"/>
    <w:rsid w:val="00447BD9"/>
    <w:rsid w:val="0045210F"/>
    <w:rsid w:val="00461E85"/>
    <w:rsid w:val="00472E36"/>
    <w:rsid w:val="004761AC"/>
    <w:rsid w:val="004776FD"/>
    <w:rsid w:val="004825A3"/>
    <w:rsid w:val="00486A61"/>
    <w:rsid w:val="00487780"/>
    <w:rsid w:val="00490014"/>
    <w:rsid w:val="00496452"/>
    <w:rsid w:val="004A14D4"/>
    <w:rsid w:val="004A34BE"/>
    <w:rsid w:val="004B059B"/>
    <w:rsid w:val="004B6AB4"/>
    <w:rsid w:val="004C09A1"/>
    <w:rsid w:val="004D460D"/>
    <w:rsid w:val="004E0D4D"/>
    <w:rsid w:val="004E21F2"/>
    <w:rsid w:val="004E587B"/>
    <w:rsid w:val="004F14E4"/>
    <w:rsid w:val="004F2789"/>
    <w:rsid w:val="004F2A1A"/>
    <w:rsid w:val="004F546F"/>
    <w:rsid w:val="004F56A1"/>
    <w:rsid w:val="004F6659"/>
    <w:rsid w:val="00501A43"/>
    <w:rsid w:val="005027E9"/>
    <w:rsid w:val="005029B8"/>
    <w:rsid w:val="00513C9D"/>
    <w:rsid w:val="00515F19"/>
    <w:rsid w:val="00523BF1"/>
    <w:rsid w:val="00525279"/>
    <w:rsid w:val="005257D5"/>
    <w:rsid w:val="00526314"/>
    <w:rsid w:val="00531132"/>
    <w:rsid w:val="0053130E"/>
    <w:rsid w:val="00533469"/>
    <w:rsid w:val="005339AB"/>
    <w:rsid w:val="00533FF3"/>
    <w:rsid w:val="005352CB"/>
    <w:rsid w:val="005406E5"/>
    <w:rsid w:val="00542545"/>
    <w:rsid w:val="005459E9"/>
    <w:rsid w:val="00547D21"/>
    <w:rsid w:val="005508CF"/>
    <w:rsid w:val="0055330D"/>
    <w:rsid w:val="00553618"/>
    <w:rsid w:val="00554C9D"/>
    <w:rsid w:val="00556BDD"/>
    <w:rsid w:val="00557561"/>
    <w:rsid w:val="005611BA"/>
    <w:rsid w:val="00563F19"/>
    <w:rsid w:val="0056568B"/>
    <w:rsid w:val="0056646F"/>
    <w:rsid w:val="00570CE7"/>
    <w:rsid w:val="00571999"/>
    <w:rsid w:val="0057535E"/>
    <w:rsid w:val="0057583E"/>
    <w:rsid w:val="00576706"/>
    <w:rsid w:val="00577402"/>
    <w:rsid w:val="0057765F"/>
    <w:rsid w:val="00581C79"/>
    <w:rsid w:val="00585EA0"/>
    <w:rsid w:val="00590FCA"/>
    <w:rsid w:val="0059722E"/>
    <w:rsid w:val="005A1046"/>
    <w:rsid w:val="005A3ED1"/>
    <w:rsid w:val="005A3FE6"/>
    <w:rsid w:val="005A4D5E"/>
    <w:rsid w:val="005A5066"/>
    <w:rsid w:val="005B0DF8"/>
    <w:rsid w:val="005B13E5"/>
    <w:rsid w:val="005B3650"/>
    <w:rsid w:val="005B49B1"/>
    <w:rsid w:val="005B4F56"/>
    <w:rsid w:val="005C12F7"/>
    <w:rsid w:val="005C2A00"/>
    <w:rsid w:val="005C3500"/>
    <w:rsid w:val="005C3DBD"/>
    <w:rsid w:val="005D0D89"/>
    <w:rsid w:val="005D0D95"/>
    <w:rsid w:val="005D2E10"/>
    <w:rsid w:val="005D764E"/>
    <w:rsid w:val="005E01C7"/>
    <w:rsid w:val="005E6462"/>
    <w:rsid w:val="005E7EF8"/>
    <w:rsid w:val="005F7793"/>
    <w:rsid w:val="006146F6"/>
    <w:rsid w:val="006200B8"/>
    <w:rsid w:val="00621F6C"/>
    <w:rsid w:val="0062571A"/>
    <w:rsid w:val="0063178E"/>
    <w:rsid w:val="00631A61"/>
    <w:rsid w:val="00636332"/>
    <w:rsid w:val="006408F9"/>
    <w:rsid w:val="00640C4E"/>
    <w:rsid w:val="0064200D"/>
    <w:rsid w:val="006440A4"/>
    <w:rsid w:val="006511E3"/>
    <w:rsid w:val="00651B2F"/>
    <w:rsid w:val="006540A7"/>
    <w:rsid w:val="006573BA"/>
    <w:rsid w:val="00662CC2"/>
    <w:rsid w:val="00664AB5"/>
    <w:rsid w:val="0066559B"/>
    <w:rsid w:val="00667D58"/>
    <w:rsid w:val="00670C83"/>
    <w:rsid w:val="00675E9B"/>
    <w:rsid w:val="0067671F"/>
    <w:rsid w:val="00676E08"/>
    <w:rsid w:val="00680FB8"/>
    <w:rsid w:val="00681F01"/>
    <w:rsid w:val="00683945"/>
    <w:rsid w:val="00684032"/>
    <w:rsid w:val="00685A0C"/>
    <w:rsid w:val="006927DD"/>
    <w:rsid w:val="00696DF4"/>
    <w:rsid w:val="00697764"/>
    <w:rsid w:val="006A1BA0"/>
    <w:rsid w:val="006A4222"/>
    <w:rsid w:val="006A4686"/>
    <w:rsid w:val="006B2019"/>
    <w:rsid w:val="006C1DC5"/>
    <w:rsid w:val="006C409C"/>
    <w:rsid w:val="006C5BFE"/>
    <w:rsid w:val="006C6682"/>
    <w:rsid w:val="006D0181"/>
    <w:rsid w:val="006D2FBD"/>
    <w:rsid w:val="006D6636"/>
    <w:rsid w:val="006D6B42"/>
    <w:rsid w:val="006E0181"/>
    <w:rsid w:val="006E3058"/>
    <w:rsid w:val="006E4663"/>
    <w:rsid w:val="006F0795"/>
    <w:rsid w:val="006F1D14"/>
    <w:rsid w:val="006F2236"/>
    <w:rsid w:val="006F2830"/>
    <w:rsid w:val="006F295D"/>
    <w:rsid w:val="006F3C79"/>
    <w:rsid w:val="006F4EB0"/>
    <w:rsid w:val="006F513E"/>
    <w:rsid w:val="006F5A96"/>
    <w:rsid w:val="00700E38"/>
    <w:rsid w:val="00704AFC"/>
    <w:rsid w:val="00705FD2"/>
    <w:rsid w:val="00710419"/>
    <w:rsid w:val="007108D9"/>
    <w:rsid w:val="00716126"/>
    <w:rsid w:val="00717125"/>
    <w:rsid w:val="00717F76"/>
    <w:rsid w:val="007267E2"/>
    <w:rsid w:val="00730A11"/>
    <w:rsid w:val="00735BD1"/>
    <w:rsid w:val="007403B5"/>
    <w:rsid w:val="00740DF3"/>
    <w:rsid w:val="00747594"/>
    <w:rsid w:val="00751ED4"/>
    <w:rsid w:val="00770591"/>
    <w:rsid w:val="0077340B"/>
    <w:rsid w:val="0077637D"/>
    <w:rsid w:val="00784253"/>
    <w:rsid w:val="0078520B"/>
    <w:rsid w:val="0079005F"/>
    <w:rsid w:val="007918BD"/>
    <w:rsid w:val="007924B0"/>
    <w:rsid w:val="00793184"/>
    <w:rsid w:val="00793F9F"/>
    <w:rsid w:val="0079457E"/>
    <w:rsid w:val="00794D8F"/>
    <w:rsid w:val="00795D2D"/>
    <w:rsid w:val="007A4375"/>
    <w:rsid w:val="007A7CEA"/>
    <w:rsid w:val="007B22EA"/>
    <w:rsid w:val="007B3005"/>
    <w:rsid w:val="007B4904"/>
    <w:rsid w:val="007B5528"/>
    <w:rsid w:val="007B6F68"/>
    <w:rsid w:val="007B79E9"/>
    <w:rsid w:val="007C023F"/>
    <w:rsid w:val="007C208A"/>
    <w:rsid w:val="007C57F1"/>
    <w:rsid w:val="007C75ED"/>
    <w:rsid w:val="007D0367"/>
    <w:rsid w:val="007D0E34"/>
    <w:rsid w:val="007D2D1C"/>
    <w:rsid w:val="007D36A0"/>
    <w:rsid w:val="007D66D3"/>
    <w:rsid w:val="007D6E58"/>
    <w:rsid w:val="007D76B8"/>
    <w:rsid w:val="007E08BD"/>
    <w:rsid w:val="007F167F"/>
    <w:rsid w:val="0080015C"/>
    <w:rsid w:val="00804025"/>
    <w:rsid w:val="00807328"/>
    <w:rsid w:val="00810368"/>
    <w:rsid w:val="008103BB"/>
    <w:rsid w:val="0081627C"/>
    <w:rsid w:val="00817806"/>
    <w:rsid w:val="008231D2"/>
    <w:rsid w:val="008232AE"/>
    <w:rsid w:val="008248FC"/>
    <w:rsid w:val="0083020E"/>
    <w:rsid w:val="00833B88"/>
    <w:rsid w:val="00834B23"/>
    <w:rsid w:val="008351E2"/>
    <w:rsid w:val="00842E9F"/>
    <w:rsid w:val="00843877"/>
    <w:rsid w:val="00845E02"/>
    <w:rsid w:val="00847E06"/>
    <w:rsid w:val="0085292A"/>
    <w:rsid w:val="00853664"/>
    <w:rsid w:val="008553EF"/>
    <w:rsid w:val="0085545E"/>
    <w:rsid w:val="00863F78"/>
    <w:rsid w:val="008715C9"/>
    <w:rsid w:val="00873F6E"/>
    <w:rsid w:val="0087452E"/>
    <w:rsid w:val="00874C9B"/>
    <w:rsid w:val="008778AF"/>
    <w:rsid w:val="00881A24"/>
    <w:rsid w:val="008826AD"/>
    <w:rsid w:val="00890FEE"/>
    <w:rsid w:val="00895E54"/>
    <w:rsid w:val="008A76B6"/>
    <w:rsid w:val="008B0F23"/>
    <w:rsid w:val="008D1EC9"/>
    <w:rsid w:val="008D2CD9"/>
    <w:rsid w:val="008D3277"/>
    <w:rsid w:val="008D365C"/>
    <w:rsid w:val="008D6967"/>
    <w:rsid w:val="008D7A39"/>
    <w:rsid w:val="008E0FAB"/>
    <w:rsid w:val="008E36A1"/>
    <w:rsid w:val="008E7235"/>
    <w:rsid w:val="008F4426"/>
    <w:rsid w:val="00902ECE"/>
    <w:rsid w:val="0090653B"/>
    <w:rsid w:val="00911B10"/>
    <w:rsid w:val="0091517C"/>
    <w:rsid w:val="009157FF"/>
    <w:rsid w:val="00916912"/>
    <w:rsid w:val="00916C88"/>
    <w:rsid w:val="009176E4"/>
    <w:rsid w:val="00923686"/>
    <w:rsid w:val="00924D52"/>
    <w:rsid w:val="00925B29"/>
    <w:rsid w:val="009335EF"/>
    <w:rsid w:val="009340F5"/>
    <w:rsid w:val="00935249"/>
    <w:rsid w:val="009366FF"/>
    <w:rsid w:val="00937CB4"/>
    <w:rsid w:val="009464D6"/>
    <w:rsid w:val="00951BC5"/>
    <w:rsid w:val="00952725"/>
    <w:rsid w:val="00953977"/>
    <w:rsid w:val="00953E3E"/>
    <w:rsid w:val="00954E0B"/>
    <w:rsid w:val="00961361"/>
    <w:rsid w:val="00962086"/>
    <w:rsid w:val="00963913"/>
    <w:rsid w:val="00963EB9"/>
    <w:rsid w:val="009643EF"/>
    <w:rsid w:val="009738EA"/>
    <w:rsid w:val="0098180A"/>
    <w:rsid w:val="009840A3"/>
    <w:rsid w:val="0098674F"/>
    <w:rsid w:val="00992C1E"/>
    <w:rsid w:val="00996BA3"/>
    <w:rsid w:val="009A11F8"/>
    <w:rsid w:val="009A4EB2"/>
    <w:rsid w:val="009B0121"/>
    <w:rsid w:val="009B5FAC"/>
    <w:rsid w:val="009C2D8D"/>
    <w:rsid w:val="009C4764"/>
    <w:rsid w:val="009C4D64"/>
    <w:rsid w:val="009D03A1"/>
    <w:rsid w:val="009D0E6A"/>
    <w:rsid w:val="009D24ED"/>
    <w:rsid w:val="009D5CA4"/>
    <w:rsid w:val="009D6360"/>
    <w:rsid w:val="009E0E21"/>
    <w:rsid w:val="009E38AF"/>
    <w:rsid w:val="009F556F"/>
    <w:rsid w:val="009F708B"/>
    <w:rsid w:val="00A04503"/>
    <w:rsid w:val="00A17D00"/>
    <w:rsid w:val="00A248DF"/>
    <w:rsid w:val="00A33B0C"/>
    <w:rsid w:val="00A3401C"/>
    <w:rsid w:val="00A34FC7"/>
    <w:rsid w:val="00A352FB"/>
    <w:rsid w:val="00A35B48"/>
    <w:rsid w:val="00A36F2C"/>
    <w:rsid w:val="00A36F9F"/>
    <w:rsid w:val="00A47282"/>
    <w:rsid w:val="00A50E89"/>
    <w:rsid w:val="00A5187D"/>
    <w:rsid w:val="00A5241C"/>
    <w:rsid w:val="00A578FD"/>
    <w:rsid w:val="00A66036"/>
    <w:rsid w:val="00A7055C"/>
    <w:rsid w:val="00A70B67"/>
    <w:rsid w:val="00A74518"/>
    <w:rsid w:val="00A8074D"/>
    <w:rsid w:val="00A844CA"/>
    <w:rsid w:val="00A84D59"/>
    <w:rsid w:val="00A918D3"/>
    <w:rsid w:val="00A919FF"/>
    <w:rsid w:val="00A96317"/>
    <w:rsid w:val="00AA17AB"/>
    <w:rsid w:val="00AA3660"/>
    <w:rsid w:val="00AB0476"/>
    <w:rsid w:val="00AB209E"/>
    <w:rsid w:val="00AB24F9"/>
    <w:rsid w:val="00AB515F"/>
    <w:rsid w:val="00AC49BA"/>
    <w:rsid w:val="00AC71BC"/>
    <w:rsid w:val="00AD6477"/>
    <w:rsid w:val="00AE65F6"/>
    <w:rsid w:val="00AE7B0E"/>
    <w:rsid w:val="00AF30DC"/>
    <w:rsid w:val="00B0054A"/>
    <w:rsid w:val="00B06267"/>
    <w:rsid w:val="00B07283"/>
    <w:rsid w:val="00B119C6"/>
    <w:rsid w:val="00B11C69"/>
    <w:rsid w:val="00B1415E"/>
    <w:rsid w:val="00B1576A"/>
    <w:rsid w:val="00B15A68"/>
    <w:rsid w:val="00B15E13"/>
    <w:rsid w:val="00B16687"/>
    <w:rsid w:val="00B23AB6"/>
    <w:rsid w:val="00B23EC1"/>
    <w:rsid w:val="00B32E56"/>
    <w:rsid w:val="00B3302E"/>
    <w:rsid w:val="00B331BD"/>
    <w:rsid w:val="00B43471"/>
    <w:rsid w:val="00B469F8"/>
    <w:rsid w:val="00B515A1"/>
    <w:rsid w:val="00B51C49"/>
    <w:rsid w:val="00B54364"/>
    <w:rsid w:val="00B57B25"/>
    <w:rsid w:val="00B62887"/>
    <w:rsid w:val="00B62980"/>
    <w:rsid w:val="00B702E0"/>
    <w:rsid w:val="00B73EBC"/>
    <w:rsid w:val="00B7625C"/>
    <w:rsid w:val="00B76998"/>
    <w:rsid w:val="00B80A59"/>
    <w:rsid w:val="00B83DFA"/>
    <w:rsid w:val="00B85CF8"/>
    <w:rsid w:val="00B86976"/>
    <w:rsid w:val="00B873A1"/>
    <w:rsid w:val="00B90604"/>
    <w:rsid w:val="00B9518D"/>
    <w:rsid w:val="00B977B2"/>
    <w:rsid w:val="00BA0525"/>
    <w:rsid w:val="00BA0C4D"/>
    <w:rsid w:val="00BA3898"/>
    <w:rsid w:val="00BA689E"/>
    <w:rsid w:val="00BB76D3"/>
    <w:rsid w:val="00BC1F38"/>
    <w:rsid w:val="00BC30ED"/>
    <w:rsid w:val="00BC3B91"/>
    <w:rsid w:val="00BC4AE2"/>
    <w:rsid w:val="00BC4D0D"/>
    <w:rsid w:val="00BC7ABD"/>
    <w:rsid w:val="00BD1014"/>
    <w:rsid w:val="00BD4F2C"/>
    <w:rsid w:val="00BD63F3"/>
    <w:rsid w:val="00BF090E"/>
    <w:rsid w:val="00BF17E2"/>
    <w:rsid w:val="00BF1C98"/>
    <w:rsid w:val="00BF3C24"/>
    <w:rsid w:val="00BF3FA7"/>
    <w:rsid w:val="00C01FB1"/>
    <w:rsid w:val="00C03593"/>
    <w:rsid w:val="00C049DC"/>
    <w:rsid w:val="00C0752A"/>
    <w:rsid w:val="00C07683"/>
    <w:rsid w:val="00C118FA"/>
    <w:rsid w:val="00C15177"/>
    <w:rsid w:val="00C157C6"/>
    <w:rsid w:val="00C178B1"/>
    <w:rsid w:val="00C30C79"/>
    <w:rsid w:val="00C321DB"/>
    <w:rsid w:val="00C378EE"/>
    <w:rsid w:val="00C42320"/>
    <w:rsid w:val="00C44DC5"/>
    <w:rsid w:val="00C46729"/>
    <w:rsid w:val="00C510DC"/>
    <w:rsid w:val="00C547B3"/>
    <w:rsid w:val="00C57386"/>
    <w:rsid w:val="00C61CBD"/>
    <w:rsid w:val="00C62BD7"/>
    <w:rsid w:val="00C71184"/>
    <w:rsid w:val="00C71651"/>
    <w:rsid w:val="00C73CDA"/>
    <w:rsid w:val="00C74F46"/>
    <w:rsid w:val="00C76936"/>
    <w:rsid w:val="00C76D1F"/>
    <w:rsid w:val="00C825AC"/>
    <w:rsid w:val="00C82D18"/>
    <w:rsid w:val="00C87191"/>
    <w:rsid w:val="00C91709"/>
    <w:rsid w:val="00CA1903"/>
    <w:rsid w:val="00CA1FF1"/>
    <w:rsid w:val="00CB019D"/>
    <w:rsid w:val="00CB4308"/>
    <w:rsid w:val="00CB5E23"/>
    <w:rsid w:val="00CC24A0"/>
    <w:rsid w:val="00CC2C10"/>
    <w:rsid w:val="00CD1AD1"/>
    <w:rsid w:val="00CD27A0"/>
    <w:rsid w:val="00CD2982"/>
    <w:rsid w:val="00CD2E9F"/>
    <w:rsid w:val="00CD5780"/>
    <w:rsid w:val="00CD5971"/>
    <w:rsid w:val="00CE5236"/>
    <w:rsid w:val="00CF16CB"/>
    <w:rsid w:val="00D040FC"/>
    <w:rsid w:val="00D071AC"/>
    <w:rsid w:val="00D10F9A"/>
    <w:rsid w:val="00D20025"/>
    <w:rsid w:val="00D2139A"/>
    <w:rsid w:val="00D26B0D"/>
    <w:rsid w:val="00D27E46"/>
    <w:rsid w:val="00D304FE"/>
    <w:rsid w:val="00D31137"/>
    <w:rsid w:val="00D335A5"/>
    <w:rsid w:val="00D3374E"/>
    <w:rsid w:val="00D3422C"/>
    <w:rsid w:val="00D34602"/>
    <w:rsid w:val="00D369E0"/>
    <w:rsid w:val="00D4139F"/>
    <w:rsid w:val="00D55C8D"/>
    <w:rsid w:val="00D720DD"/>
    <w:rsid w:val="00D775B4"/>
    <w:rsid w:val="00D921D9"/>
    <w:rsid w:val="00D939B6"/>
    <w:rsid w:val="00D9532F"/>
    <w:rsid w:val="00DA0178"/>
    <w:rsid w:val="00DA0343"/>
    <w:rsid w:val="00DA1EE5"/>
    <w:rsid w:val="00DA6DEE"/>
    <w:rsid w:val="00DA6F93"/>
    <w:rsid w:val="00DA7277"/>
    <w:rsid w:val="00DB2D44"/>
    <w:rsid w:val="00DC0E73"/>
    <w:rsid w:val="00DC2CEA"/>
    <w:rsid w:val="00DC4C3E"/>
    <w:rsid w:val="00DC6829"/>
    <w:rsid w:val="00DC6928"/>
    <w:rsid w:val="00DD3926"/>
    <w:rsid w:val="00DD6656"/>
    <w:rsid w:val="00DE0D8B"/>
    <w:rsid w:val="00DE3843"/>
    <w:rsid w:val="00DE4CBD"/>
    <w:rsid w:val="00DE4EE9"/>
    <w:rsid w:val="00DF2EE9"/>
    <w:rsid w:val="00DF5536"/>
    <w:rsid w:val="00E0050B"/>
    <w:rsid w:val="00E02DD6"/>
    <w:rsid w:val="00E07311"/>
    <w:rsid w:val="00E10525"/>
    <w:rsid w:val="00E15E15"/>
    <w:rsid w:val="00E16E67"/>
    <w:rsid w:val="00E17348"/>
    <w:rsid w:val="00E210FE"/>
    <w:rsid w:val="00E22037"/>
    <w:rsid w:val="00E23174"/>
    <w:rsid w:val="00E265E8"/>
    <w:rsid w:val="00E40DFE"/>
    <w:rsid w:val="00E47BB0"/>
    <w:rsid w:val="00E565D9"/>
    <w:rsid w:val="00E63FBF"/>
    <w:rsid w:val="00E64FA4"/>
    <w:rsid w:val="00E65FF5"/>
    <w:rsid w:val="00E66F1D"/>
    <w:rsid w:val="00E71A2F"/>
    <w:rsid w:val="00E73F34"/>
    <w:rsid w:val="00E823E2"/>
    <w:rsid w:val="00E843A3"/>
    <w:rsid w:val="00E860B6"/>
    <w:rsid w:val="00E868D4"/>
    <w:rsid w:val="00E91975"/>
    <w:rsid w:val="00E93207"/>
    <w:rsid w:val="00EA16DE"/>
    <w:rsid w:val="00EA568A"/>
    <w:rsid w:val="00EA6E1A"/>
    <w:rsid w:val="00EB11E1"/>
    <w:rsid w:val="00EB1AE5"/>
    <w:rsid w:val="00EB69C0"/>
    <w:rsid w:val="00EC6BEF"/>
    <w:rsid w:val="00ED17E3"/>
    <w:rsid w:val="00EE1D32"/>
    <w:rsid w:val="00EE2272"/>
    <w:rsid w:val="00EE4321"/>
    <w:rsid w:val="00EE54B5"/>
    <w:rsid w:val="00EE5A0A"/>
    <w:rsid w:val="00EE61C0"/>
    <w:rsid w:val="00EF5D16"/>
    <w:rsid w:val="00F0400D"/>
    <w:rsid w:val="00F173AE"/>
    <w:rsid w:val="00F2467E"/>
    <w:rsid w:val="00F3019A"/>
    <w:rsid w:val="00F3136A"/>
    <w:rsid w:val="00F42193"/>
    <w:rsid w:val="00F4526F"/>
    <w:rsid w:val="00F506B1"/>
    <w:rsid w:val="00F526C8"/>
    <w:rsid w:val="00F536F2"/>
    <w:rsid w:val="00F5429D"/>
    <w:rsid w:val="00F60598"/>
    <w:rsid w:val="00F60C96"/>
    <w:rsid w:val="00F61827"/>
    <w:rsid w:val="00F71C60"/>
    <w:rsid w:val="00F723CD"/>
    <w:rsid w:val="00F74857"/>
    <w:rsid w:val="00F749CA"/>
    <w:rsid w:val="00F8272D"/>
    <w:rsid w:val="00F8400E"/>
    <w:rsid w:val="00F85611"/>
    <w:rsid w:val="00F86F58"/>
    <w:rsid w:val="00F91716"/>
    <w:rsid w:val="00F92544"/>
    <w:rsid w:val="00F92968"/>
    <w:rsid w:val="00FB03CF"/>
    <w:rsid w:val="00FB3F38"/>
    <w:rsid w:val="00FB5FD4"/>
    <w:rsid w:val="00FC0B77"/>
    <w:rsid w:val="00FC0C15"/>
    <w:rsid w:val="00FC1744"/>
    <w:rsid w:val="00FC4142"/>
    <w:rsid w:val="00FC510D"/>
    <w:rsid w:val="00FD1EDB"/>
    <w:rsid w:val="00FD2E35"/>
    <w:rsid w:val="00FD41E7"/>
    <w:rsid w:val="00FD4792"/>
    <w:rsid w:val="00FD56D5"/>
    <w:rsid w:val="00FD648D"/>
    <w:rsid w:val="00FD6DA3"/>
    <w:rsid w:val="00FE1272"/>
    <w:rsid w:val="00FF3FC7"/>
    <w:rsid w:val="00FF5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126"/>
    <w:pPr>
      <w:ind w:left="720"/>
      <w:contextualSpacing/>
    </w:pPr>
  </w:style>
  <w:style w:type="paragraph" w:styleId="Header">
    <w:name w:val="header"/>
    <w:basedOn w:val="Normal"/>
    <w:link w:val="HeaderChar"/>
    <w:uiPriority w:val="99"/>
    <w:unhideWhenUsed/>
    <w:rsid w:val="000A7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38D"/>
  </w:style>
  <w:style w:type="paragraph" w:styleId="Footer">
    <w:name w:val="footer"/>
    <w:basedOn w:val="Normal"/>
    <w:link w:val="FooterChar"/>
    <w:uiPriority w:val="99"/>
    <w:unhideWhenUsed/>
    <w:rsid w:val="000A7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38D"/>
  </w:style>
  <w:style w:type="paragraph" w:styleId="BalloonText">
    <w:name w:val="Balloon Text"/>
    <w:basedOn w:val="Normal"/>
    <w:link w:val="BalloonTextChar"/>
    <w:uiPriority w:val="99"/>
    <w:semiHidden/>
    <w:unhideWhenUsed/>
    <w:rsid w:val="007E08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8BD"/>
    <w:rPr>
      <w:rFonts w:ascii="Segoe UI" w:hAnsi="Segoe UI" w:cs="Segoe UI"/>
      <w:sz w:val="18"/>
      <w:szCs w:val="18"/>
    </w:rPr>
  </w:style>
  <w:style w:type="paragraph" w:styleId="FootnoteText">
    <w:name w:val="footnote text"/>
    <w:basedOn w:val="Normal"/>
    <w:link w:val="FootnoteTextChar"/>
    <w:uiPriority w:val="99"/>
    <w:semiHidden/>
    <w:unhideWhenUsed/>
    <w:rsid w:val="000B7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7185"/>
    <w:rPr>
      <w:sz w:val="20"/>
      <w:szCs w:val="20"/>
    </w:rPr>
  </w:style>
  <w:style w:type="character" w:styleId="FootnoteReference">
    <w:name w:val="footnote reference"/>
    <w:basedOn w:val="DefaultParagraphFont"/>
    <w:uiPriority w:val="99"/>
    <w:semiHidden/>
    <w:unhideWhenUsed/>
    <w:rsid w:val="000B7185"/>
    <w:rPr>
      <w:vertAlign w:val="superscript"/>
    </w:rPr>
  </w:style>
  <w:style w:type="paragraph" w:styleId="EndnoteText">
    <w:name w:val="endnote text"/>
    <w:basedOn w:val="Normal"/>
    <w:link w:val="EndnoteTextChar"/>
    <w:uiPriority w:val="99"/>
    <w:semiHidden/>
    <w:unhideWhenUsed/>
    <w:rsid w:val="003D1B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1B3C"/>
    <w:rPr>
      <w:sz w:val="20"/>
      <w:szCs w:val="20"/>
    </w:rPr>
  </w:style>
  <w:style w:type="character" w:styleId="EndnoteReference">
    <w:name w:val="endnote reference"/>
    <w:basedOn w:val="DefaultParagraphFont"/>
    <w:uiPriority w:val="99"/>
    <w:semiHidden/>
    <w:unhideWhenUsed/>
    <w:rsid w:val="003D1B3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126"/>
    <w:pPr>
      <w:ind w:left="720"/>
      <w:contextualSpacing/>
    </w:pPr>
  </w:style>
  <w:style w:type="paragraph" w:styleId="Header">
    <w:name w:val="header"/>
    <w:basedOn w:val="Normal"/>
    <w:link w:val="HeaderChar"/>
    <w:uiPriority w:val="99"/>
    <w:unhideWhenUsed/>
    <w:rsid w:val="000A7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38D"/>
  </w:style>
  <w:style w:type="paragraph" w:styleId="Footer">
    <w:name w:val="footer"/>
    <w:basedOn w:val="Normal"/>
    <w:link w:val="FooterChar"/>
    <w:uiPriority w:val="99"/>
    <w:unhideWhenUsed/>
    <w:rsid w:val="000A7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38D"/>
  </w:style>
  <w:style w:type="paragraph" w:styleId="BalloonText">
    <w:name w:val="Balloon Text"/>
    <w:basedOn w:val="Normal"/>
    <w:link w:val="BalloonTextChar"/>
    <w:uiPriority w:val="99"/>
    <w:semiHidden/>
    <w:unhideWhenUsed/>
    <w:rsid w:val="007E08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8BD"/>
    <w:rPr>
      <w:rFonts w:ascii="Segoe UI" w:hAnsi="Segoe UI" w:cs="Segoe UI"/>
      <w:sz w:val="18"/>
      <w:szCs w:val="18"/>
    </w:rPr>
  </w:style>
  <w:style w:type="paragraph" w:styleId="FootnoteText">
    <w:name w:val="footnote text"/>
    <w:basedOn w:val="Normal"/>
    <w:link w:val="FootnoteTextChar"/>
    <w:uiPriority w:val="99"/>
    <w:semiHidden/>
    <w:unhideWhenUsed/>
    <w:rsid w:val="000B7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7185"/>
    <w:rPr>
      <w:sz w:val="20"/>
      <w:szCs w:val="20"/>
    </w:rPr>
  </w:style>
  <w:style w:type="character" w:styleId="FootnoteReference">
    <w:name w:val="footnote reference"/>
    <w:basedOn w:val="DefaultParagraphFont"/>
    <w:uiPriority w:val="99"/>
    <w:semiHidden/>
    <w:unhideWhenUsed/>
    <w:rsid w:val="000B7185"/>
    <w:rPr>
      <w:vertAlign w:val="superscript"/>
    </w:rPr>
  </w:style>
  <w:style w:type="paragraph" w:styleId="EndnoteText">
    <w:name w:val="endnote text"/>
    <w:basedOn w:val="Normal"/>
    <w:link w:val="EndnoteTextChar"/>
    <w:uiPriority w:val="99"/>
    <w:semiHidden/>
    <w:unhideWhenUsed/>
    <w:rsid w:val="003D1B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1B3C"/>
    <w:rPr>
      <w:sz w:val="20"/>
      <w:szCs w:val="20"/>
    </w:rPr>
  </w:style>
  <w:style w:type="character" w:styleId="EndnoteReference">
    <w:name w:val="endnote reference"/>
    <w:basedOn w:val="DefaultParagraphFont"/>
    <w:uiPriority w:val="99"/>
    <w:semiHidden/>
    <w:unhideWhenUsed/>
    <w:rsid w:val="003D1B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9F385-B91D-4D3F-B7FB-49FDA93DB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1194</Words>
  <Characters>6810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HP</cp:lastModifiedBy>
  <cp:revision>2</cp:revision>
  <cp:lastPrinted>2021-10-20T10:22:00Z</cp:lastPrinted>
  <dcterms:created xsi:type="dcterms:W3CDTF">2021-11-05T07:54:00Z</dcterms:created>
  <dcterms:modified xsi:type="dcterms:W3CDTF">2021-11-05T07:54:00Z</dcterms:modified>
</cp:coreProperties>
</file>