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B4023" w14:textId="3262B2E1" w:rsidR="000463BF" w:rsidRPr="00B7245D" w:rsidRDefault="00805E7B" w:rsidP="00B7245D">
      <w:pPr>
        <w:spacing w:line="360" w:lineRule="auto"/>
        <w:jc w:val="both"/>
        <w:rPr>
          <w:rFonts w:ascii="Times New Roman" w:hAnsi="Times New Roman" w:cs="Times New Roman"/>
          <w:b/>
          <w:sz w:val="24"/>
          <w:szCs w:val="24"/>
        </w:rPr>
      </w:pPr>
      <w:r w:rsidRPr="00B7245D">
        <w:rPr>
          <w:rFonts w:ascii="Times New Roman" w:hAnsi="Times New Roman" w:cs="Times New Roman"/>
          <w:b/>
          <w:sz w:val="24"/>
          <w:szCs w:val="24"/>
        </w:rPr>
        <w:t xml:space="preserve">DELTA BEVERAGES </w:t>
      </w:r>
      <w:r w:rsidR="00B7245D" w:rsidRPr="00B7245D">
        <w:rPr>
          <w:rFonts w:ascii="Times New Roman" w:hAnsi="Times New Roman" w:cs="Times New Roman"/>
          <w:b/>
          <w:sz w:val="24"/>
          <w:szCs w:val="24"/>
        </w:rPr>
        <w:t>(PVT) LTD</w:t>
      </w:r>
      <w:r w:rsidR="00B7245D" w:rsidRPr="00B7245D">
        <w:rPr>
          <w:rFonts w:ascii="Times New Roman" w:hAnsi="Times New Roman" w:cs="Times New Roman"/>
          <w:b/>
          <w:sz w:val="24"/>
          <w:szCs w:val="24"/>
        </w:rPr>
        <w:tab/>
      </w:r>
      <w:r w:rsidR="00B7245D" w:rsidRPr="00B7245D">
        <w:rPr>
          <w:rFonts w:ascii="Times New Roman" w:hAnsi="Times New Roman" w:cs="Times New Roman"/>
          <w:b/>
          <w:sz w:val="24"/>
          <w:szCs w:val="24"/>
        </w:rPr>
        <w:tab/>
      </w:r>
      <w:r w:rsidR="00B7245D" w:rsidRPr="00B7245D">
        <w:rPr>
          <w:rFonts w:ascii="Times New Roman" w:hAnsi="Times New Roman" w:cs="Times New Roman"/>
          <w:b/>
          <w:sz w:val="24"/>
          <w:szCs w:val="24"/>
        </w:rPr>
        <w:tab/>
      </w:r>
    </w:p>
    <w:p w14:paraId="64E5BCA0" w14:textId="349B61C8" w:rsidR="000463BF" w:rsidRPr="00B7245D" w:rsidRDefault="000463BF" w:rsidP="00B7245D">
      <w:pPr>
        <w:spacing w:line="360" w:lineRule="auto"/>
        <w:jc w:val="both"/>
        <w:rPr>
          <w:rFonts w:ascii="Times New Roman" w:hAnsi="Times New Roman" w:cs="Times New Roman"/>
          <w:b/>
          <w:sz w:val="24"/>
          <w:szCs w:val="24"/>
        </w:rPr>
      </w:pPr>
      <w:proofErr w:type="gramStart"/>
      <w:r w:rsidRPr="00B7245D">
        <w:rPr>
          <w:rFonts w:ascii="Times New Roman" w:hAnsi="Times New Roman" w:cs="Times New Roman"/>
          <w:b/>
          <w:sz w:val="24"/>
          <w:szCs w:val="24"/>
        </w:rPr>
        <w:t>versus</w:t>
      </w:r>
      <w:proofErr w:type="gramEnd"/>
    </w:p>
    <w:p w14:paraId="5C823877" w14:textId="582F2AB6" w:rsidR="000463BF" w:rsidRPr="00B7245D" w:rsidRDefault="00805E7B" w:rsidP="00B7245D">
      <w:pPr>
        <w:spacing w:line="360" w:lineRule="auto"/>
        <w:jc w:val="both"/>
        <w:rPr>
          <w:rFonts w:ascii="Times New Roman" w:hAnsi="Times New Roman" w:cs="Times New Roman"/>
          <w:b/>
          <w:sz w:val="24"/>
          <w:szCs w:val="24"/>
        </w:rPr>
      </w:pPr>
      <w:r w:rsidRPr="00B7245D">
        <w:rPr>
          <w:rFonts w:ascii="Times New Roman" w:hAnsi="Times New Roman" w:cs="Times New Roman"/>
          <w:b/>
          <w:sz w:val="24"/>
          <w:szCs w:val="24"/>
        </w:rPr>
        <w:t>ENITA MOYO</w:t>
      </w:r>
    </w:p>
    <w:p w14:paraId="504D66C3" w14:textId="77777777" w:rsidR="006D7005" w:rsidRDefault="006D7005" w:rsidP="006D7005">
      <w:pPr>
        <w:pStyle w:val="NoSpacing"/>
        <w:rPr>
          <w:rFonts w:ascii="Times New Roman" w:hAnsi="Times New Roman" w:cs="Times New Roman"/>
          <w:sz w:val="24"/>
          <w:szCs w:val="24"/>
        </w:rPr>
      </w:pPr>
    </w:p>
    <w:p w14:paraId="0ABD0E1E" w14:textId="77777777" w:rsidR="000463BF" w:rsidRPr="006D7005" w:rsidRDefault="000463BF" w:rsidP="006D7005">
      <w:pPr>
        <w:pStyle w:val="NoSpacing"/>
        <w:rPr>
          <w:rFonts w:ascii="Times New Roman" w:hAnsi="Times New Roman" w:cs="Times New Roman"/>
          <w:sz w:val="24"/>
          <w:szCs w:val="24"/>
        </w:rPr>
      </w:pPr>
      <w:r w:rsidRPr="006D7005">
        <w:rPr>
          <w:rFonts w:ascii="Times New Roman" w:hAnsi="Times New Roman" w:cs="Times New Roman"/>
          <w:sz w:val="24"/>
          <w:szCs w:val="24"/>
        </w:rPr>
        <w:t>HIGH COURT OF ZIMBABWE</w:t>
      </w:r>
    </w:p>
    <w:p w14:paraId="11D3430F" w14:textId="63DAAA57" w:rsidR="000463BF" w:rsidRPr="006D7005" w:rsidRDefault="000463BF" w:rsidP="006D7005">
      <w:pPr>
        <w:pStyle w:val="NoSpacing"/>
        <w:rPr>
          <w:rFonts w:ascii="Times New Roman" w:hAnsi="Times New Roman" w:cs="Times New Roman"/>
          <w:sz w:val="24"/>
          <w:szCs w:val="24"/>
        </w:rPr>
      </w:pPr>
      <w:r w:rsidRPr="006D7005">
        <w:rPr>
          <w:rFonts w:ascii="Times New Roman" w:hAnsi="Times New Roman" w:cs="Times New Roman"/>
          <w:sz w:val="24"/>
          <w:szCs w:val="24"/>
        </w:rPr>
        <w:t>M</w:t>
      </w:r>
      <w:r w:rsidR="00B7245D" w:rsidRPr="006D7005">
        <w:rPr>
          <w:rFonts w:ascii="Times New Roman" w:hAnsi="Times New Roman" w:cs="Times New Roman"/>
          <w:sz w:val="24"/>
          <w:szCs w:val="24"/>
        </w:rPr>
        <w:t>POKISENG</w:t>
      </w:r>
      <w:r w:rsidRPr="006D7005">
        <w:rPr>
          <w:rFonts w:ascii="Times New Roman" w:hAnsi="Times New Roman" w:cs="Times New Roman"/>
          <w:sz w:val="24"/>
          <w:szCs w:val="24"/>
        </w:rPr>
        <w:t xml:space="preserve"> DUBE J</w:t>
      </w:r>
    </w:p>
    <w:p w14:paraId="70C045BA" w14:textId="5AC09D90" w:rsidR="000463BF" w:rsidRPr="006D7005" w:rsidRDefault="000463BF" w:rsidP="006D7005">
      <w:pPr>
        <w:pStyle w:val="NoSpacing"/>
        <w:rPr>
          <w:rFonts w:ascii="Times New Roman" w:hAnsi="Times New Roman" w:cs="Times New Roman"/>
          <w:sz w:val="24"/>
          <w:szCs w:val="24"/>
        </w:rPr>
      </w:pPr>
      <w:r w:rsidRPr="006D7005">
        <w:rPr>
          <w:rFonts w:ascii="Times New Roman" w:hAnsi="Times New Roman" w:cs="Times New Roman"/>
          <w:sz w:val="24"/>
          <w:szCs w:val="24"/>
        </w:rPr>
        <w:t xml:space="preserve">BULAWAYO </w:t>
      </w:r>
      <w:r w:rsidR="00805E7B" w:rsidRPr="006D7005">
        <w:rPr>
          <w:rFonts w:ascii="Times New Roman" w:hAnsi="Times New Roman" w:cs="Times New Roman"/>
          <w:sz w:val="24"/>
          <w:szCs w:val="24"/>
        </w:rPr>
        <w:t>30</w:t>
      </w:r>
      <w:r w:rsidR="00805E7B" w:rsidRPr="006D7005">
        <w:rPr>
          <w:rFonts w:ascii="Times New Roman" w:hAnsi="Times New Roman" w:cs="Times New Roman"/>
          <w:sz w:val="24"/>
          <w:szCs w:val="24"/>
          <w:vertAlign w:val="superscript"/>
        </w:rPr>
        <w:t>th</w:t>
      </w:r>
      <w:r w:rsidR="00805E7B" w:rsidRPr="006D7005">
        <w:rPr>
          <w:rFonts w:ascii="Times New Roman" w:hAnsi="Times New Roman" w:cs="Times New Roman"/>
          <w:sz w:val="24"/>
          <w:szCs w:val="24"/>
        </w:rPr>
        <w:t xml:space="preserve"> October</w:t>
      </w:r>
      <w:r w:rsidRPr="006D7005">
        <w:rPr>
          <w:rFonts w:ascii="Times New Roman" w:hAnsi="Times New Roman" w:cs="Times New Roman"/>
          <w:sz w:val="24"/>
          <w:szCs w:val="24"/>
        </w:rPr>
        <w:t xml:space="preserve"> </w:t>
      </w:r>
      <w:r w:rsidR="00B7245D" w:rsidRPr="006D7005">
        <w:rPr>
          <w:rFonts w:ascii="Times New Roman" w:hAnsi="Times New Roman" w:cs="Times New Roman"/>
          <w:sz w:val="24"/>
          <w:szCs w:val="24"/>
        </w:rPr>
        <w:t xml:space="preserve">2025 </w:t>
      </w:r>
      <w:r w:rsidR="00805E7B" w:rsidRPr="006D7005">
        <w:rPr>
          <w:rFonts w:ascii="Times New Roman" w:hAnsi="Times New Roman" w:cs="Times New Roman"/>
          <w:sz w:val="24"/>
          <w:szCs w:val="24"/>
        </w:rPr>
        <w:t>and 26</w:t>
      </w:r>
      <w:r w:rsidR="00805E7B" w:rsidRPr="006D7005">
        <w:rPr>
          <w:rFonts w:ascii="Times New Roman" w:hAnsi="Times New Roman" w:cs="Times New Roman"/>
          <w:sz w:val="24"/>
          <w:szCs w:val="24"/>
          <w:vertAlign w:val="superscript"/>
        </w:rPr>
        <w:t>th</w:t>
      </w:r>
      <w:r w:rsidR="00805E7B" w:rsidRPr="006D7005">
        <w:rPr>
          <w:rFonts w:ascii="Times New Roman" w:hAnsi="Times New Roman" w:cs="Times New Roman"/>
          <w:sz w:val="24"/>
          <w:szCs w:val="24"/>
        </w:rPr>
        <w:t xml:space="preserve"> November 20</w:t>
      </w:r>
      <w:r w:rsidRPr="006D7005">
        <w:rPr>
          <w:rFonts w:ascii="Times New Roman" w:hAnsi="Times New Roman" w:cs="Times New Roman"/>
          <w:sz w:val="24"/>
          <w:szCs w:val="24"/>
        </w:rPr>
        <w:t>25</w:t>
      </w:r>
    </w:p>
    <w:p w14:paraId="1B3FE204" w14:textId="77777777" w:rsidR="000463BF" w:rsidRPr="00B7245D" w:rsidRDefault="000463BF" w:rsidP="00B7245D">
      <w:pPr>
        <w:spacing w:after="0" w:line="360" w:lineRule="auto"/>
        <w:jc w:val="both"/>
        <w:rPr>
          <w:rFonts w:ascii="Times New Roman" w:hAnsi="Times New Roman" w:cs="Times New Roman"/>
          <w:sz w:val="24"/>
          <w:szCs w:val="24"/>
        </w:rPr>
      </w:pPr>
    </w:p>
    <w:p w14:paraId="446C23C0" w14:textId="77777777" w:rsidR="006D7005" w:rsidRDefault="006D7005" w:rsidP="00B7245D">
      <w:pPr>
        <w:spacing w:after="0" w:line="360" w:lineRule="auto"/>
        <w:jc w:val="both"/>
        <w:rPr>
          <w:rFonts w:ascii="Times New Roman" w:hAnsi="Times New Roman" w:cs="Times New Roman"/>
          <w:b/>
          <w:sz w:val="24"/>
          <w:szCs w:val="24"/>
        </w:rPr>
      </w:pPr>
    </w:p>
    <w:p w14:paraId="7CCE673A" w14:textId="77777777" w:rsidR="000463BF" w:rsidRPr="00B7245D" w:rsidRDefault="000463BF" w:rsidP="00B7245D">
      <w:pPr>
        <w:spacing w:after="0" w:line="360" w:lineRule="auto"/>
        <w:jc w:val="both"/>
        <w:rPr>
          <w:rFonts w:ascii="Times New Roman" w:hAnsi="Times New Roman" w:cs="Times New Roman"/>
          <w:b/>
          <w:sz w:val="24"/>
          <w:szCs w:val="24"/>
        </w:rPr>
      </w:pPr>
      <w:r w:rsidRPr="00B7245D">
        <w:rPr>
          <w:rFonts w:ascii="Times New Roman" w:hAnsi="Times New Roman" w:cs="Times New Roman"/>
          <w:b/>
          <w:sz w:val="24"/>
          <w:szCs w:val="24"/>
        </w:rPr>
        <w:t>Civil Trial- Absolution from the instance</w:t>
      </w:r>
    </w:p>
    <w:p w14:paraId="155B099E" w14:textId="77777777" w:rsidR="000463BF" w:rsidRPr="00B7245D" w:rsidRDefault="000463BF" w:rsidP="00B7245D">
      <w:pPr>
        <w:spacing w:after="0" w:line="360" w:lineRule="auto"/>
        <w:jc w:val="both"/>
        <w:rPr>
          <w:rFonts w:ascii="Times New Roman" w:hAnsi="Times New Roman" w:cs="Times New Roman"/>
          <w:b/>
          <w:sz w:val="24"/>
          <w:szCs w:val="24"/>
        </w:rPr>
      </w:pPr>
    </w:p>
    <w:p w14:paraId="608CBB74" w14:textId="208B1D75" w:rsidR="000463BF" w:rsidRPr="006D7005" w:rsidRDefault="00805E7B" w:rsidP="006D7005">
      <w:pPr>
        <w:pStyle w:val="NoSpacing"/>
        <w:rPr>
          <w:rFonts w:ascii="Times New Roman" w:hAnsi="Times New Roman" w:cs="Times New Roman"/>
          <w:sz w:val="24"/>
          <w:szCs w:val="24"/>
        </w:rPr>
      </w:pPr>
      <w:r w:rsidRPr="006D7005">
        <w:rPr>
          <w:rFonts w:ascii="Times New Roman" w:hAnsi="Times New Roman" w:cs="Times New Roman"/>
          <w:i/>
          <w:sz w:val="24"/>
          <w:szCs w:val="24"/>
        </w:rPr>
        <w:t xml:space="preserve">N. </w:t>
      </w:r>
      <w:proofErr w:type="spellStart"/>
      <w:r w:rsidRPr="006D7005">
        <w:rPr>
          <w:rFonts w:ascii="Times New Roman" w:hAnsi="Times New Roman" w:cs="Times New Roman"/>
          <w:i/>
          <w:sz w:val="24"/>
          <w:szCs w:val="24"/>
        </w:rPr>
        <w:t>Mazibuko</w:t>
      </w:r>
      <w:proofErr w:type="spellEnd"/>
      <w:r w:rsidR="006D7005">
        <w:rPr>
          <w:rFonts w:ascii="Times New Roman" w:hAnsi="Times New Roman" w:cs="Times New Roman"/>
          <w:i/>
          <w:sz w:val="24"/>
          <w:szCs w:val="24"/>
        </w:rPr>
        <w:t>,</w:t>
      </w:r>
      <w:r w:rsidR="000463BF" w:rsidRPr="006D7005">
        <w:rPr>
          <w:rFonts w:ascii="Times New Roman" w:hAnsi="Times New Roman" w:cs="Times New Roman"/>
          <w:sz w:val="24"/>
          <w:szCs w:val="24"/>
        </w:rPr>
        <w:t xml:space="preserve"> for the plaintiff</w:t>
      </w:r>
    </w:p>
    <w:p w14:paraId="12002ECE" w14:textId="307F5921" w:rsidR="000463BF" w:rsidRPr="006D7005" w:rsidRDefault="00805E7B" w:rsidP="006D7005">
      <w:pPr>
        <w:pStyle w:val="NoSpacing"/>
        <w:rPr>
          <w:rFonts w:ascii="Times New Roman" w:hAnsi="Times New Roman" w:cs="Times New Roman"/>
          <w:sz w:val="24"/>
          <w:szCs w:val="24"/>
        </w:rPr>
      </w:pPr>
      <w:r w:rsidRPr="006D7005">
        <w:rPr>
          <w:rFonts w:ascii="Times New Roman" w:hAnsi="Times New Roman" w:cs="Times New Roman"/>
          <w:i/>
          <w:sz w:val="24"/>
          <w:szCs w:val="24"/>
        </w:rPr>
        <w:t xml:space="preserve">Z. C </w:t>
      </w:r>
      <w:proofErr w:type="spellStart"/>
      <w:r w:rsidRPr="006D7005">
        <w:rPr>
          <w:rFonts w:ascii="Times New Roman" w:hAnsi="Times New Roman" w:cs="Times New Roman"/>
          <w:i/>
          <w:sz w:val="24"/>
          <w:szCs w:val="24"/>
        </w:rPr>
        <w:t>Ncube</w:t>
      </w:r>
      <w:proofErr w:type="spellEnd"/>
      <w:r w:rsidR="006D7005">
        <w:rPr>
          <w:rFonts w:ascii="Times New Roman" w:hAnsi="Times New Roman" w:cs="Times New Roman"/>
          <w:i/>
          <w:sz w:val="24"/>
          <w:szCs w:val="24"/>
        </w:rPr>
        <w:t>,</w:t>
      </w:r>
      <w:r w:rsidR="000463BF" w:rsidRPr="006D7005">
        <w:rPr>
          <w:rFonts w:ascii="Times New Roman" w:hAnsi="Times New Roman" w:cs="Times New Roman"/>
          <w:sz w:val="24"/>
          <w:szCs w:val="24"/>
        </w:rPr>
        <w:t xml:space="preserve"> for the defendant</w:t>
      </w:r>
    </w:p>
    <w:p w14:paraId="2C104A43" w14:textId="76468CF1" w:rsidR="000463BF" w:rsidRPr="00B7245D" w:rsidRDefault="000463BF" w:rsidP="00B7245D">
      <w:pPr>
        <w:spacing w:after="0" w:line="360" w:lineRule="auto"/>
        <w:jc w:val="both"/>
        <w:rPr>
          <w:rFonts w:ascii="Times New Roman" w:hAnsi="Times New Roman" w:cs="Times New Roman"/>
          <w:sz w:val="24"/>
          <w:szCs w:val="24"/>
        </w:rPr>
      </w:pPr>
    </w:p>
    <w:p w14:paraId="71432E9B" w14:textId="25777DE9" w:rsidR="005C3317" w:rsidRPr="00B7245D" w:rsidRDefault="005C3317" w:rsidP="00B7245D">
      <w:pPr>
        <w:pStyle w:val="NormalWeb"/>
        <w:spacing w:before="0" w:beforeAutospacing="0" w:after="0" w:afterAutospacing="0" w:line="360" w:lineRule="auto"/>
        <w:ind w:firstLine="720"/>
        <w:jc w:val="both"/>
      </w:pPr>
      <w:r w:rsidRPr="00B7245D">
        <w:rPr>
          <w:b/>
        </w:rPr>
        <w:t xml:space="preserve">MPOKISENG </w:t>
      </w:r>
      <w:r w:rsidR="000463BF" w:rsidRPr="00B7245D">
        <w:rPr>
          <w:b/>
        </w:rPr>
        <w:t>DUBE J:</w:t>
      </w:r>
      <w:r w:rsidR="000463BF" w:rsidRPr="00B7245D">
        <w:tab/>
      </w:r>
      <w:r w:rsidR="00CE4CD5" w:rsidRPr="00B7245D">
        <w:t>This is an application for absolution from the instance</w:t>
      </w:r>
      <w:r w:rsidRPr="00B7245D">
        <w:t xml:space="preserve"> </w:t>
      </w:r>
      <w:r w:rsidR="00CE4CD5" w:rsidRPr="00B7245D">
        <w:t>in</w:t>
      </w:r>
      <w:r w:rsidR="00B7245D">
        <w:t xml:space="preserve"> a claim by the p</w:t>
      </w:r>
      <w:r w:rsidRPr="00B7245D">
        <w:t>laintiff to vindicate a motor vehicle from a former employee. The facts of the matter are not subject to much controversy</w:t>
      </w:r>
      <w:r w:rsidR="00B7245D">
        <w:t>. The following is common cause:</w:t>
      </w:r>
    </w:p>
    <w:p w14:paraId="2D47C99E" w14:textId="77777777" w:rsidR="005C3317" w:rsidRPr="00B7245D" w:rsidRDefault="005C3317" w:rsidP="00B7245D">
      <w:pPr>
        <w:pStyle w:val="NormalWeb"/>
        <w:spacing w:before="0" w:beforeAutospacing="0" w:after="0" w:afterAutospacing="0" w:line="360" w:lineRule="auto"/>
        <w:ind w:firstLine="720"/>
        <w:jc w:val="both"/>
      </w:pPr>
    </w:p>
    <w:p w14:paraId="3E294833" w14:textId="2CD78722" w:rsidR="005C3317" w:rsidRPr="00B7245D" w:rsidRDefault="005C3317" w:rsidP="00B7245D">
      <w:pPr>
        <w:pStyle w:val="NormalWeb"/>
        <w:numPr>
          <w:ilvl w:val="0"/>
          <w:numId w:val="3"/>
        </w:numPr>
        <w:spacing w:before="0" w:beforeAutospacing="0" w:after="0" w:afterAutospacing="0" w:line="360" w:lineRule="auto"/>
        <w:jc w:val="both"/>
      </w:pPr>
      <w:r w:rsidRPr="00B7245D">
        <w:t>Defendan</w:t>
      </w:r>
      <w:r w:rsidR="00B7245D">
        <w:t>t is a former employee of the p</w:t>
      </w:r>
      <w:r w:rsidRPr="00B7245D">
        <w:t>laintiff.</w:t>
      </w:r>
    </w:p>
    <w:p w14:paraId="37D572B2" w14:textId="77777777" w:rsidR="005C3317" w:rsidRPr="00B7245D" w:rsidRDefault="005C3317" w:rsidP="00B7245D">
      <w:pPr>
        <w:pStyle w:val="NormalWeb"/>
        <w:numPr>
          <w:ilvl w:val="0"/>
          <w:numId w:val="3"/>
        </w:numPr>
        <w:spacing w:before="0" w:beforeAutospacing="0" w:after="0" w:afterAutospacing="0" w:line="360" w:lineRule="auto"/>
        <w:jc w:val="both"/>
      </w:pPr>
      <w:r w:rsidRPr="00B7245D">
        <w:t>She held a managerial position.</w:t>
      </w:r>
    </w:p>
    <w:p w14:paraId="55C17113" w14:textId="19395F1C" w:rsidR="005C3317" w:rsidRPr="00B7245D" w:rsidRDefault="005C3317" w:rsidP="00B7245D">
      <w:pPr>
        <w:pStyle w:val="NormalWeb"/>
        <w:numPr>
          <w:ilvl w:val="0"/>
          <w:numId w:val="3"/>
        </w:numPr>
        <w:spacing w:before="0" w:beforeAutospacing="0" w:after="0" w:afterAutospacing="0" w:line="360" w:lineRule="auto"/>
        <w:jc w:val="both"/>
      </w:pPr>
      <w:r w:rsidRPr="00B7245D">
        <w:t>It came to an end by wa</w:t>
      </w:r>
      <w:r w:rsidR="00B3701F" w:rsidRPr="00B7245D">
        <w:t xml:space="preserve">y </w:t>
      </w:r>
      <w:r w:rsidRPr="00B7245D">
        <w:t>of a dismissal.</w:t>
      </w:r>
    </w:p>
    <w:p w14:paraId="1E3FABCA" w14:textId="49F5F9B8" w:rsidR="005C3317" w:rsidRPr="00B7245D" w:rsidRDefault="00B7245D" w:rsidP="00B7245D">
      <w:pPr>
        <w:pStyle w:val="NormalWeb"/>
        <w:numPr>
          <w:ilvl w:val="0"/>
          <w:numId w:val="3"/>
        </w:numPr>
        <w:spacing w:before="0" w:beforeAutospacing="0" w:after="0" w:afterAutospacing="0" w:line="360" w:lineRule="auto"/>
        <w:jc w:val="both"/>
      </w:pPr>
      <w:r>
        <w:t>The p</w:t>
      </w:r>
      <w:r w:rsidR="005C3317" w:rsidRPr="00B7245D">
        <w:t>laintiff using its own resources purchased a motor vehicle and allocated it to the defendant.</w:t>
      </w:r>
    </w:p>
    <w:p w14:paraId="446191A8" w14:textId="108F8475" w:rsidR="002022A1" w:rsidRPr="00B7245D" w:rsidRDefault="005C3317" w:rsidP="00B7245D">
      <w:pPr>
        <w:pStyle w:val="NormalWeb"/>
        <w:numPr>
          <w:ilvl w:val="0"/>
          <w:numId w:val="3"/>
        </w:numPr>
        <w:spacing w:before="0" w:beforeAutospacing="0" w:after="0" w:afterAutospacing="0" w:line="360" w:lineRule="auto"/>
        <w:jc w:val="both"/>
      </w:pPr>
      <w:r w:rsidRPr="00B7245D">
        <w:t>Defendant took possession of such motor vehicle a Toyota Fortuner Reg Number</w:t>
      </w:r>
      <w:r w:rsidR="00537924" w:rsidRPr="00B7245D">
        <w:t xml:space="preserve"> AFN4735.</w:t>
      </w:r>
    </w:p>
    <w:p w14:paraId="2898BDDF" w14:textId="7AE4E32F" w:rsidR="002022A1" w:rsidRPr="00B7245D" w:rsidRDefault="002022A1" w:rsidP="00B7245D">
      <w:pPr>
        <w:pStyle w:val="NormalWeb"/>
        <w:numPr>
          <w:ilvl w:val="0"/>
          <w:numId w:val="3"/>
        </w:numPr>
        <w:spacing w:before="0" w:beforeAutospacing="0" w:after="0" w:afterAutospacing="0" w:line="360" w:lineRule="auto"/>
        <w:jc w:val="both"/>
      </w:pPr>
      <w:r w:rsidRPr="00B7245D">
        <w:t>Upon termination of the employer employee relationship plaintif</w:t>
      </w:r>
      <w:r w:rsidR="00B7245D">
        <w:t>f demanded for the vehicle but d</w:t>
      </w:r>
      <w:r w:rsidRPr="00B7245D">
        <w:t>efendant refused to hand it back.</w:t>
      </w:r>
      <w:r w:rsidR="00CE4CD5" w:rsidRPr="00B7245D">
        <w:t xml:space="preserve"> </w:t>
      </w:r>
    </w:p>
    <w:p w14:paraId="5EF4DCF1" w14:textId="19508F1F" w:rsidR="002022A1" w:rsidRPr="00B7245D" w:rsidRDefault="002022A1" w:rsidP="00B7245D">
      <w:pPr>
        <w:pStyle w:val="NormalWeb"/>
        <w:numPr>
          <w:ilvl w:val="0"/>
          <w:numId w:val="3"/>
        </w:numPr>
        <w:spacing w:before="0" w:beforeAutospacing="0" w:after="0" w:afterAutospacing="0" w:line="360" w:lineRule="auto"/>
        <w:jc w:val="both"/>
      </w:pPr>
      <w:r w:rsidRPr="00B7245D">
        <w:t>The said motor vehicle is still registered in the name of the Plaintiff.</w:t>
      </w:r>
    </w:p>
    <w:p w14:paraId="428F63B7" w14:textId="49027024" w:rsidR="002022A1" w:rsidRPr="00B7245D" w:rsidRDefault="002022A1" w:rsidP="00B7245D">
      <w:pPr>
        <w:pStyle w:val="NormalWeb"/>
        <w:numPr>
          <w:ilvl w:val="0"/>
          <w:numId w:val="3"/>
        </w:numPr>
        <w:spacing w:before="0" w:beforeAutospacing="0" w:after="0" w:afterAutospacing="0" w:line="360" w:lineRule="auto"/>
        <w:jc w:val="both"/>
      </w:pPr>
      <w:r w:rsidRPr="00B7245D">
        <w:t xml:space="preserve">Defendant is still putting the vehicle to daily use and </w:t>
      </w:r>
      <w:r w:rsidR="00B3701F" w:rsidRPr="00B7245D">
        <w:t xml:space="preserve">continuously </w:t>
      </w:r>
      <w:r w:rsidRPr="00B7245D">
        <w:t>accruing mileage.</w:t>
      </w:r>
    </w:p>
    <w:p w14:paraId="29A0FA82" w14:textId="39EC6BCC" w:rsidR="00B3701F" w:rsidRDefault="00B3701F" w:rsidP="00B7245D">
      <w:pPr>
        <w:pStyle w:val="NormalWeb"/>
        <w:spacing w:before="0" w:beforeAutospacing="0" w:after="0" w:afterAutospacing="0" w:line="360" w:lineRule="auto"/>
        <w:jc w:val="both"/>
      </w:pPr>
      <w:r w:rsidRPr="00B7245D">
        <w:t xml:space="preserve">The disputed points at trial are as </w:t>
      </w:r>
      <w:r w:rsidR="00B00DDE" w:rsidRPr="00B7245D">
        <w:t>follows</w:t>
      </w:r>
      <w:r w:rsidRPr="00B7245D">
        <w:t>;</w:t>
      </w:r>
    </w:p>
    <w:p w14:paraId="3DF05657" w14:textId="77777777" w:rsidR="00B7245D" w:rsidRPr="00B7245D" w:rsidRDefault="00B7245D" w:rsidP="00B7245D">
      <w:pPr>
        <w:pStyle w:val="NormalWeb"/>
        <w:spacing w:before="0" w:beforeAutospacing="0" w:after="0" w:afterAutospacing="0" w:line="360" w:lineRule="auto"/>
        <w:jc w:val="both"/>
      </w:pPr>
    </w:p>
    <w:p w14:paraId="4F265713" w14:textId="37815C31" w:rsidR="00B3701F" w:rsidRPr="00B7245D" w:rsidRDefault="00B3701F" w:rsidP="00B7245D">
      <w:pPr>
        <w:pStyle w:val="NormalWeb"/>
        <w:numPr>
          <w:ilvl w:val="0"/>
          <w:numId w:val="4"/>
        </w:numPr>
        <w:spacing w:before="0" w:beforeAutospacing="0" w:after="0" w:afterAutospacing="0" w:line="360" w:lineRule="auto"/>
        <w:jc w:val="both"/>
      </w:pPr>
      <w:r w:rsidRPr="00B7245D">
        <w:t>Whether or not the plaintiff had a motor vehicle policy which entitled managerial employees to be given company motor vehicles to utilise during their tenure as employees.</w:t>
      </w:r>
    </w:p>
    <w:p w14:paraId="72FF49BB" w14:textId="02F0AC0D" w:rsidR="00B3701F" w:rsidRPr="00B7245D" w:rsidRDefault="00B3701F" w:rsidP="00B7245D">
      <w:pPr>
        <w:pStyle w:val="NormalWeb"/>
        <w:numPr>
          <w:ilvl w:val="0"/>
          <w:numId w:val="4"/>
        </w:numPr>
        <w:spacing w:before="0" w:beforeAutospacing="0" w:after="0" w:afterAutospacing="0" w:line="360" w:lineRule="auto"/>
        <w:jc w:val="both"/>
      </w:pPr>
      <w:r w:rsidRPr="00B7245D">
        <w:lastRenderedPageBreak/>
        <w:t xml:space="preserve">Whether or not </w:t>
      </w:r>
      <w:r w:rsidR="00B7245D">
        <w:t>d</w:t>
      </w:r>
      <w:r w:rsidR="00B00DDE" w:rsidRPr="00B7245D">
        <w:t xml:space="preserve">efendant had a peculiar </w:t>
      </w:r>
      <w:r w:rsidRPr="00B7245D">
        <w:t>arrangement</w:t>
      </w:r>
      <w:r w:rsidR="00B00DDE" w:rsidRPr="00B7245D">
        <w:t xml:space="preserve"> in which a</w:t>
      </w:r>
      <w:r w:rsidRPr="00B7245D">
        <w:t xml:space="preserve"> cash loan</w:t>
      </w:r>
      <w:r w:rsidR="00B00DDE" w:rsidRPr="00B7245D">
        <w:t xml:space="preserve"> was advanced to her</w:t>
      </w:r>
      <w:r w:rsidRPr="00B7245D">
        <w:t xml:space="preserve"> given to acquire the vehicle</w:t>
      </w:r>
      <w:r w:rsidR="00537924" w:rsidRPr="00B7245D">
        <w:t xml:space="preserve"> outside the company motor vehicle policy.</w:t>
      </w:r>
    </w:p>
    <w:p w14:paraId="640A27DC" w14:textId="4CBD9CC0" w:rsidR="00B3701F" w:rsidRPr="00B7245D" w:rsidRDefault="00B7245D" w:rsidP="00B7245D">
      <w:pPr>
        <w:pStyle w:val="NormalWeb"/>
        <w:numPr>
          <w:ilvl w:val="0"/>
          <w:numId w:val="4"/>
        </w:numPr>
        <w:spacing w:before="0" w:beforeAutospacing="0" w:after="0" w:afterAutospacing="0" w:line="360" w:lineRule="auto"/>
        <w:jc w:val="both"/>
      </w:pPr>
      <w:r>
        <w:t>Whether or not the d</w:t>
      </w:r>
      <w:r w:rsidR="00B3701F" w:rsidRPr="00B7245D">
        <w:t>efendant became the owner of the vehicle as it was purchased for her.</w:t>
      </w:r>
    </w:p>
    <w:p w14:paraId="083595F8" w14:textId="76D4F8A8" w:rsidR="00B3701F" w:rsidRPr="00B7245D" w:rsidRDefault="00B3701F" w:rsidP="00B7245D">
      <w:pPr>
        <w:pStyle w:val="NormalWeb"/>
        <w:numPr>
          <w:ilvl w:val="0"/>
          <w:numId w:val="4"/>
        </w:numPr>
        <w:spacing w:before="0" w:beforeAutospacing="0" w:after="0" w:afterAutospacing="0" w:line="360" w:lineRule="auto"/>
        <w:jc w:val="both"/>
      </w:pPr>
      <w:r w:rsidRPr="00B7245D">
        <w:t>Whether or not she is entitled to keep the vehicle against repayment of the loan</w:t>
      </w:r>
      <w:r w:rsidR="00B7245D">
        <w:t xml:space="preserve"> despite having left p</w:t>
      </w:r>
      <w:r w:rsidR="00B00DDE" w:rsidRPr="00B7245D">
        <w:t>laintiff’s employ.</w:t>
      </w:r>
    </w:p>
    <w:p w14:paraId="1BD74FAB" w14:textId="38E93BC3" w:rsidR="00B00DDE" w:rsidRPr="00B7245D" w:rsidRDefault="00B7245D" w:rsidP="00B7245D">
      <w:pPr>
        <w:pStyle w:val="NormalWeb"/>
        <w:numPr>
          <w:ilvl w:val="0"/>
          <w:numId w:val="4"/>
        </w:numPr>
        <w:spacing w:before="0" w:beforeAutospacing="0" w:after="0" w:afterAutospacing="0" w:line="360" w:lineRule="auto"/>
        <w:jc w:val="both"/>
      </w:pPr>
      <w:r>
        <w:t>Whether or not d</w:t>
      </w:r>
      <w:r w:rsidR="00B00DDE" w:rsidRPr="00B7245D">
        <w:t>efendant in fact paid off the loan in a once off lump sum RTGS deduction?</w:t>
      </w:r>
    </w:p>
    <w:p w14:paraId="276CEEB6" w14:textId="49C7F2B7" w:rsidR="00B00DDE" w:rsidRPr="00B7245D" w:rsidRDefault="00B7245D" w:rsidP="00B7245D">
      <w:pPr>
        <w:pStyle w:val="NormalWeb"/>
        <w:numPr>
          <w:ilvl w:val="0"/>
          <w:numId w:val="4"/>
        </w:numPr>
        <w:spacing w:before="0" w:beforeAutospacing="0" w:after="0" w:afterAutospacing="0" w:line="360" w:lineRule="auto"/>
        <w:jc w:val="both"/>
      </w:pPr>
      <w:r>
        <w:t>Whether or not p</w:t>
      </w:r>
      <w:r w:rsidR="00B00DDE" w:rsidRPr="00B7245D">
        <w:t>laintiff is entitled to claim mileage for the continued utilisation of the motor vehicle without its consent.</w:t>
      </w:r>
    </w:p>
    <w:p w14:paraId="6B030124" w14:textId="0C5B3040" w:rsidR="00B00DDE" w:rsidRPr="00B7245D" w:rsidRDefault="00B7245D" w:rsidP="006D7005">
      <w:pPr>
        <w:pStyle w:val="NormalWeb"/>
        <w:spacing w:before="0" w:beforeAutospacing="0" w:after="0" w:afterAutospacing="0" w:line="360" w:lineRule="auto"/>
        <w:ind w:firstLine="720"/>
        <w:jc w:val="both"/>
      </w:pPr>
      <w:r>
        <w:t xml:space="preserve">I </w:t>
      </w:r>
      <w:r w:rsidR="00B00DDE" w:rsidRPr="00B7245D">
        <w:t>must state that in the parties’ joint PTC Memorandum the iss</w:t>
      </w:r>
      <w:r w:rsidR="006F01DE" w:rsidRPr="00B7245D">
        <w:t>u</w:t>
      </w:r>
      <w:r w:rsidR="00B00DDE" w:rsidRPr="00B7245D">
        <w:t>es referred for trial were captured as follows:</w:t>
      </w:r>
    </w:p>
    <w:p w14:paraId="1FD0E940" w14:textId="2C9107B5" w:rsidR="00B00DDE" w:rsidRPr="00B7245D" w:rsidRDefault="00B00DDE" w:rsidP="00B7245D">
      <w:pPr>
        <w:pStyle w:val="NormalWeb"/>
        <w:spacing w:before="0" w:beforeAutospacing="0" w:after="0" w:afterAutospacing="0" w:line="360" w:lineRule="auto"/>
        <w:jc w:val="both"/>
      </w:pPr>
    </w:p>
    <w:p w14:paraId="4589498D" w14:textId="13F5DC83" w:rsidR="00B7245D" w:rsidRDefault="006F01DE" w:rsidP="006D7005">
      <w:pPr>
        <w:pStyle w:val="NormalWeb"/>
        <w:spacing w:before="0" w:beforeAutospacing="0" w:after="0"/>
        <w:ind w:left="1440" w:hanging="720"/>
        <w:jc w:val="both"/>
        <w:rPr>
          <w:iCs/>
          <w:sz w:val="22"/>
          <w:szCs w:val="22"/>
        </w:rPr>
      </w:pPr>
      <w:r w:rsidRPr="00B7245D">
        <w:rPr>
          <w:sz w:val="22"/>
          <w:szCs w:val="22"/>
        </w:rPr>
        <w:t>“</w:t>
      </w:r>
      <w:r w:rsidRPr="00B7245D">
        <w:rPr>
          <w:iCs/>
          <w:sz w:val="22"/>
          <w:szCs w:val="22"/>
        </w:rPr>
        <w:t xml:space="preserve">1. </w:t>
      </w:r>
      <w:r w:rsidR="006D7005">
        <w:rPr>
          <w:iCs/>
          <w:sz w:val="22"/>
          <w:szCs w:val="22"/>
        </w:rPr>
        <w:tab/>
      </w:r>
      <w:r w:rsidRPr="00B7245D">
        <w:rPr>
          <w:iCs/>
          <w:sz w:val="22"/>
          <w:szCs w:val="22"/>
        </w:rPr>
        <w:t>Whether or not the plaintiff is the owner of the motor vehicle being Toyota Fortuner Registration No. AFN 4735.</w:t>
      </w:r>
    </w:p>
    <w:p w14:paraId="1323E267" w14:textId="5A193A3F" w:rsidR="006F01DE" w:rsidRPr="00B7245D" w:rsidRDefault="006F01DE" w:rsidP="006D7005">
      <w:pPr>
        <w:pStyle w:val="NormalWeb"/>
        <w:spacing w:before="0" w:beforeAutospacing="0" w:after="0"/>
        <w:ind w:left="1440" w:hanging="720"/>
        <w:jc w:val="both"/>
        <w:rPr>
          <w:iCs/>
          <w:sz w:val="22"/>
          <w:szCs w:val="22"/>
        </w:rPr>
      </w:pPr>
      <w:r w:rsidRPr="00B7245D">
        <w:rPr>
          <w:iCs/>
          <w:sz w:val="22"/>
          <w:szCs w:val="22"/>
        </w:rPr>
        <w:t xml:space="preserve">2. </w:t>
      </w:r>
      <w:r w:rsidR="006D7005">
        <w:rPr>
          <w:iCs/>
          <w:sz w:val="22"/>
          <w:szCs w:val="22"/>
        </w:rPr>
        <w:tab/>
      </w:r>
      <w:r w:rsidRPr="00B7245D">
        <w:rPr>
          <w:iCs/>
          <w:sz w:val="22"/>
          <w:szCs w:val="22"/>
        </w:rPr>
        <w:t xml:space="preserve">Whether or not the defendant was required to deliver up the motor vehicle to the plaintiff upon the termination of her employment. </w:t>
      </w:r>
    </w:p>
    <w:p w14:paraId="475F8D7F" w14:textId="14DC669F" w:rsidR="006F01DE" w:rsidRPr="00B7245D" w:rsidRDefault="006F01DE" w:rsidP="00B7245D">
      <w:pPr>
        <w:pStyle w:val="NormalWeb"/>
        <w:spacing w:before="0" w:beforeAutospacing="0" w:after="0"/>
        <w:ind w:left="720"/>
        <w:jc w:val="both"/>
        <w:rPr>
          <w:iCs/>
          <w:sz w:val="22"/>
          <w:szCs w:val="22"/>
        </w:rPr>
      </w:pPr>
      <w:r w:rsidRPr="00B7245D">
        <w:rPr>
          <w:iCs/>
          <w:sz w:val="22"/>
          <w:szCs w:val="22"/>
        </w:rPr>
        <w:t xml:space="preserve"> 3. </w:t>
      </w:r>
      <w:r w:rsidR="006D7005">
        <w:rPr>
          <w:iCs/>
          <w:sz w:val="22"/>
          <w:szCs w:val="22"/>
        </w:rPr>
        <w:tab/>
      </w:r>
      <w:r w:rsidRPr="00B7245D">
        <w:rPr>
          <w:iCs/>
          <w:sz w:val="22"/>
          <w:szCs w:val="22"/>
        </w:rPr>
        <w:t>Whether or not the plaintiff is entitled to a claim for damages and if so, in what amount?</w:t>
      </w:r>
    </w:p>
    <w:p w14:paraId="7A819254" w14:textId="66598C2B" w:rsidR="006F01DE" w:rsidRPr="00B7245D" w:rsidRDefault="006F01DE" w:rsidP="006D7005">
      <w:pPr>
        <w:pStyle w:val="NormalWeb"/>
        <w:spacing w:before="0" w:beforeAutospacing="0" w:after="0"/>
        <w:ind w:left="1440" w:hanging="720"/>
        <w:jc w:val="both"/>
        <w:rPr>
          <w:iCs/>
          <w:sz w:val="22"/>
          <w:szCs w:val="22"/>
        </w:rPr>
      </w:pPr>
      <w:r w:rsidRPr="00B7245D">
        <w:rPr>
          <w:iCs/>
          <w:sz w:val="22"/>
          <w:szCs w:val="22"/>
        </w:rPr>
        <w:t xml:space="preserve">4. </w:t>
      </w:r>
      <w:r w:rsidR="006D7005">
        <w:rPr>
          <w:iCs/>
          <w:sz w:val="22"/>
          <w:szCs w:val="22"/>
        </w:rPr>
        <w:tab/>
      </w:r>
      <w:r w:rsidRPr="00B7245D">
        <w:rPr>
          <w:iCs/>
          <w:sz w:val="22"/>
          <w:szCs w:val="22"/>
        </w:rPr>
        <w:t>Whether the plaintiff purchased and allocated the vehicle, Toyota Fortuner, registration number AFN 4735 to the defendant in terms of a loan schedule applicable to the defendant?</w:t>
      </w:r>
    </w:p>
    <w:p w14:paraId="68BDBD57" w14:textId="1463467C" w:rsidR="006F01DE" w:rsidRPr="00B7245D" w:rsidRDefault="006F01DE" w:rsidP="006D7005">
      <w:pPr>
        <w:pStyle w:val="NormalWeb"/>
        <w:spacing w:before="0" w:beforeAutospacing="0" w:after="0"/>
        <w:ind w:left="1440" w:hanging="720"/>
        <w:jc w:val="both"/>
        <w:rPr>
          <w:iCs/>
          <w:sz w:val="22"/>
          <w:szCs w:val="22"/>
        </w:rPr>
      </w:pPr>
      <w:r w:rsidRPr="00B7245D">
        <w:rPr>
          <w:iCs/>
          <w:sz w:val="22"/>
          <w:szCs w:val="22"/>
        </w:rPr>
        <w:t xml:space="preserve">5. </w:t>
      </w:r>
      <w:r w:rsidR="006D7005">
        <w:rPr>
          <w:iCs/>
          <w:sz w:val="22"/>
          <w:szCs w:val="22"/>
        </w:rPr>
        <w:tab/>
      </w:r>
      <w:r w:rsidRPr="00B7245D">
        <w:rPr>
          <w:iCs/>
          <w:sz w:val="22"/>
          <w:szCs w:val="22"/>
        </w:rPr>
        <w:t xml:space="preserve">Whether the defendant has a right to retain the vehicle pending fully servicing of her loan? </w:t>
      </w:r>
    </w:p>
    <w:p w14:paraId="27870426" w14:textId="560CA7E4" w:rsidR="006F01DE" w:rsidRPr="006D7005" w:rsidRDefault="006F01DE" w:rsidP="00B7245D">
      <w:pPr>
        <w:pStyle w:val="NormalWeb"/>
        <w:spacing w:before="0" w:beforeAutospacing="0" w:after="0"/>
        <w:ind w:left="720"/>
        <w:jc w:val="both"/>
        <w:rPr>
          <w:b/>
          <w:iCs/>
          <w:sz w:val="22"/>
          <w:szCs w:val="22"/>
        </w:rPr>
      </w:pPr>
      <w:r w:rsidRPr="006D7005">
        <w:rPr>
          <w:b/>
          <w:iCs/>
          <w:sz w:val="22"/>
          <w:szCs w:val="22"/>
        </w:rPr>
        <w:t xml:space="preserve">ONUS </w:t>
      </w:r>
    </w:p>
    <w:p w14:paraId="01B6EAA9" w14:textId="10CC151C" w:rsidR="006F01DE" w:rsidRPr="00B7245D" w:rsidRDefault="006F01DE" w:rsidP="00B7245D">
      <w:pPr>
        <w:pStyle w:val="NormalWeb"/>
        <w:spacing w:before="0" w:beforeAutospacing="0" w:after="0"/>
        <w:ind w:left="720"/>
        <w:jc w:val="both"/>
        <w:rPr>
          <w:iCs/>
          <w:sz w:val="22"/>
          <w:szCs w:val="22"/>
        </w:rPr>
      </w:pPr>
      <w:r w:rsidRPr="00B7245D">
        <w:rPr>
          <w:iCs/>
          <w:sz w:val="22"/>
          <w:szCs w:val="22"/>
        </w:rPr>
        <w:t>On plaintiff on issues 1-3 and on defendant on issues 4 and 5.”</w:t>
      </w:r>
    </w:p>
    <w:p w14:paraId="3BB09B57" w14:textId="6CD93F6A" w:rsidR="006F01DE" w:rsidRPr="00B7245D" w:rsidRDefault="006F01DE" w:rsidP="003A4356">
      <w:pPr>
        <w:pStyle w:val="NormalWeb"/>
        <w:spacing w:after="0" w:line="360" w:lineRule="auto"/>
        <w:ind w:firstLine="720"/>
        <w:jc w:val="both"/>
      </w:pPr>
      <w:r w:rsidRPr="00B7245D">
        <w:t>In litigation pleadings can be equated to a light house in the olden maritime voyage by sea which always guided vessels to harbour. When a vessel lost sight of the light house it was doomed to be lost on the high seas.</w:t>
      </w:r>
    </w:p>
    <w:p w14:paraId="6562A736" w14:textId="0D7973B9" w:rsidR="00537924" w:rsidRPr="00B7245D" w:rsidRDefault="00537924" w:rsidP="003A4356">
      <w:pPr>
        <w:pStyle w:val="NormalWeb"/>
        <w:spacing w:after="0" w:line="360" w:lineRule="auto"/>
        <w:ind w:firstLine="720"/>
        <w:jc w:val="both"/>
      </w:pPr>
      <w:r w:rsidRPr="003A4356">
        <w:rPr>
          <w:i/>
        </w:rPr>
        <w:t xml:space="preserve">In </w:t>
      </w:r>
      <w:proofErr w:type="spellStart"/>
      <w:r w:rsidRPr="00B7245D">
        <w:rPr>
          <w:i/>
        </w:rPr>
        <w:t>casu</w:t>
      </w:r>
      <w:proofErr w:type="spellEnd"/>
      <w:r w:rsidRPr="00B7245D">
        <w:t xml:space="preserve"> the parties can not abandon the contents of their PTC memorandum which was adopted by the court upon which specific i</w:t>
      </w:r>
      <w:r w:rsidR="00B60275">
        <w:t>ssues where</w:t>
      </w:r>
      <w:r w:rsidRPr="00B7245D">
        <w:t xml:space="preserve"> then referred t</w:t>
      </w:r>
      <w:r w:rsidR="00B7245D">
        <w:t xml:space="preserve">o trial. In the same token </w:t>
      </w:r>
      <w:r w:rsidR="00B7245D">
        <w:lastRenderedPageBreak/>
        <w:t>the d</w:t>
      </w:r>
      <w:r w:rsidR="00B60275">
        <w:t>efendant can</w:t>
      </w:r>
      <w:r w:rsidRPr="00B7245D">
        <w:t xml:space="preserve">not then abdicate the onus which it accepted as being born by it to prove issues 4 and 5. </w:t>
      </w:r>
    </w:p>
    <w:p w14:paraId="72600399" w14:textId="06D0DFD9" w:rsidR="00537924" w:rsidRPr="00B7245D" w:rsidRDefault="00537924" w:rsidP="003A4356">
      <w:pPr>
        <w:pStyle w:val="NormalWeb"/>
        <w:spacing w:after="0" w:line="360" w:lineRule="auto"/>
        <w:ind w:firstLine="720"/>
        <w:jc w:val="both"/>
      </w:pPr>
      <w:r w:rsidRPr="00B7245D">
        <w:t>Without testifying there would be no one to prove the special peculiar arrangement entered int</w:t>
      </w:r>
      <w:r w:rsidR="00B7245D">
        <w:t xml:space="preserve">o between the defendant and a Mr </w:t>
      </w:r>
      <w:proofErr w:type="spellStart"/>
      <w:r w:rsidR="00B7245D">
        <w:t>Gweb</w:t>
      </w:r>
      <w:r w:rsidRPr="00B7245D">
        <w:t>u</w:t>
      </w:r>
      <w:proofErr w:type="spellEnd"/>
      <w:r w:rsidRPr="00B7245D">
        <w:t xml:space="preserve"> upon which a vehicle was purchased on loan and given to her to keep as her own outside the company motor vehicle policy.</w:t>
      </w:r>
    </w:p>
    <w:p w14:paraId="3936743D" w14:textId="06ECE74F" w:rsidR="00537924" w:rsidRPr="00B7245D" w:rsidRDefault="0082702B" w:rsidP="003A4356">
      <w:pPr>
        <w:pStyle w:val="NormalWeb"/>
        <w:spacing w:after="0" w:line="360" w:lineRule="auto"/>
        <w:ind w:firstLine="720"/>
        <w:jc w:val="both"/>
      </w:pPr>
      <w:r w:rsidRPr="00B7245D">
        <w:t>Similarly,</w:t>
      </w:r>
      <w:r w:rsidR="00537924" w:rsidRPr="00B7245D">
        <w:t xml:space="preserve"> there would be n</w:t>
      </w:r>
      <w:r w:rsidR="00B7245D">
        <w:t>o one to discharge the onus on d</w:t>
      </w:r>
      <w:r w:rsidR="00537924" w:rsidRPr="00B7245D">
        <w:t xml:space="preserve">efendant to prove issue number 5 </w:t>
      </w:r>
      <w:proofErr w:type="spellStart"/>
      <w:r w:rsidR="00537924" w:rsidRPr="00B7245D">
        <w:t>i.e</w:t>
      </w:r>
      <w:proofErr w:type="spellEnd"/>
      <w:r w:rsidR="00537924" w:rsidRPr="00B7245D">
        <w:t xml:space="preserve"> to satisfy the court that </w:t>
      </w:r>
      <w:r w:rsidR="005D1E02" w:rsidRPr="00B7245D">
        <w:t xml:space="preserve">by virtue of her </w:t>
      </w:r>
      <w:r w:rsidR="00B7245D">
        <w:t xml:space="preserve">special arrangement with Mr </w:t>
      </w:r>
      <w:proofErr w:type="spellStart"/>
      <w:r w:rsidR="00B7245D">
        <w:t>Gweb</w:t>
      </w:r>
      <w:r w:rsidR="005D1E02" w:rsidRPr="00B7245D">
        <w:t>u</w:t>
      </w:r>
      <w:proofErr w:type="spellEnd"/>
      <w:r w:rsidR="005D1E02" w:rsidRPr="00B7245D">
        <w:t xml:space="preserve"> she has a right to retain the motor vehicle pending fully servicing her loan.</w:t>
      </w:r>
      <w:r w:rsidR="00537924" w:rsidRPr="00B7245D">
        <w:t xml:space="preserve"> </w:t>
      </w:r>
    </w:p>
    <w:p w14:paraId="49D33D77" w14:textId="61348A94" w:rsidR="0082702B" w:rsidRPr="00B7245D" w:rsidRDefault="00B7245D" w:rsidP="003A4356">
      <w:pPr>
        <w:pStyle w:val="NormalWeb"/>
        <w:spacing w:after="0" w:line="360" w:lineRule="auto"/>
        <w:ind w:firstLine="720"/>
        <w:jc w:val="both"/>
      </w:pPr>
      <w:r>
        <w:t>I must agree with plaintiff’s c</w:t>
      </w:r>
      <w:r w:rsidR="00B60275">
        <w:t>ounsel that the</w:t>
      </w:r>
      <w:r>
        <w:t xml:space="preserve"> d</w:t>
      </w:r>
      <w:r w:rsidR="0082702B" w:rsidRPr="00B7245D">
        <w:t>efendant’s counsel went to great lengths to knit-pick the</w:t>
      </w:r>
      <w:r>
        <w:t xml:space="preserve"> evidence of the p</w:t>
      </w:r>
      <w:r w:rsidR="0082702B" w:rsidRPr="00B7245D">
        <w:t>laintiff. I must make it clear that this is not the appropriate time for such. This ought to occupy the court when both sides of the contest are pla</w:t>
      </w:r>
      <w:r>
        <w:t>ced before it more so when the d</w:t>
      </w:r>
      <w:r w:rsidR="0082702B" w:rsidRPr="00B7245D">
        <w:t>efendant bears the onus of proof on some of the issues as highlighted above.</w:t>
      </w:r>
    </w:p>
    <w:p w14:paraId="2F471973" w14:textId="577945B8" w:rsidR="00062B64" w:rsidRPr="00B7245D" w:rsidRDefault="00062B64" w:rsidP="00B7245D">
      <w:pPr>
        <w:spacing w:line="360" w:lineRule="auto"/>
        <w:jc w:val="both"/>
        <w:rPr>
          <w:rFonts w:ascii="Times New Roman" w:hAnsi="Times New Roman" w:cs="Times New Roman"/>
          <w:b/>
          <w:bCs/>
          <w:sz w:val="24"/>
          <w:szCs w:val="24"/>
          <w:u w:val="single"/>
        </w:rPr>
      </w:pPr>
      <w:r w:rsidRPr="00B7245D">
        <w:rPr>
          <w:rFonts w:ascii="Times New Roman" w:hAnsi="Times New Roman" w:cs="Times New Roman"/>
          <w:b/>
          <w:bCs/>
          <w:sz w:val="24"/>
          <w:szCs w:val="24"/>
          <w:u w:val="single"/>
        </w:rPr>
        <w:t>The Law.</w:t>
      </w:r>
    </w:p>
    <w:p w14:paraId="7F32ADC4" w14:textId="5464C569" w:rsidR="009E174C" w:rsidRPr="00B7245D" w:rsidRDefault="0057297D" w:rsidP="003A4356">
      <w:pPr>
        <w:pStyle w:val="NormalWeb"/>
        <w:spacing w:before="0" w:beforeAutospacing="0" w:after="0" w:afterAutospacing="0" w:line="360" w:lineRule="auto"/>
        <w:ind w:firstLine="720"/>
        <w:jc w:val="both"/>
      </w:pPr>
      <w:r w:rsidRPr="00B7245D">
        <w:t>In the case of </w:t>
      </w:r>
      <w:r w:rsidRPr="00B7245D">
        <w:rPr>
          <w:bCs/>
          <w:i/>
          <w:iCs/>
        </w:rPr>
        <w:t>Lourenco </w:t>
      </w:r>
      <w:r w:rsidRPr="00B7245D">
        <w:rPr>
          <w:bCs/>
        </w:rPr>
        <w:t>v </w:t>
      </w:r>
      <w:r w:rsidRPr="00B7245D">
        <w:rPr>
          <w:bCs/>
          <w:i/>
          <w:iCs/>
        </w:rPr>
        <w:t>Raja Dry Cleaners &amp; Steam Laundry Private Limited</w:t>
      </w:r>
      <w:bookmarkStart w:id="0" w:name="sdfootnote4anc"/>
      <w:r w:rsidRPr="00B7245D">
        <w:rPr>
          <w:bCs/>
        </w:rPr>
        <w:fldChar w:fldCharType="begin"/>
      </w:r>
      <w:r w:rsidRPr="00B7245D">
        <w:rPr>
          <w:bCs/>
        </w:rPr>
        <w:instrText xml:space="preserve"> HYPERLINK "https://zimlii.org/akn/zw/judgment/zwhhc/2022/822/eng@2022-11-16" \l "sdfootnote4sym" </w:instrText>
      </w:r>
      <w:r w:rsidRPr="00B7245D">
        <w:rPr>
          <w:bCs/>
        </w:rPr>
        <w:fldChar w:fldCharType="end"/>
      </w:r>
      <w:bookmarkEnd w:id="0"/>
      <w:r w:rsidR="00B7245D">
        <w:rPr>
          <w:bCs/>
        </w:rPr>
        <w:t xml:space="preserve"> SC 96-</w:t>
      </w:r>
      <w:r w:rsidR="009E174C" w:rsidRPr="00B7245D">
        <w:rPr>
          <w:bCs/>
        </w:rPr>
        <w:t>84</w:t>
      </w:r>
      <w:r w:rsidR="009E174C" w:rsidRPr="00B7245D">
        <w:rPr>
          <w:b/>
          <w:bCs/>
        </w:rPr>
        <w:t xml:space="preserve"> </w:t>
      </w:r>
      <w:r w:rsidRPr="00B7245D">
        <w:rPr>
          <w:b/>
          <w:bCs/>
        </w:rPr>
        <w:t>t</w:t>
      </w:r>
      <w:r w:rsidRPr="00B7245D">
        <w:t>he Supreme Court had occasion to di</w:t>
      </w:r>
      <w:r w:rsidR="009E174C" w:rsidRPr="00B7245D">
        <w:t xml:space="preserve">scuss factors to be considered in </w:t>
      </w:r>
      <w:r w:rsidRPr="00B7245D">
        <w:t>determining an application for absolution from the instance</w:t>
      </w:r>
      <w:r w:rsidR="009E174C" w:rsidRPr="00B7245D">
        <w:t xml:space="preserve"> such as in the present case.</w:t>
      </w:r>
      <w:r w:rsidR="00B7245D">
        <w:t xml:space="preserve"> </w:t>
      </w:r>
      <w:r w:rsidRPr="00B7245D">
        <w:t>The</w:t>
      </w:r>
      <w:r w:rsidR="009E174C" w:rsidRPr="00B7245D">
        <w:t xml:space="preserve"> apex court made reference to the earlier South African case  </w:t>
      </w:r>
      <w:r w:rsidRPr="00B7245D">
        <w:t>of </w:t>
      </w:r>
      <w:proofErr w:type="spellStart"/>
      <w:r w:rsidRPr="00B7245D">
        <w:rPr>
          <w:i/>
          <w:iCs/>
        </w:rPr>
        <w:t>Mazibuko</w:t>
      </w:r>
      <w:proofErr w:type="spellEnd"/>
      <w:r w:rsidRPr="00B7245D">
        <w:rPr>
          <w:i/>
          <w:iCs/>
        </w:rPr>
        <w:t> </w:t>
      </w:r>
      <w:r w:rsidRPr="00B7245D">
        <w:t>v </w:t>
      </w:r>
      <w:proofErr w:type="spellStart"/>
      <w:r w:rsidRPr="00B7245D">
        <w:rPr>
          <w:i/>
          <w:iCs/>
        </w:rPr>
        <w:t>Santam</w:t>
      </w:r>
      <w:proofErr w:type="spellEnd"/>
      <w:r w:rsidRPr="00B7245D">
        <w:rPr>
          <w:i/>
          <w:iCs/>
        </w:rPr>
        <w:t xml:space="preserve"> Insurance Co Ltd and Anor </w:t>
      </w:r>
      <w:r w:rsidRPr="00B7245D">
        <w:t>1982 (3) SA 125 (AD) at 133, where the court said, at 132H:</w:t>
      </w:r>
    </w:p>
    <w:p w14:paraId="310A45AF" w14:textId="464E87D5" w:rsidR="0057297D" w:rsidRPr="00B7245D" w:rsidRDefault="00B7245D" w:rsidP="00B7245D">
      <w:pPr>
        <w:pStyle w:val="NormalWeb"/>
        <w:spacing w:before="0" w:beforeAutospacing="0" w:after="0" w:afterAutospacing="0"/>
        <w:ind w:left="1440"/>
        <w:jc w:val="both"/>
      </w:pPr>
      <w:r>
        <w:t>“</w:t>
      </w:r>
      <w:r w:rsidR="0057297D" w:rsidRPr="00B7245D">
        <w:t>In an application for absolution made by the defendant at the close of the plaintiff's case the question to which the Court must address itself is </w:t>
      </w:r>
      <w:r w:rsidR="0057297D" w:rsidRPr="00B7245D">
        <w:rPr>
          <w:u w:val="single"/>
        </w:rPr>
        <w:t>whether the plaintiff has adduced evidence upon which a court, applying its mind reasonably, could or might find for the plaintiff;</w:t>
      </w:r>
      <w:r w:rsidR="0057297D" w:rsidRPr="00B7245D">
        <w:t> in other words whether plaintiff has made out a </w:t>
      </w:r>
      <w:r w:rsidR="0057297D" w:rsidRPr="00B7245D">
        <w:rPr>
          <w:i/>
          <w:iCs/>
        </w:rPr>
        <w:t>prima facie</w:t>
      </w:r>
      <w:r w:rsidR="0057297D" w:rsidRPr="00B7245D">
        <w:t> case”.</w:t>
      </w:r>
    </w:p>
    <w:p w14:paraId="1185AFD7" w14:textId="77777777" w:rsidR="009E174C" w:rsidRPr="00B7245D" w:rsidRDefault="009E174C" w:rsidP="00B7245D">
      <w:pPr>
        <w:pStyle w:val="NormalWeb"/>
        <w:spacing w:before="0" w:beforeAutospacing="0" w:after="0" w:afterAutospacing="0" w:line="360" w:lineRule="auto"/>
        <w:ind w:left="1440"/>
        <w:jc w:val="both"/>
      </w:pPr>
    </w:p>
    <w:p w14:paraId="175CAF7E" w14:textId="6EC8D1C1" w:rsidR="009E174C" w:rsidRPr="00B7245D" w:rsidRDefault="009E174C" w:rsidP="003A4356">
      <w:pPr>
        <w:pStyle w:val="NormalWeb"/>
        <w:spacing w:before="0" w:beforeAutospacing="0" w:after="0" w:afterAutospacing="0" w:line="360" w:lineRule="auto"/>
        <w:ind w:firstLine="720"/>
        <w:jc w:val="both"/>
      </w:pPr>
      <w:r w:rsidRPr="003A4356">
        <w:rPr>
          <w:i/>
        </w:rPr>
        <w:t>In</w:t>
      </w:r>
      <w:r w:rsidRPr="00B7245D">
        <w:t xml:space="preserve"> </w:t>
      </w:r>
      <w:proofErr w:type="spellStart"/>
      <w:r w:rsidRPr="00B7245D">
        <w:rPr>
          <w:i/>
        </w:rPr>
        <w:t>casu</w:t>
      </w:r>
      <w:proofErr w:type="spellEnd"/>
      <w:r w:rsidR="00B7245D">
        <w:t>,</w:t>
      </w:r>
      <w:r w:rsidRPr="00B7245D">
        <w:t xml:space="preserve"> the court is therefore not enjoined to carry out an in-depth analysis of the evidence led thus far or better still the cross examination that the witnesses were put through. The simple reason being that before the court is not the totality of the evidence from which the court may weigh issues on a balance of probabilities. I am further mindful that all questions and positive propositions of fact</w:t>
      </w:r>
      <w:r w:rsidR="00E63A13" w:rsidRPr="00B7245D">
        <w:t xml:space="preserve">, together with hypothetical scenarios </w:t>
      </w:r>
      <w:r w:rsidRPr="00B7245D">
        <w:t xml:space="preserve">put </w:t>
      </w:r>
      <w:r w:rsidR="00E63A13" w:rsidRPr="00B7245D">
        <w:t xml:space="preserve">forward to the </w:t>
      </w:r>
      <w:r w:rsidR="00E63A13" w:rsidRPr="00B7245D">
        <w:lastRenderedPageBreak/>
        <w:t>witnesses by defendant’s counsel are not evidence. They are not facts put under oath. They remain what they are, propositions of fact.</w:t>
      </w:r>
    </w:p>
    <w:p w14:paraId="2923D99E" w14:textId="77777777" w:rsidR="00B7245D" w:rsidRDefault="00B7245D" w:rsidP="00B7245D">
      <w:pPr>
        <w:pStyle w:val="NormalWeb"/>
        <w:spacing w:before="0" w:beforeAutospacing="0" w:after="0" w:afterAutospacing="0" w:line="360" w:lineRule="auto"/>
        <w:jc w:val="both"/>
      </w:pPr>
    </w:p>
    <w:p w14:paraId="49892657" w14:textId="3F5D1B8E" w:rsidR="00E63A13" w:rsidRPr="00B7245D" w:rsidRDefault="00E63A13" w:rsidP="00B7245D">
      <w:pPr>
        <w:pStyle w:val="NormalWeb"/>
        <w:spacing w:before="0" w:beforeAutospacing="0" w:after="0" w:afterAutospacing="0" w:line="360" w:lineRule="auto"/>
        <w:jc w:val="both"/>
      </w:pPr>
      <w:r w:rsidRPr="00B7245D">
        <w:t xml:space="preserve">Like earlier held by my brother </w:t>
      </w:r>
      <w:r w:rsidR="003A4356" w:rsidRPr="00B7245D">
        <w:t>M</w:t>
      </w:r>
      <w:r w:rsidR="003A4356" w:rsidRPr="003A4356">
        <w:rPr>
          <w:sz w:val="20"/>
          <w:szCs w:val="20"/>
        </w:rPr>
        <w:t>USITHU</w:t>
      </w:r>
      <w:r w:rsidRPr="00B7245D">
        <w:t xml:space="preserve"> J in the matter of </w:t>
      </w:r>
      <w:proofErr w:type="spellStart"/>
      <w:r w:rsidRPr="00B7245D">
        <w:rPr>
          <w:i/>
          <w:iCs/>
        </w:rPr>
        <w:t>Kadungure</w:t>
      </w:r>
      <w:proofErr w:type="spellEnd"/>
      <w:r w:rsidRPr="00B7245D">
        <w:rPr>
          <w:i/>
          <w:iCs/>
        </w:rPr>
        <w:t xml:space="preserve"> v </w:t>
      </w:r>
      <w:proofErr w:type="spellStart"/>
      <w:r w:rsidRPr="00B7245D">
        <w:rPr>
          <w:i/>
          <w:iCs/>
        </w:rPr>
        <w:t>Pervaiz</w:t>
      </w:r>
      <w:proofErr w:type="spellEnd"/>
      <w:r w:rsidR="00B7245D">
        <w:t xml:space="preserve"> HH822-</w:t>
      </w:r>
      <w:r w:rsidRPr="00B7245D">
        <w:t>22;</w:t>
      </w:r>
    </w:p>
    <w:p w14:paraId="22F713F5" w14:textId="77777777" w:rsidR="00E63A13" w:rsidRPr="00B7245D" w:rsidRDefault="00E63A13" w:rsidP="00B7245D">
      <w:pPr>
        <w:pStyle w:val="NormalWeb"/>
        <w:spacing w:before="0" w:beforeAutospacing="0" w:after="0" w:afterAutospacing="0" w:line="360" w:lineRule="auto"/>
        <w:jc w:val="both"/>
      </w:pPr>
    </w:p>
    <w:p w14:paraId="12C473E6" w14:textId="77777777" w:rsidR="00B7245D" w:rsidRDefault="00E63A13" w:rsidP="00B7245D">
      <w:pPr>
        <w:pStyle w:val="NormalWeb"/>
        <w:spacing w:before="0" w:beforeAutospacing="0" w:after="0" w:afterAutospacing="0"/>
        <w:ind w:left="720"/>
        <w:jc w:val="both"/>
      </w:pPr>
      <w:r w:rsidRPr="00B7245D">
        <w:t>“</w:t>
      </w:r>
      <w:r w:rsidR="0057297D" w:rsidRPr="00B7245D">
        <w:t xml:space="preserve">A determination of an application for absolution at the close of the plaintiff’s case is one that places a court in an invidious </w:t>
      </w:r>
      <w:proofErr w:type="gramStart"/>
      <w:r w:rsidR="004A0D30" w:rsidRPr="00B7245D">
        <w:t>position,</w:t>
      </w:r>
      <w:r w:rsidRPr="00B7245D">
        <w:t>………………….</w:t>
      </w:r>
      <w:proofErr w:type="gramEnd"/>
      <w:r w:rsidR="0057297D" w:rsidRPr="00B7245D">
        <w:t xml:space="preserve"> </w:t>
      </w:r>
    </w:p>
    <w:p w14:paraId="77253570" w14:textId="159F0C8F" w:rsidR="00E63A13" w:rsidRPr="00B7245D" w:rsidRDefault="0057297D" w:rsidP="00B7245D">
      <w:pPr>
        <w:pStyle w:val="NormalWeb"/>
        <w:spacing w:before="0" w:beforeAutospacing="0" w:after="0" w:afterAutospacing="0"/>
        <w:ind w:left="720"/>
        <w:jc w:val="both"/>
      </w:pPr>
      <w:r w:rsidRPr="00B7245D">
        <w:t>An application for absolution requires that the court determines the dispute after having heard just half of the case.</w:t>
      </w:r>
      <w:r w:rsidR="00E63A13" w:rsidRPr="00B7245D">
        <w:t xml:space="preserve">” </w:t>
      </w:r>
    </w:p>
    <w:p w14:paraId="7041BEFC" w14:textId="77777777" w:rsidR="00E63A13" w:rsidRPr="00B7245D" w:rsidRDefault="00E63A13" w:rsidP="00B7245D">
      <w:pPr>
        <w:pStyle w:val="NormalWeb"/>
        <w:spacing w:before="0" w:beforeAutospacing="0" w:after="0" w:afterAutospacing="0" w:line="360" w:lineRule="auto"/>
        <w:jc w:val="both"/>
      </w:pPr>
    </w:p>
    <w:p w14:paraId="59AC579A" w14:textId="66B802E0" w:rsidR="0057297D" w:rsidRPr="00B7245D" w:rsidRDefault="00E63A13" w:rsidP="003A4356">
      <w:pPr>
        <w:pStyle w:val="NormalWeb"/>
        <w:spacing w:before="0" w:beforeAutospacing="0" w:after="0" w:afterAutospacing="0" w:line="360" w:lineRule="auto"/>
        <w:ind w:firstLine="720"/>
        <w:jc w:val="both"/>
      </w:pPr>
      <w:r w:rsidRPr="00B7245D">
        <w:t>Faced with a similar predicament he cited the a</w:t>
      </w:r>
      <w:r w:rsidR="0057297D" w:rsidRPr="00B7245D">
        <w:t>uthors </w:t>
      </w:r>
      <w:proofErr w:type="spellStart"/>
      <w:r w:rsidR="0057297D" w:rsidRPr="003A4356">
        <w:rPr>
          <w:iCs/>
        </w:rPr>
        <w:t>Herbstein</w:t>
      </w:r>
      <w:proofErr w:type="spellEnd"/>
      <w:r w:rsidR="0057297D" w:rsidRPr="003A4356">
        <w:rPr>
          <w:iCs/>
        </w:rPr>
        <w:t xml:space="preserve"> &amp; Van </w:t>
      </w:r>
      <w:proofErr w:type="spellStart"/>
      <w:r w:rsidR="0057297D" w:rsidRPr="003A4356">
        <w:rPr>
          <w:iCs/>
        </w:rPr>
        <w:t>Winsen</w:t>
      </w:r>
      <w:proofErr w:type="spellEnd"/>
      <w:r w:rsidR="0057297D" w:rsidRPr="00B7245D">
        <w:rPr>
          <w:i/>
          <w:iCs/>
        </w:rPr>
        <w:t>:</w:t>
      </w:r>
      <w:r w:rsidR="00B7245D">
        <w:rPr>
          <w:i/>
          <w:iCs/>
        </w:rPr>
        <w:t xml:space="preserve"> </w:t>
      </w:r>
      <w:r w:rsidRPr="00B7245D">
        <w:t xml:space="preserve">In their work </w:t>
      </w:r>
      <w:r w:rsidRPr="00B7245D">
        <w:rPr>
          <w:i/>
          <w:iCs/>
        </w:rPr>
        <w:t>The Civil Practice of the High Courts of South Africa, 5</w:t>
      </w:r>
      <w:r w:rsidRPr="00B7245D">
        <w:rPr>
          <w:i/>
          <w:iCs/>
          <w:vertAlign w:val="superscript"/>
        </w:rPr>
        <w:t>th</w:t>
      </w:r>
      <w:r w:rsidRPr="00B7245D">
        <w:rPr>
          <w:i/>
          <w:iCs/>
        </w:rPr>
        <w:t xml:space="preserve"> Edition, Vol</w:t>
      </w:r>
      <w:r w:rsidRPr="00B7245D">
        <w:t xml:space="preserve"> 1 @ p 923 as follows</w:t>
      </w:r>
      <w:r w:rsidR="004A0D30" w:rsidRPr="00B7245D">
        <w:t>:</w:t>
      </w:r>
    </w:p>
    <w:p w14:paraId="111EC9AC" w14:textId="77777777" w:rsidR="004A0D30" w:rsidRPr="00B7245D" w:rsidRDefault="004A0D30" w:rsidP="00B7245D">
      <w:pPr>
        <w:pStyle w:val="NormalWeb"/>
        <w:spacing w:before="0" w:beforeAutospacing="0" w:after="0" w:afterAutospacing="0" w:line="360" w:lineRule="auto"/>
        <w:jc w:val="both"/>
      </w:pPr>
    </w:p>
    <w:p w14:paraId="43A98BEE" w14:textId="16661B6F" w:rsidR="0057297D" w:rsidRPr="00B7245D" w:rsidRDefault="0057297D" w:rsidP="00B7245D">
      <w:pPr>
        <w:pStyle w:val="NormalWeb"/>
        <w:spacing w:before="0" w:beforeAutospacing="0" w:after="0" w:afterAutospacing="0"/>
        <w:ind w:left="720"/>
        <w:jc w:val="both"/>
        <w:rPr>
          <w:u w:val="single"/>
        </w:rPr>
      </w:pPr>
      <w:r w:rsidRPr="00B7245D">
        <w:t xml:space="preserve">“In view of the principles set out above, it is clear that a trial court should be extremely chary of granting absolution at the close of the plaintiff’s case. In deciding whether or not absolution should be granted, the court must assume that in the absence of very special considerations, such as the inherent unacceptability of the evidence adduced, the evidence is true. </w:t>
      </w:r>
      <w:r w:rsidRPr="00B7245D">
        <w:rPr>
          <w:u w:val="single"/>
        </w:rPr>
        <w:t>The court should not at this stage evaluate and reject the plaintiff’s evidence. The test to be applied is not whether the evidence led by the plaintiff establishes what will finally have to be established. When the plaintiff relies on an inference the court will refuse the application for absolution unless it is satisfied that no reasonable court can draw the inference for which the plaintiff contends. A court may grant absolution from the instance at the close of a plaintiff’s case if the plaintiff has failed to establish an essential element of the claim even though the defendant could have succeeded on exception or by way of special plea had the issue been raised by either procedure…”</w:t>
      </w:r>
    </w:p>
    <w:p w14:paraId="663722DA" w14:textId="77777777" w:rsidR="004A0D30" w:rsidRPr="00B7245D" w:rsidRDefault="004A0D30" w:rsidP="00B7245D">
      <w:pPr>
        <w:pStyle w:val="NormalWeb"/>
        <w:spacing w:before="0" w:beforeAutospacing="0" w:after="0" w:afterAutospacing="0" w:line="360" w:lineRule="auto"/>
        <w:ind w:left="720"/>
        <w:jc w:val="both"/>
      </w:pPr>
    </w:p>
    <w:p w14:paraId="3271B719" w14:textId="2F5C14B6" w:rsidR="0057297D" w:rsidRPr="00B7245D" w:rsidRDefault="00B7245D" w:rsidP="003A4356">
      <w:pPr>
        <w:pStyle w:val="NormalWeb"/>
        <w:spacing w:before="0" w:beforeAutospacing="0" w:after="0" w:afterAutospacing="0" w:line="360" w:lineRule="auto"/>
        <w:ind w:firstLine="720"/>
        <w:jc w:val="both"/>
      </w:pPr>
      <w:r>
        <w:t>In the present matter the p</w:t>
      </w:r>
      <w:r w:rsidR="004A0D30" w:rsidRPr="00B7245D">
        <w:t xml:space="preserve">laintiff contends that </w:t>
      </w:r>
      <w:r w:rsidR="00826EE3" w:rsidRPr="00B7245D">
        <w:t>it used funds from its coffers to purchase the motor vehicle in question. It carried out the importation process at its own cost. It dealt with ZIMRA importation procedures</w:t>
      </w:r>
      <w:r w:rsidR="009C0D46" w:rsidRPr="00B7245D">
        <w:t xml:space="preserve"> and duties</w:t>
      </w:r>
      <w:r w:rsidR="00826EE3" w:rsidRPr="00B7245D">
        <w:t xml:space="preserve"> </w:t>
      </w:r>
      <w:r w:rsidR="009C0D46" w:rsidRPr="00B7245D">
        <w:t xml:space="preserve">plus </w:t>
      </w:r>
      <w:r w:rsidR="00826EE3" w:rsidRPr="00B7245D">
        <w:t xml:space="preserve">ZINARA levies. </w:t>
      </w:r>
      <w:r w:rsidR="009C0D46" w:rsidRPr="00B7245D">
        <w:t xml:space="preserve">Ultimately it registered the vehicle in its own name. </w:t>
      </w:r>
      <w:r w:rsidR="00826EE3" w:rsidRPr="00B7245D">
        <w:t xml:space="preserve">It availed the </w:t>
      </w:r>
      <w:r>
        <w:t>d</w:t>
      </w:r>
      <w:r w:rsidR="009C0D46" w:rsidRPr="00B7245D">
        <w:t>efendant with further funds to fit accessories on it. It insured the motor vehicle and fitted it with a tracker. Does this not raise an inference that th</w:t>
      </w:r>
      <w:r>
        <w:t>e motor vehicle belongs to the p</w:t>
      </w:r>
      <w:r w:rsidR="009C0D46" w:rsidRPr="00B7245D">
        <w:t>laintiff</w:t>
      </w:r>
      <w:r>
        <w:t>? There is surely need for the d</w:t>
      </w:r>
      <w:r w:rsidR="009C0D46" w:rsidRPr="00B7245D">
        <w:t xml:space="preserve">efendant to rebut such inference. </w:t>
      </w:r>
    </w:p>
    <w:p w14:paraId="7A934E4C" w14:textId="77777777" w:rsidR="00B7245D" w:rsidRDefault="00B7245D" w:rsidP="00B7245D">
      <w:pPr>
        <w:pStyle w:val="NormalWeb"/>
        <w:spacing w:before="0" w:beforeAutospacing="0" w:after="0" w:afterAutospacing="0" w:line="360" w:lineRule="auto"/>
        <w:jc w:val="both"/>
      </w:pPr>
    </w:p>
    <w:p w14:paraId="7AD96B5F" w14:textId="04C01A3C" w:rsidR="001E7BFC" w:rsidRPr="00B7245D" w:rsidRDefault="001E7BFC" w:rsidP="003A4356">
      <w:pPr>
        <w:pStyle w:val="NormalWeb"/>
        <w:spacing w:before="0" w:beforeAutospacing="0" w:after="0" w:afterAutospacing="0" w:line="360" w:lineRule="auto"/>
        <w:ind w:firstLine="720"/>
        <w:jc w:val="both"/>
      </w:pPr>
      <w:r w:rsidRPr="00B7245D">
        <w:t xml:space="preserve">In the matter of </w:t>
      </w:r>
      <w:r w:rsidRPr="00B7245D">
        <w:rPr>
          <w:i/>
        </w:rPr>
        <w:t xml:space="preserve">Yusuf Abdullah </w:t>
      </w:r>
      <w:proofErr w:type="spellStart"/>
      <w:r w:rsidRPr="00B7245D">
        <w:rPr>
          <w:i/>
        </w:rPr>
        <w:t>Gaibie</w:t>
      </w:r>
      <w:proofErr w:type="spellEnd"/>
      <w:r w:rsidRPr="00B7245D">
        <w:rPr>
          <w:i/>
        </w:rPr>
        <w:t xml:space="preserve"> and Ano</w:t>
      </w:r>
      <w:r w:rsidR="00B7245D" w:rsidRPr="00B7245D">
        <w:rPr>
          <w:i/>
        </w:rPr>
        <w:t>r</w:t>
      </w:r>
      <w:r w:rsidRPr="00B7245D">
        <w:rPr>
          <w:i/>
        </w:rPr>
        <w:t xml:space="preserve"> v Alexander Paulo </w:t>
      </w:r>
      <w:proofErr w:type="spellStart"/>
      <w:r w:rsidRPr="00B7245D">
        <w:rPr>
          <w:i/>
        </w:rPr>
        <w:t>Castanheira</w:t>
      </w:r>
      <w:proofErr w:type="spellEnd"/>
      <w:r w:rsidRPr="00B7245D">
        <w:rPr>
          <w:i/>
        </w:rPr>
        <w:t xml:space="preserve"> and Ano</w:t>
      </w:r>
      <w:r w:rsidR="00B7245D" w:rsidRPr="00B7245D">
        <w:rPr>
          <w:i/>
        </w:rPr>
        <w:t>r</w:t>
      </w:r>
      <w:r w:rsidR="00B7245D">
        <w:t xml:space="preserve"> SC58-</w:t>
      </w:r>
      <w:r w:rsidRPr="00B7245D">
        <w:t>20 the Learned Justices of Appeal had this to say:</w:t>
      </w:r>
    </w:p>
    <w:p w14:paraId="779D48CA" w14:textId="67FE69C3" w:rsidR="00211145" w:rsidRPr="00B7245D" w:rsidRDefault="00211145" w:rsidP="00B7245D">
      <w:pPr>
        <w:pStyle w:val="NormalWeb"/>
        <w:spacing w:before="0" w:beforeAutospacing="0" w:after="0" w:afterAutospacing="0" w:line="360" w:lineRule="auto"/>
        <w:jc w:val="both"/>
      </w:pPr>
    </w:p>
    <w:p w14:paraId="6C440261" w14:textId="4457D455" w:rsidR="001E7BFC" w:rsidRPr="00B7245D" w:rsidRDefault="001E7BFC" w:rsidP="00B7245D">
      <w:pPr>
        <w:spacing w:after="0" w:line="240" w:lineRule="auto"/>
        <w:ind w:left="720"/>
        <w:jc w:val="both"/>
        <w:rPr>
          <w:rFonts w:ascii="Times New Roman" w:hAnsi="Times New Roman" w:cs="Times New Roman"/>
          <w:sz w:val="24"/>
          <w:szCs w:val="24"/>
        </w:rPr>
      </w:pPr>
      <w:r w:rsidRPr="00B7245D">
        <w:rPr>
          <w:rFonts w:ascii="Times New Roman" w:hAnsi="Times New Roman" w:cs="Times New Roman"/>
          <w:sz w:val="24"/>
          <w:szCs w:val="24"/>
        </w:rPr>
        <w:t>“The law to be applied in the present circumstances was eloquently articulated by M</w:t>
      </w:r>
      <w:r w:rsidRPr="003A4356">
        <w:rPr>
          <w:rFonts w:ascii="Times New Roman" w:hAnsi="Times New Roman" w:cs="Times New Roman"/>
          <w:sz w:val="20"/>
          <w:szCs w:val="20"/>
        </w:rPr>
        <w:t>AKARAU</w:t>
      </w:r>
      <w:r w:rsidRPr="00B7245D">
        <w:rPr>
          <w:rFonts w:ascii="Times New Roman" w:hAnsi="Times New Roman" w:cs="Times New Roman"/>
          <w:sz w:val="24"/>
          <w:szCs w:val="24"/>
        </w:rPr>
        <w:t xml:space="preserve"> JA in </w:t>
      </w:r>
      <w:r w:rsidRPr="00B7245D">
        <w:rPr>
          <w:rFonts w:ascii="Times New Roman" w:hAnsi="Times New Roman" w:cs="Times New Roman"/>
          <w:i/>
          <w:sz w:val="24"/>
          <w:szCs w:val="24"/>
        </w:rPr>
        <w:t xml:space="preserve">Competition and Tariff Commission v </w:t>
      </w:r>
      <w:proofErr w:type="spellStart"/>
      <w:r w:rsidRPr="00B7245D">
        <w:rPr>
          <w:rFonts w:ascii="Times New Roman" w:hAnsi="Times New Roman" w:cs="Times New Roman"/>
          <w:i/>
          <w:sz w:val="24"/>
          <w:szCs w:val="24"/>
        </w:rPr>
        <w:t>Iwayafrica</w:t>
      </w:r>
      <w:proofErr w:type="spellEnd"/>
      <w:r w:rsidRPr="00B7245D">
        <w:rPr>
          <w:rFonts w:ascii="Times New Roman" w:hAnsi="Times New Roman" w:cs="Times New Roman"/>
          <w:i/>
          <w:sz w:val="24"/>
          <w:szCs w:val="24"/>
        </w:rPr>
        <w:t xml:space="preserve"> Zimbabwe (Pvt) Ltd</w:t>
      </w:r>
      <w:r w:rsidRPr="00B7245D">
        <w:rPr>
          <w:rFonts w:ascii="Times New Roman" w:hAnsi="Times New Roman" w:cs="Times New Roman"/>
          <w:sz w:val="24"/>
          <w:szCs w:val="24"/>
        </w:rPr>
        <w:t xml:space="preserve"> SC 58/19 at paras 13-15 where she said the following:</w:t>
      </w:r>
    </w:p>
    <w:p w14:paraId="081C2194" w14:textId="77777777" w:rsidR="001E7BFC" w:rsidRPr="00B7245D" w:rsidRDefault="001E7BFC" w:rsidP="00B7245D">
      <w:pPr>
        <w:spacing w:after="0" w:line="240" w:lineRule="auto"/>
        <w:ind w:left="720"/>
        <w:jc w:val="both"/>
        <w:rPr>
          <w:rFonts w:ascii="Times New Roman" w:hAnsi="Times New Roman" w:cs="Times New Roman"/>
          <w:sz w:val="24"/>
          <w:szCs w:val="24"/>
        </w:rPr>
      </w:pPr>
      <w:r w:rsidRPr="00B7245D">
        <w:rPr>
          <w:rFonts w:ascii="Times New Roman" w:hAnsi="Times New Roman" w:cs="Times New Roman"/>
          <w:sz w:val="24"/>
          <w:szCs w:val="24"/>
        </w:rPr>
        <w:t xml:space="preserve">“[13] The law on when a court may grant absolution from the instance at the close of the plaintiff’s case is settled. (See </w:t>
      </w:r>
      <w:r w:rsidRPr="00B7245D">
        <w:rPr>
          <w:rFonts w:ascii="Times New Roman" w:hAnsi="Times New Roman" w:cs="Times New Roman"/>
          <w:i/>
          <w:sz w:val="24"/>
          <w:szCs w:val="24"/>
        </w:rPr>
        <w:t xml:space="preserve">Supreme Service Station (1969) (Private) Limited v Fox &amp; Goodridge Limited </w:t>
      </w:r>
      <w:r w:rsidRPr="00B7245D">
        <w:rPr>
          <w:rFonts w:ascii="Times New Roman" w:hAnsi="Times New Roman" w:cs="Times New Roman"/>
          <w:sz w:val="24"/>
          <w:szCs w:val="24"/>
        </w:rPr>
        <w:t xml:space="preserve">1971 (1) ZLR 1 (A) and </w:t>
      </w:r>
      <w:r w:rsidRPr="00B7245D">
        <w:rPr>
          <w:rFonts w:ascii="Times New Roman" w:hAnsi="Times New Roman" w:cs="Times New Roman"/>
          <w:i/>
          <w:sz w:val="24"/>
          <w:szCs w:val="24"/>
        </w:rPr>
        <w:t xml:space="preserve">United Air Charters (Private) Limited v </w:t>
      </w:r>
      <w:proofErr w:type="spellStart"/>
      <w:r w:rsidRPr="00B7245D">
        <w:rPr>
          <w:rFonts w:ascii="Times New Roman" w:hAnsi="Times New Roman" w:cs="Times New Roman"/>
          <w:i/>
          <w:sz w:val="24"/>
          <w:szCs w:val="24"/>
        </w:rPr>
        <w:t>Jarman</w:t>
      </w:r>
      <w:proofErr w:type="spellEnd"/>
      <w:r w:rsidRPr="00B7245D">
        <w:rPr>
          <w:rFonts w:ascii="Times New Roman" w:hAnsi="Times New Roman" w:cs="Times New Roman"/>
          <w:sz w:val="24"/>
          <w:szCs w:val="24"/>
        </w:rPr>
        <w:t xml:space="preserve"> 1994 (2) ZLR 341 (S). The court granting absolution must be satisfied that there is no evidence before it upon which a reasonable court might find for the plaintiff. </w:t>
      </w:r>
    </w:p>
    <w:p w14:paraId="3A40D241" w14:textId="77777777" w:rsidR="001E7BFC" w:rsidRPr="00B7245D" w:rsidRDefault="001E7BFC" w:rsidP="00B7245D">
      <w:pPr>
        <w:spacing w:after="0" w:line="240" w:lineRule="auto"/>
        <w:ind w:left="720"/>
        <w:jc w:val="both"/>
        <w:rPr>
          <w:rFonts w:ascii="Times New Roman" w:hAnsi="Times New Roman" w:cs="Times New Roman"/>
          <w:sz w:val="24"/>
          <w:szCs w:val="24"/>
        </w:rPr>
      </w:pPr>
    </w:p>
    <w:p w14:paraId="63CED6E3" w14:textId="33428E49" w:rsidR="001E7BFC" w:rsidRPr="00B7245D" w:rsidRDefault="001E7BFC" w:rsidP="00B7245D">
      <w:pPr>
        <w:spacing w:after="0" w:line="240" w:lineRule="auto"/>
        <w:ind w:left="720"/>
        <w:jc w:val="both"/>
        <w:rPr>
          <w:rFonts w:ascii="Times New Roman" w:hAnsi="Times New Roman" w:cs="Times New Roman"/>
          <w:sz w:val="24"/>
          <w:szCs w:val="24"/>
        </w:rPr>
      </w:pPr>
      <w:r w:rsidRPr="00B7245D">
        <w:rPr>
          <w:rFonts w:ascii="Times New Roman" w:hAnsi="Times New Roman" w:cs="Times New Roman"/>
          <w:sz w:val="24"/>
          <w:szCs w:val="24"/>
        </w:rPr>
        <w:t>[14]</w:t>
      </w:r>
      <w:r w:rsidRPr="00B7245D">
        <w:rPr>
          <w:rFonts w:ascii="Times New Roman" w:hAnsi="Times New Roman" w:cs="Times New Roman"/>
          <w:sz w:val="24"/>
          <w:szCs w:val="24"/>
        </w:rPr>
        <w:tab/>
        <w:t xml:space="preserve">Expressed differently, the court considering an application for absolution from the instance must ask itself if there is no evidence at all on each and every essential averment that the plaintiff must make to sustain the cause of action. If there is some evidence on all the essential averments, absolution should not be granted. If there is evidence on some but not on all the essential averments, absolution may be granted, for in that instance, the plaintiff will not be able to sustain and perfect its cause of action. This is so because an application for absolution from the instance stands on pretty much the same footing as an application for the discharge of an accused person at the close of the state case </w:t>
      </w:r>
      <w:r w:rsidRPr="00B7245D">
        <w:rPr>
          <w:rFonts w:ascii="Times New Roman" w:hAnsi="Times New Roman" w:cs="Times New Roman"/>
          <w:i/>
          <w:sz w:val="24"/>
          <w:szCs w:val="24"/>
        </w:rPr>
        <w:t>albeit</w:t>
      </w:r>
      <w:r w:rsidRPr="00B7245D">
        <w:rPr>
          <w:rFonts w:ascii="Times New Roman" w:hAnsi="Times New Roman" w:cs="Times New Roman"/>
          <w:sz w:val="24"/>
          <w:szCs w:val="24"/>
        </w:rPr>
        <w:t xml:space="preserve"> on a lower threshold of the burden of proof.”</w:t>
      </w:r>
    </w:p>
    <w:p w14:paraId="7E4B96B4" w14:textId="5D9B9274" w:rsidR="001E7BFC" w:rsidRPr="00B7245D" w:rsidRDefault="001E7BFC" w:rsidP="00B7245D">
      <w:pPr>
        <w:spacing w:after="0" w:line="360" w:lineRule="auto"/>
        <w:jc w:val="both"/>
        <w:rPr>
          <w:rFonts w:ascii="Times New Roman" w:hAnsi="Times New Roman" w:cs="Times New Roman"/>
          <w:sz w:val="24"/>
          <w:szCs w:val="24"/>
        </w:rPr>
      </w:pPr>
    </w:p>
    <w:p w14:paraId="55EFFFFE" w14:textId="64541F6F" w:rsidR="00F6517D" w:rsidRPr="00B7245D" w:rsidRDefault="00F6517D" w:rsidP="003A4356">
      <w:pPr>
        <w:spacing w:after="0" w:line="360" w:lineRule="auto"/>
        <w:ind w:firstLine="720"/>
        <w:jc w:val="both"/>
        <w:rPr>
          <w:rFonts w:ascii="Times New Roman" w:hAnsi="Times New Roman" w:cs="Times New Roman"/>
          <w:sz w:val="24"/>
          <w:szCs w:val="24"/>
        </w:rPr>
      </w:pPr>
      <w:r w:rsidRPr="00B7245D">
        <w:rPr>
          <w:rFonts w:ascii="Times New Roman" w:hAnsi="Times New Roman" w:cs="Times New Roman"/>
          <w:sz w:val="24"/>
          <w:szCs w:val="24"/>
        </w:rPr>
        <w:t xml:space="preserve">The apex court further made reference to the matter of </w:t>
      </w:r>
      <w:r w:rsidRPr="00B7245D">
        <w:rPr>
          <w:rFonts w:ascii="Times New Roman" w:hAnsi="Times New Roman" w:cs="Times New Roman"/>
          <w:i/>
          <w:sz w:val="24"/>
          <w:szCs w:val="24"/>
        </w:rPr>
        <w:t xml:space="preserve">Katerere v Standard Chartered Bank Zimbabwe Ltd </w:t>
      </w:r>
      <w:r w:rsidR="00B60275">
        <w:rPr>
          <w:rFonts w:ascii="Times New Roman" w:hAnsi="Times New Roman" w:cs="Times New Roman"/>
          <w:sz w:val="24"/>
          <w:szCs w:val="24"/>
        </w:rPr>
        <w:t>HB 51-</w:t>
      </w:r>
      <w:r w:rsidRPr="00B7245D">
        <w:rPr>
          <w:rFonts w:ascii="Times New Roman" w:hAnsi="Times New Roman" w:cs="Times New Roman"/>
          <w:sz w:val="24"/>
          <w:szCs w:val="24"/>
        </w:rPr>
        <w:t xml:space="preserve">08 which was quoted with approval in </w:t>
      </w:r>
      <w:r w:rsidRPr="00B7245D">
        <w:rPr>
          <w:rFonts w:ascii="Times New Roman" w:hAnsi="Times New Roman" w:cs="Times New Roman"/>
          <w:i/>
          <w:sz w:val="24"/>
          <w:szCs w:val="24"/>
        </w:rPr>
        <w:t>Bakari v Total Zimbabwe (Pvt) Ltd</w:t>
      </w:r>
      <w:r w:rsidR="00B60275">
        <w:rPr>
          <w:rFonts w:ascii="Times New Roman" w:hAnsi="Times New Roman" w:cs="Times New Roman"/>
          <w:sz w:val="24"/>
          <w:szCs w:val="24"/>
        </w:rPr>
        <w:t xml:space="preserve"> SC 21-</w:t>
      </w:r>
      <w:r w:rsidRPr="00B7245D">
        <w:rPr>
          <w:rFonts w:ascii="Times New Roman" w:hAnsi="Times New Roman" w:cs="Times New Roman"/>
          <w:sz w:val="24"/>
          <w:szCs w:val="24"/>
        </w:rPr>
        <w:t>19. It was stated that:</w:t>
      </w:r>
    </w:p>
    <w:p w14:paraId="733C8744" w14:textId="36143C52" w:rsidR="00F6517D" w:rsidRPr="00B7245D" w:rsidRDefault="00F6517D" w:rsidP="00B60275">
      <w:pPr>
        <w:spacing w:after="0" w:line="240" w:lineRule="auto"/>
        <w:ind w:left="720"/>
        <w:jc w:val="both"/>
        <w:rPr>
          <w:rFonts w:ascii="Times New Roman" w:hAnsi="Times New Roman" w:cs="Times New Roman"/>
          <w:sz w:val="24"/>
          <w:szCs w:val="24"/>
        </w:rPr>
      </w:pPr>
      <w:r w:rsidRPr="00B7245D">
        <w:rPr>
          <w:rFonts w:ascii="Times New Roman" w:hAnsi="Times New Roman" w:cs="Times New Roman"/>
          <w:sz w:val="24"/>
          <w:szCs w:val="24"/>
        </w:rPr>
        <w:t xml:space="preserve">“The court should be extremely chary of granting absolution at the close of the plaintiff’s case. The court must assume that in the absence of very special considerations, such as the inherent unacceptability of the evidence adduced, the evidence is true. The court should not at this stage evaluate and reject the plaintiff’s evidence. The test to be applied is not whether the evidence led by the plaintiff establishes what will finally have to be established. Absolution from the instance at the close of the plaintiff’s case may be granted if the plaintiff has failed to establish an essential element of his claim- </w:t>
      </w:r>
      <w:r w:rsidRPr="00B7245D">
        <w:rPr>
          <w:rFonts w:ascii="Times New Roman" w:hAnsi="Times New Roman" w:cs="Times New Roman"/>
          <w:i/>
          <w:sz w:val="24"/>
          <w:szCs w:val="24"/>
        </w:rPr>
        <w:t>Claude Neon Lights (SA) Ltd v Daniel</w:t>
      </w:r>
      <w:r w:rsidRPr="00B7245D">
        <w:rPr>
          <w:rFonts w:ascii="Times New Roman" w:hAnsi="Times New Roman" w:cs="Times New Roman"/>
          <w:sz w:val="24"/>
          <w:szCs w:val="24"/>
        </w:rPr>
        <w:t xml:space="preserve"> 1976 (4) SA 403(A); </w:t>
      </w:r>
      <w:r w:rsidRPr="00B7245D">
        <w:rPr>
          <w:rFonts w:ascii="Times New Roman" w:hAnsi="Times New Roman" w:cs="Times New Roman"/>
          <w:i/>
          <w:sz w:val="24"/>
          <w:szCs w:val="24"/>
        </w:rPr>
        <w:t xml:space="preserve">Marine &amp; Trade Insurance Co Ltd v Van Der </w:t>
      </w:r>
      <w:proofErr w:type="spellStart"/>
      <w:r w:rsidRPr="00B7245D">
        <w:rPr>
          <w:rFonts w:ascii="Times New Roman" w:hAnsi="Times New Roman" w:cs="Times New Roman"/>
          <w:i/>
          <w:sz w:val="24"/>
          <w:szCs w:val="24"/>
        </w:rPr>
        <w:t>Schyff</w:t>
      </w:r>
      <w:proofErr w:type="spellEnd"/>
      <w:r w:rsidRPr="00B7245D">
        <w:rPr>
          <w:rFonts w:ascii="Times New Roman" w:hAnsi="Times New Roman" w:cs="Times New Roman"/>
          <w:sz w:val="24"/>
          <w:szCs w:val="24"/>
        </w:rPr>
        <w:t xml:space="preserve"> 1972 (1) SA 26(A); </w:t>
      </w:r>
      <w:r w:rsidRPr="00B7245D">
        <w:rPr>
          <w:rFonts w:ascii="Times New Roman" w:hAnsi="Times New Roman" w:cs="Times New Roman"/>
          <w:i/>
          <w:sz w:val="24"/>
          <w:szCs w:val="24"/>
        </w:rPr>
        <w:t>Sithole v PG Industries (Pvt) Ltd</w:t>
      </w:r>
      <w:r w:rsidRPr="00B7245D">
        <w:rPr>
          <w:rFonts w:ascii="Times New Roman" w:hAnsi="Times New Roman" w:cs="Times New Roman"/>
          <w:sz w:val="24"/>
          <w:szCs w:val="24"/>
        </w:rPr>
        <w:t xml:space="preserve"> HB 47-05.”</w:t>
      </w:r>
    </w:p>
    <w:p w14:paraId="60256859" w14:textId="77777777" w:rsidR="00B60275" w:rsidRDefault="00B60275" w:rsidP="00B7245D">
      <w:pPr>
        <w:spacing w:after="0" w:line="360" w:lineRule="auto"/>
        <w:jc w:val="both"/>
        <w:rPr>
          <w:rFonts w:ascii="Times New Roman" w:hAnsi="Times New Roman" w:cs="Times New Roman"/>
          <w:sz w:val="24"/>
          <w:szCs w:val="24"/>
        </w:rPr>
      </w:pPr>
    </w:p>
    <w:p w14:paraId="50811A4E" w14:textId="76C9F68E" w:rsidR="00F6517D" w:rsidRPr="00B7245D" w:rsidRDefault="00F6517D" w:rsidP="003A4356">
      <w:pPr>
        <w:spacing w:after="0" w:line="360" w:lineRule="auto"/>
        <w:ind w:firstLine="720"/>
        <w:jc w:val="both"/>
        <w:rPr>
          <w:rFonts w:ascii="Times New Roman" w:hAnsi="Times New Roman" w:cs="Times New Roman"/>
          <w:sz w:val="24"/>
          <w:szCs w:val="24"/>
        </w:rPr>
      </w:pPr>
      <w:r w:rsidRPr="00B7245D">
        <w:rPr>
          <w:rFonts w:ascii="Times New Roman" w:hAnsi="Times New Roman" w:cs="Times New Roman"/>
          <w:sz w:val="24"/>
          <w:szCs w:val="24"/>
        </w:rPr>
        <w:t xml:space="preserve">With the above eloquent exposition of the law I am </w:t>
      </w:r>
      <w:r w:rsidR="00B7245D">
        <w:rPr>
          <w:rFonts w:ascii="Times New Roman" w:hAnsi="Times New Roman" w:cs="Times New Roman"/>
          <w:sz w:val="24"/>
          <w:szCs w:val="24"/>
        </w:rPr>
        <w:t xml:space="preserve">of the respectful view that </w:t>
      </w:r>
      <w:r w:rsidR="009C0D46" w:rsidRPr="00B7245D">
        <w:rPr>
          <w:rFonts w:ascii="Times New Roman" w:hAnsi="Times New Roman" w:cs="Times New Roman"/>
          <w:sz w:val="24"/>
          <w:szCs w:val="24"/>
        </w:rPr>
        <w:t>it is incorrect to place the plaintiff’s evidence</w:t>
      </w:r>
      <w:r w:rsidR="00B60275">
        <w:rPr>
          <w:rFonts w:ascii="Times New Roman" w:hAnsi="Times New Roman" w:cs="Times New Roman"/>
          <w:sz w:val="24"/>
          <w:szCs w:val="24"/>
        </w:rPr>
        <w:t xml:space="preserve"> standing alone under the micro</w:t>
      </w:r>
      <w:r w:rsidR="009C0D46" w:rsidRPr="00B7245D">
        <w:rPr>
          <w:rFonts w:ascii="Times New Roman" w:hAnsi="Times New Roman" w:cs="Times New Roman"/>
          <w:sz w:val="24"/>
          <w:szCs w:val="24"/>
        </w:rPr>
        <w:t xml:space="preserve">scope. </w:t>
      </w:r>
      <w:r w:rsidRPr="00B7245D">
        <w:rPr>
          <w:rFonts w:ascii="Times New Roman" w:hAnsi="Times New Roman" w:cs="Times New Roman"/>
          <w:sz w:val="24"/>
          <w:szCs w:val="24"/>
        </w:rPr>
        <w:t>This court will greatly benefit from hearing the case of</w:t>
      </w:r>
      <w:r w:rsidR="00B60275">
        <w:rPr>
          <w:rFonts w:ascii="Times New Roman" w:hAnsi="Times New Roman" w:cs="Times New Roman"/>
          <w:sz w:val="24"/>
          <w:szCs w:val="24"/>
        </w:rPr>
        <w:t xml:space="preserve"> the d</w:t>
      </w:r>
      <w:r w:rsidRPr="00B7245D">
        <w:rPr>
          <w:rFonts w:ascii="Times New Roman" w:hAnsi="Times New Roman" w:cs="Times New Roman"/>
          <w:sz w:val="24"/>
          <w:szCs w:val="24"/>
        </w:rPr>
        <w:t xml:space="preserve">efendant and the closing submissions of both parties at the close of the entire matter. It is only then that this court can resort to an </w:t>
      </w:r>
      <w:r w:rsidR="00B60275" w:rsidRPr="00B7245D">
        <w:rPr>
          <w:rFonts w:ascii="Times New Roman" w:hAnsi="Times New Roman" w:cs="Times New Roman"/>
          <w:sz w:val="24"/>
          <w:szCs w:val="24"/>
        </w:rPr>
        <w:t>in-depth</w:t>
      </w:r>
      <w:r w:rsidRPr="00B7245D">
        <w:rPr>
          <w:rFonts w:ascii="Times New Roman" w:hAnsi="Times New Roman" w:cs="Times New Roman"/>
          <w:sz w:val="24"/>
          <w:szCs w:val="24"/>
        </w:rPr>
        <w:t xml:space="preserve"> analysis of every aspect of the evidence and consider its totality.</w:t>
      </w:r>
    </w:p>
    <w:p w14:paraId="3D049694" w14:textId="77777777" w:rsidR="00B60275" w:rsidRDefault="00B60275" w:rsidP="00B7245D">
      <w:pPr>
        <w:spacing w:after="0" w:line="360" w:lineRule="auto"/>
        <w:jc w:val="both"/>
        <w:rPr>
          <w:rFonts w:ascii="Times New Roman" w:hAnsi="Times New Roman" w:cs="Times New Roman"/>
          <w:sz w:val="24"/>
          <w:szCs w:val="24"/>
        </w:rPr>
      </w:pPr>
    </w:p>
    <w:p w14:paraId="7F12117D" w14:textId="77777777" w:rsidR="00F6517D" w:rsidRPr="00B7245D" w:rsidRDefault="00F6517D" w:rsidP="003A4356">
      <w:pPr>
        <w:spacing w:after="0" w:line="360" w:lineRule="auto"/>
        <w:ind w:firstLine="360"/>
        <w:jc w:val="both"/>
        <w:rPr>
          <w:rFonts w:ascii="Times New Roman" w:hAnsi="Times New Roman" w:cs="Times New Roman"/>
          <w:sz w:val="24"/>
          <w:szCs w:val="24"/>
        </w:rPr>
      </w:pPr>
      <w:r w:rsidRPr="00B7245D">
        <w:rPr>
          <w:rFonts w:ascii="Times New Roman" w:hAnsi="Times New Roman" w:cs="Times New Roman"/>
          <w:sz w:val="24"/>
          <w:szCs w:val="24"/>
        </w:rPr>
        <w:t>Resultantly it is ordered that:</w:t>
      </w:r>
    </w:p>
    <w:p w14:paraId="7418B893" w14:textId="77777777" w:rsidR="00F6517D" w:rsidRPr="00B7245D" w:rsidRDefault="00F6517D" w:rsidP="00B7245D">
      <w:pPr>
        <w:spacing w:after="0" w:line="360" w:lineRule="auto"/>
        <w:jc w:val="both"/>
        <w:rPr>
          <w:rFonts w:ascii="Times New Roman" w:hAnsi="Times New Roman" w:cs="Times New Roman"/>
          <w:sz w:val="24"/>
          <w:szCs w:val="24"/>
        </w:rPr>
      </w:pPr>
    </w:p>
    <w:p w14:paraId="383B6393" w14:textId="29D28464" w:rsidR="00F6517D" w:rsidRPr="00B7245D" w:rsidRDefault="00F6517D" w:rsidP="00B7245D">
      <w:pPr>
        <w:pStyle w:val="ListParagraph"/>
        <w:numPr>
          <w:ilvl w:val="0"/>
          <w:numId w:val="2"/>
        </w:numPr>
        <w:spacing w:after="0" w:line="360" w:lineRule="auto"/>
        <w:jc w:val="both"/>
        <w:rPr>
          <w:rFonts w:ascii="Times New Roman" w:hAnsi="Times New Roman" w:cs="Times New Roman"/>
          <w:sz w:val="24"/>
          <w:szCs w:val="24"/>
        </w:rPr>
      </w:pPr>
      <w:r w:rsidRPr="00B7245D">
        <w:rPr>
          <w:rFonts w:ascii="Times New Roman" w:hAnsi="Times New Roman" w:cs="Times New Roman"/>
          <w:sz w:val="24"/>
          <w:szCs w:val="24"/>
        </w:rPr>
        <w:t>The defendant’s application for absolution from the instance at the close of the plaintiffs’ case is hereby dismissed.</w:t>
      </w:r>
    </w:p>
    <w:p w14:paraId="0C2DB81D" w14:textId="77777777" w:rsidR="009C0D46" w:rsidRPr="00B7245D" w:rsidRDefault="009C0D46" w:rsidP="00B7245D">
      <w:pPr>
        <w:pStyle w:val="ListParagraph"/>
        <w:spacing w:after="0" w:line="360" w:lineRule="auto"/>
        <w:jc w:val="both"/>
        <w:rPr>
          <w:rFonts w:ascii="Times New Roman" w:hAnsi="Times New Roman" w:cs="Times New Roman"/>
          <w:sz w:val="24"/>
          <w:szCs w:val="24"/>
        </w:rPr>
      </w:pPr>
    </w:p>
    <w:p w14:paraId="5AF1C6B1" w14:textId="50FCE476" w:rsidR="00F6517D" w:rsidRDefault="00F6517D" w:rsidP="00B7245D">
      <w:pPr>
        <w:pStyle w:val="ListParagraph"/>
        <w:numPr>
          <w:ilvl w:val="0"/>
          <w:numId w:val="2"/>
        </w:numPr>
        <w:spacing w:after="0" w:line="360" w:lineRule="auto"/>
        <w:jc w:val="both"/>
        <w:rPr>
          <w:rFonts w:ascii="Times New Roman" w:hAnsi="Times New Roman" w:cs="Times New Roman"/>
          <w:sz w:val="24"/>
          <w:szCs w:val="24"/>
        </w:rPr>
      </w:pPr>
      <w:r w:rsidRPr="00B7245D">
        <w:rPr>
          <w:rFonts w:ascii="Times New Roman" w:hAnsi="Times New Roman" w:cs="Times New Roman"/>
          <w:sz w:val="24"/>
          <w:szCs w:val="24"/>
        </w:rPr>
        <w:t>Costs shall be in the cause.</w:t>
      </w:r>
    </w:p>
    <w:p w14:paraId="5EC0E2AB" w14:textId="77777777" w:rsidR="00B60275" w:rsidRPr="00B60275" w:rsidRDefault="00B60275" w:rsidP="00B60275">
      <w:pPr>
        <w:pStyle w:val="ListParagraph"/>
        <w:rPr>
          <w:rFonts w:ascii="Times New Roman" w:hAnsi="Times New Roman" w:cs="Times New Roman"/>
          <w:sz w:val="24"/>
          <w:szCs w:val="24"/>
        </w:rPr>
      </w:pPr>
    </w:p>
    <w:p w14:paraId="7411824E" w14:textId="77777777" w:rsidR="00B60275" w:rsidRDefault="00B60275" w:rsidP="00B60275">
      <w:pPr>
        <w:spacing w:after="0" w:line="360" w:lineRule="auto"/>
        <w:jc w:val="both"/>
        <w:rPr>
          <w:rFonts w:ascii="Times New Roman" w:hAnsi="Times New Roman" w:cs="Times New Roman"/>
          <w:sz w:val="24"/>
          <w:szCs w:val="24"/>
        </w:rPr>
      </w:pPr>
    </w:p>
    <w:p w14:paraId="03FCB1E8" w14:textId="77777777" w:rsidR="00B60275" w:rsidRDefault="00B60275" w:rsidP="00B60275">
      <w:pPr>
        <w:spacing w:after="0" w:line="360" w:lineRule="auto"/>
        <w:jc w:val="both"/>
        <w:rPr>
          <w:rFonts w:ascii="Times New Roman" w:hAnsi="Times New Roman" w:cs="Times New Roman"/>
          <w:sz w:val="24"/>
          <w:szCs w:val="24"/>
        </w:rPr>
      </w:pPr>
    </w:p>
    <w:p w14:paraId="1041BCF8" w14:textId="59BBC504" w:rsidR="00B60275" w:rsidRPr="00B60275" w:rsidRDefault="00B60275" w:rsidP="00B60275">
      <w:pPr>
        <w:pStyle w:val="NoSpacing"/>
        <w:rPr>
          <w:rFonts w:ascii="Times New Roman" w:hAnsi="Times New Roman" w:cs="Times New Roman"/>
          <w:sz w:val="24"/>
          <w:szCs w:val="24"/>
        </w:rPr>
      </w:pPr>
      <w:r w:rsidRPr="00B60275">
        <w:rPr>
          <w:rFonts w:ascii="Times New Roman" w:hAnsi="Times New Roman" w:cs="Times New Roman"/>
          <w:i/>
          <w:sz w:val="24"/>
          <w:szCs w:val="24"/>
        </w:rPr>
        <w:t>Calderwood, Bryce Hendrie and Partners</w:t>
      </w:r>
      <w:r w:rsidRPr="00B60275">
        <w:rPr>
          <w:rFonts w:ascii="Times New Roman" w:hAnsi="Times New Roman" w:cs="Times New Roman"/>
          <w:sz w:val="24"/>
          <w:szCs w:val="24"/>
        </w:rPr>
        <w:t>, plaintiff’s legal practitioners</w:t>
      </w:r>
    </w:p>
    <w:p w14:paraId="138202F2" w14:textId="30C7E3F0" w:rsidR="00B60275" w:rsidRPr="00B60275" w:rsidRDefault="00B60275" w:rsidP="00B60275">
      <w:pPr>
        <w:pStyle w:val="NoSpacing"/>
        <w:rPr>
          <w:rFonts w:ascii="Times New Roman" w:hAnsi="Times New Roman" w:cs="Times New Roman"/>
          <w:sz w:val="24"/>
          <w:szCs w:val="24"/>
        </w:rPr>
      </w:pPr>
      <w:proofErr w:type="spellStart"/>
      <w:r w:rsidRPr="00B60275">
        <w:rPr>
          <w:rFonts w:ascii="Times New Roman" w:hAnsi="Times New Roman" w:cs="Times New Roman"/>
          <w:i/>
          <w:sz w:val="24"/>
          <w:szCs w:val="24"/>
        </w:rPr>
        <w:t>Ncube</w:t>
      </w:r>
      <w:proofErr w:type="spellEnd"/>
      <w:r w:rsidRPr="00B60275">
        <w:rPr>
          <w:rFonts w:ascii="Times New Roman" w:hAnsi="Times New Roman" w:cs="Times New Roman"/>
          <w:i/>
          <w:sz w:val="24"/>
          <w:szCs w:val="24"/>
        </w:rPr>
        <w:t xml:space="preserve"> &amp; Partners</w:t>
      </w:r>
      <w:r w:rsidRPr="00B60275">
        <w:rPr>
          <w:rFonts w:ascii="Times New Roman" w:hAnsi="Times New Roman" w:cs="Times New Roman"/>
          <w:sz w:val="24"/>
          <w:szCs w:val="24"/>
        </w:rPr>
        <w:t>, defendant’s legal practitioners</w:t>
      </w:r>
    </w:p>
    <w:p w14:paraId="0E6F2450" w14:textId="6FF9BDC3" w:rsidR="00F6517D" w:rsidRPr="00B60275" w:rsidRDefault="00F6517D" w:rsidP="00B60275">
      <w:pPr>
        <w:pStyle w:val="NoSpacing"/>
        <w:rPr>
          <w:rFonts w:ascii="Times New Roman" w:hAnsi="Times New Roman" w:cs="Times New Roman"/>
          <w:sz w:val="24"/>
          <w:szCs w:val="24"/>
        </w:rPr>
      </w:pPr>
      <w:r w:rsidRPr="00B60275">
        <w:rPr>
          <w:rFonts w:ascii="Times New Roman" w:hAnsi="Times New Roman" w:cs="Times New Roman"/>
          <w:sz w:val="24"/>
          <w:szCs w:val="24"/>
        </w:rPr>
        <w:t xml:space="preserve"> </w:t>
      </w:r>
    </w:p>
    <w:p w14:paraId="344E49F4" w14:textId="758310F3" w:rsidR="00F6517D" w:rsidRPr="00B7245D" w:rsidRDefault="00F6517D" w:rsidP="00B7245D">
      <w:pPr>
        <w:spacing w:after="0" w:line="360" w:lineRule="auto"/>
        <w:jc w:val="both"/>
        <w:rPr>
          <w:rFonts w:ascii="Times New Roman" w:hAnsi="Times New Roman" w:cs="Times New Roman"/>
          <w:sz w:val="24"/>
          <w:szCs w:val="24"/>
        </w:rPr>
      </w:pPr>
    </w:p>
    <w:p w14:paraId="262C4BC3" w14:textId="77777777" w:rsidR="00211145" w:rsidRPr="00B7245D" w:rsidRDefault="00211145" w:rsidP="00B7245D">
      <w:pPr>
        <w:pStyle w:val="NormalWeb"/>
        <w:spacing w:before="0" w:beforeAutospacing="0" w:after="0" w:afterAutospacing="0" w:line="360" w:lineRule="auto"/>
        <w:jc w:val="both"/>
        <w:rPr>
          <w:lang w:val="en-US"/>
        </w:rPr>
      </w:pPr>
    </w:p>
    <w:p w14:paraId="7FC92F4A" w14:textId="77777777" w:rsidR="0057297D" w:rsidRPr="00B7245D" w:rsidRDefault="0057297D" w:rsidP="00B7245D">
      <w:pPr>
        <w:pStyle w:val="NormalWeb"/>
        <w:spacing w:before="0" w:beforeAutospacing="0" w:after="0" w:afterAutospacing="0" w:line="360" w:lineRule="auto"/>
        <w:ind w:left="720"/>
        <w:jc w:val="both"/>
      </w:pPr>
    </w:p>
    <w:p w14:paraId="0B4AB8BA" w14:textId="77777777" w:rsidR="0057297D" w:rsidRPr="00B7245D" w:rsidRDefault="0057297D" w:rsidP="00B7245D">
      <w:pPr>
        <w:spacing w:line="360" w:lineRule="auto"/>
        <w:jc w:val="both"/>
        <w:rPr>
          <w:rFonts w:ascii="Times New Roman" w:hAnsi="Times New Roman" w:cs="Times New Roman"/>
          <w:sz w:val="24"/>
          <w:szCs w:val="24"/>
        </w:rPr>
      </w:pPr>
    </w:p>
    <w:p w14:paraId="62748D44" w14:textId="77777777" w:rsidR="00062B64" w:rsidRPr="00B7245D" w:rsidRDefault="00062B64" w:rsidP="00B7245D">
      <w:pPr>
        <w:spacing w:line="360" w:lineRule="auto"/>
        <w:jc w:val="both"/>
        <w:rPr>
          <w:rFonts w:ascii="Times New Roman" w:hAnsi="Times New Roman" w:cs="Times New Roman"/>
          <w:sz w:val="24"/>
          <w:szCs w:val="24"/>
        </w:rPr>
      </w:pPr>
    </w:p>
    <w:p w14:paraId="42F88EEE" w14:textId="77777777" w:rsidR="00167A4C" w:rsidRPr="00B7245D" w:rsidRDefault="00167A4C" w:rsidP="00B7245D">
      <w:pPr>
        <w:spacing w:line="360" w:lineRule="auto"/>
        <w:jc w:val="both"/>
        <w:rPr>
          <w:rFonts w:ascii="Times New Roman" w:hAnsi="Times New Roman" w:cs="Times New Roman"/>
          <w:sz w:val="24"/>
          <w:szCs w:val="24"/>
        </w:rPr>
      </w:pPr>
    </w:p>
    <w:p w14:paraId="170A51FE" w14:textId="77777777" w:rsidR="00301ACC" w:rsidRPr="00B7245D" w:rsidRDefault="00301ACC" w:rsidP="00B7245D">
      <w:pPr>
        <w:spacing w:line="360" w:lineRule="auto"/>
        <w:jc w:val="both"/>
        <w:rPr>
          <w:rFonts w:ascii="Times New Roman" w:hAnsi="Times New Roman" w:cs="Times New Roman"/>
          <w:sz w:val="24"/>
          <w:szCs w:val="24"/>
        </w:rPr>
      </w:pPr>
    </w:p>
    <w:sectPr w:rsidR="00301ACC" w:rsidRPr="00B7245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7D786B" w14:textId="77777777" w:rsidR="00397BFE" w:rsidRDefault="00397BFE" w:rsidP="00B7245D">
      <w:pPr>
        <w:spacing w:after="0" w:line="240" w:lineRule="auto"/>
      </w:pPr>
      <w:r>
        <w:separator/>
      </w:r>
    </w:p>
  </w:endnote>
  <w:endnote w:type="continuationSeparator" w:id="0">
    <w:p w14:paraId="66992B7C" w14:textId="77777777" w:rsidR="00397BFE" w:rsidRDefault="00397BFE" w:rsidP="00B72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00AED" w14:textId="77777777" w:rsidR="000C2D30" w:rsidRDefault="000C2D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7C3CC" w14:textId="77777777" w:rsidR="000C2D30" w:rsidRDefault="000C2D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D781C" w14:textId="77777777" w:rsidR="000C2D30" w:rsidRDefault="000C2D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35760D" w14:textId="77777777" w:rsidR="00397BFE" w:rsidRDefault="00397BFE" w:rsidP="00B7245D">
      <w:pPr>
        <w:spacing w:after="0" w:line="240" w:lineRule="auto"/>
      </w:pPr>
      <w:r>
        <w:separator/>
      </w:r>
    </w:p>
  </w:footnote>
  <w:footnote w:type="continuationSeparator" w:id="0">
    <w:p w14:paraId="246FDB34" w14:textId="77777777" w:rsidR="00397BFE" w:rsidRDefault="00397BFE" w:rsidP="00B724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B74AB" w14:textId="77777777" w:rsidR="000C2D30" w:rsidRDefault="000C2D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4068111"/>
      <w:docPartObj>
        <w:docPartGallery w:val="Page Numbers (Top of Page)"/>
        <w:docPartUnique/>
      </w:docPartObj>
    </w:sdtPr>
    <w:sdtEndPr>
      <w:rPr>
        <w:rFonts w:ascii="Times New Roman" w:hAnsi="Times New Roman" w:cs="Times New Roman"/>
        <w:noProof/>
        <w:sz w:val="24"/>
        <w:szCs w:val="24"/>
      </w:rPr>
    </w:sdtEndPr>
    <w:sdtContent>
      <w:p w14:paraId="7D4B6689" w14:textId="77777777" w:rsidR="007B32E0" w:rsidRPr="007B32E0" w:rsidRDefault="007B32E0">
        <w:pPr>
          <w:pStyle w:val="Header"/>
          <w:jc w:val="right"/>
          <w:rPr>
            <w:rFonts w:ascii="Times New Roman" w:hAnsi="Times New Roman" w:cs="Times New Roman"/>
            <w:noProof/>
            <w:sz w:val="24"/>
            <w:szCs w:val="24"/>
          </w:rPr>
        </w:pPr>
        <w:r w:rsidRPr="007B32E0">
          <w:rPr>
            <w:rFonts w:ascii="Times New Roman" w:hAnsi="Times New Roman" w:cs="Times New Roman"/>
            <w:sz w:val="24"/>
            <w:szCs w:val="24"/>
          </w:rPr>
          <w:fldChar w:fldCharType="begin"/>
        </w:r>
        <w:r w:rsidRPr="007B32E0">
          <w:rPr>
            <w:rFonts w:ascii="Times New Roman" w:hAnsi="Times New Roman" w:cs="Times New Roman"/>
            <w:sz w:val="24"/>
            <w:szCs w:val="24"/>
          </w:rPr>
          <w:instrText xml:space="preserve"> PAGE   \* MERGEFORMAT </w:instrText>
        </w:r>
        <w:r w:rsidRPr="007B32E0">
          <w:rPr>
            <w:rFonts w:ascii="Times New Roman" w:hAnsi="Times New Roman" w:cs="Times New Roman"/>
            <w:sz w:val="24"/>
            <w:szCs w:val="24"/>
          </w:rPr>
          <w:fldChar w:fldCharType="separate"/>
        </w:r>
        <w:r w:rsidR="000C2D30">
          <w:rPr>
            <w:rFonts w:ascii="Times New Roman" w:hAnsi="Times New Roman" w:cs="Times New Roman"/>
            <w:noProof/>
            <w:sz w:val="24"/>
            <w:szCs w:val="24"/>
          </w:rPr>
          <w:t>1</w:t>
        </w:r>
        <w:r w:rsidRPr="007B32E0">
          <w:rPr>
            <w:rFonts w:ascii="Times New Roman" w:hAnsi="Times New Roman" w:cs="Times New Roman"/>
            <w:noProof/>
            <w:sz w:val="24"/>
            <w:szCs w:val="24"/>
          </w:rPr>
          <w:fldChar w:fldCharType="end"/>
        </w:r>
      </w:p>
      <w:p w14:paraId="16CE2D7B" w14:textId="363A970E" w:rsidR="007B32E0" w:rsidRPr="007B32E0" w:rsidRDefault="007B32E0">
        <w:pPr>
          <w:pStyle w:val="Header"/>
          <w:jc w:val="right"/>
          <w:rPr>
            <w:rFonts w:ascii="Times New Roman" w:hAnsi="Times New Roman" w:cs="Times New Roman"/>
            <w:noProof/>
            <w:sz w:val="24"/>
            <w:szCs w:val="24"/>
          </w:rPr>
        </w:pPr>
        <w:r w:rsidRPr="007B32E0">
          <w:rPr>
            <w:rFonts w:ascii="Times New Roman" w:hAnsi="Times New Roman" w:cs="Times New Roman"/>
            <w:noProof/>
            <w:sz w:val="24"/>
            <w:szCs w:val="24"/>
          </w:rPr>
          <w:t>HB</w:t>
        </w:r>
        <w:r w:rsidR="000C2D30">
          <w:rPr>
            <w:rFonts w:ascii="Times New Roman" w:hAnsi="Times New Roman" w:cs="Times New Roman"/>
            <w:noProof/>
            <w:sz w:val="24"/>
            <w:szCs w:val="24"/>
          </w:rPr>
          <w:t xml:space="preserve"> </w:t>
        </w:r>
        <w:r w:rsidR="000C2D30">
          <w:rPr>
            <w:rFonts w:ascii="Times New Roman" w:hAnsi="Times New Roman" w:cs="Times New Roman"/>
            <w:noProof/>
            <w:sz w:val="24"/>
            <w:szCs w:val="24"/>
          </w:rPr>
          <w:t>210/25</w:t>
        </w:r>
        <w:bookmarkStart w:id="1" w:name="_GoBack"/>
        <w:bookmarkEnd w:id="1"/>
      </w:p>
      <w:p w14:paraId="0F9DD8AF" w14:textId="4C4E2396" w:rsidR="007B32E0" w:rsidRPr="007B32E0" w:rsidRDefault="004033C2">
        <w:pPr>
          <w:pStyle w:val="Header"/>
          <w:jc w:val="right"/>
          <w:rPr>
            <w:rFonts w:ascii="Times New Roman" w:hAnsi="Times New Roman" w:cs="Times New Roman"/>
            <w:sz w:val="24"/>
            <w:szCs w:val="24"/>
          </w:rPr>
        </w:pPr>
        <w:r>
          <w:rPr>
            <w:rFonts w:ascii="Times New Roman" w:hAnsi="Times New Roman" w:cs="Times New Roman"/>
            <w:noProof/>
            <w:sz w:val="24"/>
            <w:szCs w:val="24"/>
          </w:rPr>
          <w:t>HC 1958/22</w:t>
        </w:r>
      </w:p>
    </w:sdtContent>
  </w:sdt>
  <w:p w14:paraId="2EB444A5" w14:textId="48EB8D70" w:rsidR="00B7245D" w:rsidRDefault="00B724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1713A" w14:textId="77777777" w:rsidR="000C2D30" w:rsidRDefault="000C2D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2177B"/>
    <w:multiLevelType w:val="hybridMultilevel"/>
    <w:tmpl w:val="5AA62E2C"/>
    <w:lvl w:ilvl="0" w:tplc="804C570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575812C3"/>
    <w:multiLevelType w:val="hybridMultilevel"/>
    <w:tmpl w:val="E692FB08"/>
    <w:lvl w:ilvl="0" w:tplc="AE34AE14">
      <w:start w:val="1"/>
      <w:numFmt w:val="decimal"/>
      <w:lvlText w:val="%1."/>
      <w:lvlJc w:val="left"/>
      <w:pPr>
        <w:ind w:left="1260" w:hanging="360"/>
      </w:pPr>
      <w:rPr>
        <w:rFonts w:hint="default"/>
      </w:rPr>
    </w:lvl>
    <w:lvl w:ilvl="1" w:tplc="30090019" w:tentative="1">
      <w:start w:val="1"/>
      <w:numFmt w:val="lowerLetter"/>
      <w:lvlText w:val="%2."/>
      <w:lvlJc w:val="left"/>
      <w:pPr>
        <w:ind w:left="1980" w:hanging="360"/>
      </w:pPr>
    </w:lvl>
    <w:lvl w:ilvl="2" w:tplc="3009001B" w:tentative="1">
      <w:start w:val="1"/>
      <w:numFmt w:val="lowerRoman"/>
      <w:lvlText w:val="%3."/>
      <w:lvlJc w:val="right"/>
      <w:pPr>
        <w:ind w:left="2700" w:hanging="180"/>
      </w:pPr>
    </w:lvl>
    <w:lvl w:ilvl="3" w:tplc="3009000F" w:tentative="1">
      <w:start w:val="1"/>
      <w:numFmt w:val="decimal"/>
      <w:lvlText w:val="%4."/>
      <w:lvlJc w:val="left"/>
      <w:pPr>
        <w:ind w:left="3420" w:hanging="360"/>
      </w:pPr>
    </w:lvl>
    <w:lvl w:ilvl="4" w:tplc="30090019" w:tentative="1">
      <w:start w:val="1"/>
      <w:numFmt w:val="lowerLetter"/>
      <w:lvlText w:val="%5."/>
      <w:lvlJc w:val="left"/>
      <w:pPr>
        <w:ind w:left="4140" w:hanging="360"/>
      </w:pPr>
    </w:lvl>
    <w:lvl w:ilvl="5" w:tplc="3009001B" w:tentative="1">
      <w:start w:val="1"/>
      <w:numFmt w:val="lowerRoman"/>
      <w:lvlText w:val="%6."/>
      <w:lvlJc w:val="right"/>
      <w:pPr>
        <w:ind w:left="4860" w:hanging="180"/>
      </w:pPr>
    </w:lvl>
    <w:lvl w:ilvl="6" w:tplc="3009000F" w:tentative="1">
      <w:start w:val="1"/>
      <w:numFmt w:val="decimal"/>
      <w:lvlText w:val="%7."/>
      <w:lvlJc w:val="left"/>
      <w:pPr>
        <w:ind w:left="5580" w:hanging="360"/>
      </w:pPr>
    </w:lvl>
    <w:lvl w:ilvl="7" w:tplc="30090019" w:tentative="1">
      <w:start w:val="1"/>
      <w:numFmt w:val="lowerLetter"/>
      <w:lvlText w:val="%8."/>
      <w:lvlJc w:val="left"/>
      <w:pPr>
        <w:ind w:left="6300" w:hanging="360"/>
      </w:pPr>
    </w:lvl>
    <w:lvl w:ilvl="8" w:tplc="3009001B" w:tentative="1">
      <w:start w:val="1"/>
      <w:numFmt w:val="lowerRoman"/>
      <w:lvlText w:val="%9."/>
      <w:lvlJc w:val="right"/>
      <w:pPr>
        <w:ind w:left="7020" w:hanging="180"/>
      </w:pPr>
    </w:lvl>
  </w:abstractNum>
  <w:abstractNum w:abstractNumId="2" w15:restartNumberingAfterBreak="0">
    <w:nsid w:val="608942A2"/>
    <w:multiLevelType w:val="hybridMultilevel"/>
    <w:tmpl w:val="4824F4A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78563DC8"/>
    <w:multiLevelType w:val="hybridMultilevel"/>
    <w:tmpl w:val="EE7004C8"/>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ACC"/>
    <w:rsid w:val="00020CBA"/>
    <w:rsid w:val="00045389"/>
    <w:rsid w:val="000463BF"/>
    <w:rsid w:val="00062B64"/>
    <w:rsid w:val="00081234"/>
    <w:rsid w:val="000817A9"/>
    <w:rsid w:val="000C2D30"/>
    <w:rsid w:val="000C5F6B"/>
    <w:rsid w:val="000E42E4"/>
    <w:rsid w:val="00167A4C"/>
    <w:rsid w:val="001E7BFC"/>
    <w:rsid w:val="002022A1"/>
    <w:rsid w:val="00206B31"/>
    <w:rsid w:val="00211145"/>
    <w:rsid w:val="0024532A"/>
    <w:rsid w:val="00245DD0"/>
    <w:rsid w:val="00247E7D"/>
    <w:rsid w:val="002A70C0"/>
    <w:rsid w:val="002C256F"/>
    <w:rsid w:val="002D3A8A"/>
    <w:rsid w:val="00301ACC"/>
    <w:rsid w:val="00340569"/>
    <w:rsid w:val="00375850"/>
    <w:rsid w:val="00397BFE"/>
    <w:rsid w:val="003A3351"/>
    <w:rsid w:val="003A4356"/>
    <w:rsid w:val="003B0A90"/>
    <w:rsid w:val="003C7340"/>
    <w:rsid w:val="004033C2"/>
    <w:rsid w:val="004530A7"/>
    <w:rsid w:val="00474A65"/>
    <w:rsid w:val="00481310"/>
    <w:rsid w:val="004A0D30"/>
    <w:rsid w:val="00500689"/>
    <w:rsid w:val="00537924"/>
    <w:rsid w:val="005558CE"/>
    <w:rsid w:val="0057297D"/>
    <w:rsid w:val="005C3317"/>
    <w:rsid w:val="005D1E02"/>
    <w:rsid w:val="00641C66"/>
    <w:rsid w:val="00661181"/>
    <w:rsid w:val="006C08AE"/>
    <w:rsid w:val="006D7005"/>
    <w:rsid w:val="006E463D"/>
    <w:rsid w:val="006F01DE"/>
    <w:rsid w:val="00761E30"/>
    <w:rsid w:val="00763EBC"/>
    <w:rsid w:val="00774C94"/>
    <w:rsid w:val="007B32E0"/>
    <w:rsid w:val="007B68D3"/>
    <w:rsid w:val="007F236E"/>
    <w:rsid w:val="00805E7B"/>
    <w:rsid w:val="0082223E"/>
    <w:rsid w:val="00826EE3"/>
    <w:rsid w:val="0082702B"/>
    <w:rsid w:val="0083350C"/>
    <w:rsid w:val="00932CC9"/>
    <w:rsid w:val="009B41C0"/>
    <w:rsid w:val="009C0D46"/>
    <w:rsid w:val="009E174C"/>
    <w:rsid w:val="00A3035F"/>
    <w:rsid w:val="00A56DF6"/>
    <w:rsid w:val="00A92EFC"/>
    <w:rsid w:val="00A940A6"/>
    <w:rsid w:val="00B00DDE"/>
    <w:rsid w:val="00B069BA"/>
    <w:rsid w:val="00B3701F"/>
    <w:rsid w:val="00B60275"/>
    <w:rsid w:val="00B7245D"/>
    <w:rsid w:val="00BA762D"/>
    <w:rsid w:val="00CE4CD5"/>
    <w:rsid w:val="00D0527B"/>
    <w:rsid w:val="00D74CE1"/>
    <w:rsid w:val="00D811B0"/>
    <w:rsid w:val="00DE17D6"/>
    <w:rsid w:val="00DE4632"/>
    <w:rsid w:val="00E63A13"/>
    <w:rsid w:val="00EC16BC"/>
    <w:rsid w:val="00EF6E59"/>
    <w:rsid w:val="00F6517D"/>
    <w:rsid w:val="00FA42B4"/>
    <w:rsid w:val="00FF2211"/>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FD088"/>
  <w15:chartTrackingRefBased/>
  <w15:docId w15:val="{8998233F-149A-47EC-B78C-C332A4C6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4CD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Hyperlink">
    <w:name w:val="Hyperlink"/>
    <w:basedOn w:val="DefaultParagraphFont"/>
    <w:uiPriority w:val="99"/>
    <w:semiHidden/>
    <w:unhideWhenUsed/>
    <w:rsid w:val="00CE4CD5"/>
    <w:rPr>
      <w:color w:val="0000FF"/>
      <w:u w:val="single"/>
    </w:rPr>
  </w:style>
  <w:style w:type="paragraph" w:styleId="ListParagraph">
    <w:name w:val="List Paragraph"/>
    <w:basedOn w:val="Normal"/>
    <w:uiPriority w:val="34"/>
    <w:qFormat/>
    <w:rsid w:val="000817A9"/>
    <w:pPr>
      <w:ind w:left="720"/>
      <w:contextualSpacing/>
    </w:pPr>
  </w:style>
  <w:style w:type="paragraph" w:styleId="Header">
    <w:name w:val="header"/>
    <w:basedOn w:val="Normal"/>
    <w:link w:val="HeaderChar"/>
    <w:uiPriority w:val="99"/>
    <w:unhideWhenUsed/>
    <w:rsid w:val="00B724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45D"/>
  </w:style>
  <w:style w:type="paragraph" w:styleId="Footer">
    <w:name w:val="footer"/>
    <w:basedOn w:val="Normal"/>
    <w:link w:val="FooterChar"/>
    <w:uiPriority w:val="99"/>
    <w:unhideWhenUsed/>
    <w:rsid w:val="00B724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45D"/>
  </w:style>
  <w:style w:type="paragraph" w:styleId="NoSpacing">
    <w:name w:val="No Spacing"/>
    <w:uiPriority w:val="1"/>
    <w:qFormat/>
    <w:rsid w:val="00B602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81988">
      <w:bodyDiv w:val="1"/>
      <w:marLeft w:val="0"/>
      <w:marRight w:val="0"/>
      <w:marTop w:val="0"/>
      <w:marBottom w:val="0"/>
      <w:divBdr>
        <w:top w:val="none" w:sz="0" w:space="0" w:color="auto"/>
        <w:left w:val="none" w:sz="0" w:space="0" w:color="auto"/>
        <w:bottom w:val="none" w:sz="0" w:space="0" w:color="auto"/>
        <w:right w:val="none" w:sz="0" w:space="0" w:color="auto"/>
      </w:divBdr>
    </w:div>
    <w:div w:id="203368986">
      <w:bodyDiv w:val="1"/>
      <w:marLeft w:val="0"/>
      <w:marRight w:val="0"/>
      <w:marTop w:val="0"/>
      <w:marBottom w:val="0"/>
      <w:divBdr>
        <w:top w:val="none" w:sz="0" w:space="0" w:color="auto"/>
        <w:left w:val="none" w:sz="0" w:space="0" w:color="auto"/>
        <w:bottom w:val="none" w:sz="0" w:space="0" w:color="auto"/>
        <w:right w:val="none" w:sz="0" w:space="0" w:color="auto"/>
      </w:divBdr>
    </w:div>
    <w:div w:id="275411530">
      <w:bodyDiv w:val="1"/>
      <w:marLeft w:val="0"/>
      <w:marRight w:val="0"/>
      <w:marTop w:val="0"/>
      <w:marBottom w:val="0"/>
      <w:divBdr>
        <w:top w:val="none" w:sz="0" w:space="0" w:color="auto"/>
        <w:left w:val="none" w:sz="0" w:space="0" w:color="auto"/>
        <w:bottom w:val="none" w:sz="0" w:space="0" w:color="auto"/>
        <w:right w:val="none" w:sz="0" w:space="0" w:color="auto"/>
      </w:divBdr>
    </w:div>
    <w:div w:id="296959658">
      <w:bodyDiv w:val="1"/>
      <w:marLeft w:val="0"/>
      <w:marRight w:val="0"/>
      <w:marTop w:val="0"/>
      <w:marBottom w:val="0"/>
      <w:divBdr>
        <w:top w:val="none" w:sz="0" w:space="0" w:color="auto"/>
        <w:left w:val="none" w:sz="0" w:space="0" w:color="auto"/>
        <w:bottom w:val="none" w:sz="0" w:space="0" w:color="auto"/>
        <w:right w:val="none" w:sz="0" w:space="0" w:color="auto"/>
      </w:divBdr>
    </w:div>
    <w:div w:id="320236622">
      <w:bodyDiv w:val="1"/>
      <w:marLeft w:val="0"/>
      <w:marRight w:val="0"/>
      <w:marTop w:val="0"/>
      <w:marBottom w:val="0"/>
      <w:divBdr>
        <w:top w:val="none" w:sz="0" w:space="0" w:color="auto"/>
        <w:left w:val="none" w:sz="0" w:space="0" w:color="auto"/>
        <w:bottom w:val="none" w:sz="0" w:space="0" w:color="auto"/>
        <w:right w:val="none" w:sz="0" w:space="0" w:color="auto"/>
      </w:divBdr>
    </w:div>
    <w:div w:id="326321881">
      <w:bodyDiv w:val="1"/>
      <w:marLeft w:val="0"/>
      <w:marRight w:val="0"/>
      <w:marTop w:val="0"/>
      <w:marBottom w:val="0"/>
      <w:divBdr>
        <w:top w:val="none" w:sz="0" w:space="0" w:color="auto"/>
        <w:left w:val="none" w:sz="0" w:space="0" w:color="auto"/>
        <w:bottom w:val="none" w:sz="0" w:space="0" w:color="auto"/>
        <w:right w:val="none" w:sz="0" w:space="0" w:color="auto"/>
      </w:divBdr>
    </w:div>
    <w:div w:id="362705479">
      <w:bodyDiv w:val="1"/>
      <w:marLeft w:val="0"/>
      <w:marRight w:val="0"/>
      <w:marTop w:val="0"/>
      <w:marBottom w:val="0"/>
      <w:divBdr>
        <w:top w:val="none" w:sz="0" w:space="0" w:color="auto"/>
        <w:left w:val="none" w:sz="0" w:space="0" w:color="auto"/>
        <w:bottom w:val="none" w:sz="0" w:space="0" w:color="auto"/>
        <w:right w:val="none" w:sz="0" w:space="0" w:color="auto"/>
      </w:divBdr>
    </w:div>
    <w:div w:id="533880893">
      <w:bodyDiv w:val="1"/>
      <w:marLeft w:val="0"/>
      <w:marRight w:val="0"/>
      <w:marTop w:val="0"/>
      <w:marBottom w:val="0"/>
      <w:divBdr>
        <w:top w:val="none" w:sz="0" w:space="0" w:color="auto"/>
        <w:left w:val="none" w:sz="0" w:space="0" w:color="auto"/>
        <w:bottom w:val="none" w:sz="0" w:space="0" w:color="auto"/>
        <w:right w:val="none" w:sz="0" w:space="0" w:color="auto"/>
      </w:divBdr>
    </w:div>
    <w:div w:id="672688257">
      <w:bodyDiv w:val="1"/>
      <w:marLeft w:val="0"/>
      <w:marRight w:val="0"/>
      <w:marTop w:val="0"/>
      <w:marBottom w:val="0"/>
      <w:divBdr>
        <w:top w:val="none" w:sz="0" w:space="0" w:color="auto"/>
        <w:left w:val="none" w:sz="0" w:space="0" w:color="auto"/>
        <w:bottom w:val="none" w:sz="0" w:space="0" w:color="auto"/>
        <w:right w:val="none" w:sz="0" w:space="0" w:color="auto"/>
      </w:divBdr>
    </w:div>
    <w:div w:id="684281749">
      <w:bodyDiv w:val="1"/>
      <w:marLeft w:val="0"/>
      <w:marRight w:val="0"/>
      <w:marTop w:val="0"/>
      <w:marBottom w:val="0"/>
      <w:divBdr>
        <w:top w:val="none" w:sz="0" w:space="0" w:color="auto"/>
        <w:left w:val="none" w:sz="0" w:space="0" w:color="auto"/>
        <w:bottom w:val="none" w:sz="0" w:space="0" w:color="auto"/>
        <w:right w:val="none" w:sz="0" w:space="0" w:color="auto"/>
      </w:divBdr>
    </w:div>
    <w:div w:id="726074249">
      <w:bodyDiv w:val="1"/>
      <w:marLeft w:val="0"/>
      <w:marRight w:val="0"/>
      <w:marTop w:val="0"/>
      <w:marBottom w:val="0"/>
      <w:divBdr>
        <w:top w:val="none" w:sz="0" w:space="0" w:color="auto"/>
        <w:left w:val="none" w:sz="0" w:space="0" w:color="auto"/>
        <w:bottom w:val="none" w:sz="0" w:space="0" w:color="auto"/>
        <w:right w:val="none" w:sz="0" w:space="0" w:color="auto"/>
      </w:divBdr>
    </w:div>
    <w:div w:id="767892176">
      <w:bodyDiv w:val="1"/>
      <w:marLeft w:val="0"/>
      <w:marRight w:val="0"/>
      <w:marTop w:val="0"/>
      <w:marBottom w:val="0"/>
      <w:divBdr>
        <w:top w:val="none" w:sz="0" w:space="0" w:color="auto"/>
        <w:left w:val="none" w:sz="0" w:space="0" w:color="auto"/>
        <w:bottom w:val="none" w:sz="0" w:space="0" w:color="auto"/>
        <w:right w:val="none" w:sz="0" w:space="0" w:color="auto"/>
      </w:divBdr>
    </w:div>
    <w:div w:id="788082887">
      <w:bodyDiv w:val="1"/>
      <w:marLeft w:val="0"/>
      <w:marRight w:val="0"/>
      <w:marTop w:val="0"/>
      <w:marBottom w:val="0"/>
      <w:divBdr>
        <w:top w:val="none" w:sz="0" w:space="0" w:color="auto"/>
        <w:left w:val="none" w:sz="0" w:space="0" w:color="auto"/>
        <w:bottom w:val="none" w:sz="0" w:space="0" w:color="auto"/>
        <w:right w:val="none" w:sz="0" w:space="0" w:color="auto"/>
      </w:divBdr>
    </w:div>
    <w:div w:id="790709824">
      <w:bodyDiv w:val="1"/>
      <w:marLeft w:val="0"/>
      <w:marRight w:val="0"/>
      <w:marTop w:val="0"/>
      <w:marBottom w:val="0"/>
      <w:divBdr>
        <w:top w:val="none" w:sz="0" w:space="0" w:color="auto"/>
        <w:left w:val="none" w:sz="0" w:space="0" w:color="auto"/>
        <w:bottom w:val="none" w:sz="0" w:space="0" w:color="auto"/>
        <w:right w:val="none" w:sz="0" w:space="0" w:color="auto"/>
      </w:divBdr>
    </w:div>
    <w:div w:id="892035386">
      <w:bodyDiv w:val="1"/>
      <w:marLeft w:val="0"/>
      <w:marRight w:val="0"/>
      <w:marTop w:val="0"/>
      <w:marBottom w:val="0"/>
      <w:divBdr>
        <w:top w:val="none" w:sz="0" w:space="0" w:color="auto"/>
        <w:left w:val="none" w:sz="0" w:space="0" w:color="auto"/>
        <w:bottom w:val="none" w:sz="0" w:space="0" w:color="auto"/>
        <w:right w:val="none" w:sz="0" w:space="0" w:color="auto"/>
      </w:divBdr>
    </w:div>
    <w:div w:id="1048336138">
      <w:bodyDiv w:val="1"/>
      <w:marLeft w:val="0"/>
      <w:marRight w:val="0"/>
      <w:marTop w:val="0"/>
      <w:marBottom w:val="0"/>
      <w:divBdr>
        <w:top w:val="none" w:sz="0" w:space="0" w:color="auto"/>
        <w:left w:val="none" w:sz="0" w:space="0" w:color="auto"/>
        <w:bottom w:val="none" w:sz="0" w:space="0" w:color="auto"/>
        <w:right w:val="none" w:sz="0" w:space="0" w:color="auto"/>
      </w:divBdr>
    </w:div>
    <w:div w:id="1049112601">
      <w:bodyDiv w:val="1"/>
      <w:marLeft w:val="0"/>
      <w:marRight w:val="0"/>
      <w:marTop w:val="0"/>
      <w:marBottom w:val="0"/>
      <w:divBdr>
        <w:top w:val="none" w:sz="0" w:space="0" w:color="auto"/>
        <w:left w:val="none" w:sz="0" w:space="0" w:color="auto"/>
        <w:bottom w:val="none" w:sz="0" w:space="0" w:color="auto"/>
        <w:right w:val="none" w:sz="0" w:space="0" w:color="auto"/>
      </w:divBdr>
    </w:div>
    <w:div w:id="1089543667">
      <w:bodyDiv w:val="1"/>
      <w:marLeft w:val="0"/>
      <w:marRight w:val="0"/>
      <w:marTop w:val="0"/>
      <w:marBottom w:val="0"/>
      <w:divBdr>
        <w:top w:val="none" w:sz="0" w:space="0" w:color="auto"/>
        <w:left w:val="none" w:sz="0" w:space="0" w:color="auto"/>
        <w:bottom w:val="none" w:sz="0" w:space="0" w:color="auto"/>
        <w:right w:val="none" w:sz="0" w:space="0" w:color="auto"/>
      </w:divBdr>
    </w:div>
    <w:div w:id="1155801611">
      <w:bodyDiv w:val="1"/>
      <w:marLeft w:val="0"/>
      <w:marRight w:val="0"/>
      <w:marTop w:val="0"/>
      <w:marBottom w:val="0"/>
      <w:divBdr>
        <w:top w:val="none" w:sz="0" w:space="0" w:color="auto"/>
        <w:left w:val="none" w:sz="0" w:space="0" w:color="auto"/>
        <w:bottom w:val="none" w:sz="0" w:space="0" w:color="auto"/>
        <w:right w:val="none" w:sz="0" w:space="0" w:color="auto"/>
      </w:divBdr>
    </w:div>
    <w:div w:id="1198274277">
      <w:bodyDiv w:val="1"/>
      <w:marLeft w:val="0"/>
      <w:marRight w:val="0"/>
      <w:marTop w:val="0"/>
      <w:marBottom w:val="0"/>
      <w:divBdr>
        <w:top w:val="none" w:sz="0" w:space="0" w:color="auto"/>
        <w:left w:val="none" w:sz="0" w:space="0" w:color="auto"/>
        <w:bottom w:val="none" w:sz="0" w:space="0" w:color="auto"/>
        <w:right w:val="none" w:sz="0" w:space="0" w:color="auto"/>
      </w:divBdr>
    </w:div>
    <w:div w:id="1294286607">
      <w:bodyDiv w:val="1"/>
      <w:marLeft w:val="0"/>
      <w:marRight w:val="0"/>
      <w:marTop w:val="0"/>
      <w:marBottom w:val="0"/>
      <w:divBdr>
        <w:top w:val="none" w:sz="0" w:space="0" w:color="auto"/>
        <w:left w:val="none" w:sz="0" w:space="0" w:color="auto"/>
        <w:bottom w:val="none" w:sz="0" w:space="0" w:color="auto"/>
        <w:right w:val="none" w:sz="0" w:space="0" w:color="auto"/>
      </w:divBdr>
    </w:div>
    <w:div w:id="1309699829">
      <w:bodyDiv w:val="1"/>
      <w:marLeft w:val="0"/>
      <w:marRight w:val="0"/>
      <w:marTop w:val="0"/>
      <w:marBottom w:val="0"/>
      <w:divBdr>
        <w:top w:val="none" w:sz="0" w:space="0" w:color="auto"/>
        <w:left w:val="none" w:sz="0" w:space="0" w:color="auto"/>
        <w:bottom w:val="none" w:sz="0" w:space="0" w:color="auto"/>
        <w:right w:val="none" w:sz="0" w:space="0" w:color="auto"/>
      </w:divBdr>
    </w:div>
    <w:div w:id="1311516716">
      <w:bodyDiv w:val="1"/>
      <w:marLeft w:val="0"/>
      <w:marRight w:val="0"/>
      <w:marTop w:val="0"/>
      <w:marBottom w:val="0"/>
      <w:divBdr>
        <w:top w:val="none" w:sz="0" w:space="0" w:color="auto"/>
        <w:left w:val="none" w:sz="0" w:space="0" w:color="auto"/>
        <w:bottom w:val="none" w:sz="0" w:space="0" w:color="auto"/>
        <w:right w:val="none" w:sz="0" w:space="0" w:color="auto"/>
      </w:divBdr>
    </w:div>
    <w:div w:id="1365206815">
      <w:bodyDiv w:val="1"/>
      <w:marLeft w:val="0"/>
      <w:marRight w:val="0"/>
      <w:marTop w:val="0"/>
      <w:marBottom w:val="0"/>
      <w:divBdr>
        <w:top w:val="none" w:sz="0" w:space="0" w:color="auto"/>
        <w:left w:val="none" w:sz="0" w:space="0" w:color="auto"/>
        <w:bottom w:val="none" w:sz="0" w:space="0" w:color="auto"/>
        <w:right w:val="none" w:sz="0" w:space="0" w:color="auto"/>
      </w:divBdr>
    </w:div>
    <w:div w:id="1435858794">
      <w:bodyDiv w:val="1"/>
      <w:marLeft w:val="0"/>
      <w:marRight w:val="0"/>
      <w:marTop w:val="0"/>
      <w:marBottom w:val="0"/>
      <w:divBdr>
        <w:top w:val="none" w:sz="0" w:space="0" w:color="auto"/>
        <w:left w:val="none" w:sz="0" w:space="0" w:color="auto"/>
        <w:bottom w:val="none" w:sz="0" w:space="0" w:color="auto"/>
        <w:right w:val="none" w:sz="0" w:space="0" w:color="auto"/>
      </w:divBdr>
    </w:div>
    <w:div w:id="1649937936">
      <w:bodyDiv w:val="1"/>
      <w:marLeft w:val="0"/>
      <w:marRight w:val="0"/>
      <w:marTop w:val="0"/>
      <w:marBottom w:val="0"/>
      <w:divBdr>
        <w:top w:val="none" w:sz="0" w:space="0" w:color="auto"/>
        <w:left w:val="none" w:sz="0" w:space="0" w:color="auto"/>
        <w:bottom w:val="none" w:sz="0" w:space="0" w:color="auto"/>
        <w:right w:val="none" w:sz="0" w:space="0" w:color="auto"/>
      </w:divBdr>
    </w:div>
    <w:div w:id="1665234343">
      <w:bodyDiv w:val="1"/>
      <w:marLeft w:val="0"/>
      <w:marRight w:val="0"/>
      <w:marTop w:val="0"/>
      <w:marBottom w:val="0"/>
      <w:divBdr>
        <w:top w:val="none" w:sz="0" w:space="0" w:color="auto"/>
        <w:left w:val="none" w:sz="0" w:space="0" w:color="auto"/>
        <w:bottom w:val="none" w:sz="0" w:space="0" w:color="auto"/>
        <w:right w:val="none" w:sz="0" w:space="0" w:color="auto"/>
      </w:divBdr>
    </w:div>
    <w:div w:id="1691684975">
      <w:bodyDiv w:val="1"/>
      <w:marLeft w:val="0"/>
      <w:marRight w:val="0"/>
      <w:marTop w:val="0"/>
      <w:marBottom w:val="0"/>
      <w:divBdr>
        <w:top w:val="none" w:sz="0" w:space="0" w:color="auto"/>
        <w:left w:val="none" w:sz="0" w:space="0" w:color="auto"/>
        <w:bottom w:val="none" w:sz="0" w:space="0" w:color="auto"/>
        <w:right w:val="none" w:sz="0" w:space="0" w:color="auto"/>
      </w:divBdr>
    </w:div>
    <w:div w:id="1852797879">
      <w:bodyDiv w:val="1"/>
      <w:marLeft w:val="0"/>
      <w:marRight w:val="0"/>
      <w:marTop w:val="0"/>
      <w:marBottom w:val="0"/>
      <w:divBdr>
        <w:top w:val="none" w:sz="0" w:space="0" w:color="auto"/>
        <w:left w:val="none" w:sz="0" w:space="0" w:color="auto"/>
        <w:bottom w:val="none" w:sz="0" w:space="0" w:color="auto"/>
        <w:right w:val="none" w:sz="0" w:space="0" w:color="auto"/>
      </w:divBdr>
    </w:div>
    <w:div w:id="1883322640">
      <w:bodyDiv w:val="1"/>
      <w:marLeft w:val="0"/>
      <w:marRight w:val="0"/>
      <w:marTop w:val="0"/>
      <w:marBottom w:val="0"/>
      <w:divBdr>
        <w:top w:val="none" w:sz="0" w:space="0" w:color="auto"/>
        <w:left w:val="none" w:sz="0" w:space="0" w:color="auto"/>
        <w:bottom w:val="none" w:sz="0" w:space="0" w:color="auto"/>
        <w:right w:val="none" w:sz="0" w:space="0" w:color="auto"/>
      </w:divBdr>
    </w:div>
    <w:div w:id="1978803681">
      <w:bodyDiv w:val="1"/>
      <w:marLeft w:val="0"/>
      <w:marRight w:val="0"/>
      <w:marTop w:val="0"/>
      <w:marBottom w:val="0"/>
      <w:divBdr>
        <w:top w:val="none" w:sz="0" w:space="0" w:color="auto"/>
        <w:left w:val="none" w:sz="0" w:space="0" w:color="auto"/>
        <w:bottom w:val="none" w:sz="0" w:space="0" w:color="auto"/>
        <w:right w:val="none" w:sz="0" w:space="0" w:color="auto"/>
      </w:divBdr>
    </w:div>
    <w:div w:id="2002849294">
      <w:bodyDiv w:val="1"/>
      <w:marLeft w:val="0"/>
      <w:marRight w:val="0"/>
      <w:marTop w:val="0"/>
      <w:marBottom w:val="0"/>
      <w:divBdr>
        <w:top w:val="none" w:sz="0" w:space="0" w:color="auto"/>
        <w:left w:val="none" w:sz="0" w:space="0" w:color="auto"/>
        <w:bottom w:val="none" w:sz="0" w:space="0" w:color="auto"/>
        <w:right w:val="none" w:sz="0" w:space="0" w:color="auto"/>
      </w:divBdr>
    </w:div>
    <w:div w:id="207022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12</cp:revision>
  <dcterms:created xsi:type="dcterms:W3CDTF">2025-11-27T10:12:00Z</dcterms:created>
  <dcterms:modified xsi:type="dcterms:W3CDTF">2025-11-27T14:21:00Z</dcterms:modified>
</cp:coreProperties>
</file>