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4EC1" w:rsidRPr="0048682C" w:rsidRDefault="004901E2" w:rsidP="004901E2">
      <w:pPr>
        <w:spacing w:after="0" w:line="240" w:lineRule="auto"/>
        <w:rPr>
          <w:rFonts w:ascii="Tahoma" w:hAnsi="Tahoma" w:cs="Tahoma"/>
          <w:b/>
          <w:sz w:val="24"/>
          <w:szCs w:val="24"/>
        </w:rPr>
      </w:pPr>
      <w:r w:rsidRPr="0048682C">
        <w:rPr>
          <w:rFonts w:ascii="Tahoma" w:hAnsi="Tahoma" w:cs="Tahoma"/>
          <w:b/>
          <w:sz w:val="24"/>
          <w:szCs w:val="24"/>
        </w:rPr>
        <w:t>IN THE LABOUR COURT OF ZIMBABWE</w:t>
      </w:r>
      <w:r w:rsidRPr="0048682C">
        <w:rPr>
          <w:rFonts w:ascii="Tahoma" w:hAnsi="Tahoma" w:cs="Tahoma"/>
          <w:b/>
          <w:sz w:val="24"/>
          <w:szCs w:val="24"/>
        </w:rPr>
        <w:tab/>
        <w:t>JUDGMENT NO LC/H/</w:t>
      </w:r>
      <w:r w:rsidR="004478BE">
        <w:rPr>
          <w:rFonts w:ascii="Tahoma" w:hAnsi="Tahoma" w:cs="Tahoma"/>
          <w:b/>
          <w:sz w:val="24"/>
          <w:szCs w:val="24"/>
        </w:rPr>
        <w:t>841</w:t>
      </w:r>
      <w:r w:rsidRPr="0048682C">
        <w:rPr>
          <w:rFonts w:ascii="Tahoma" w:hAnsi="Tahoma" w:cs="Tahoma"/>
          <w:b/>
          <w:sz w:val="24"/>
          <w:szCs w:val="24"/>
        </w:rPr>
        <w:t>/2014</w:t>
      </w:r>
    </w:p>
    <w:p w:rsidR="004901E2" w:rsidRPr="0048682C" w:rsidRDefault="004901E2" w:rsidP="004901E2">
      <w:pPr>
        <w:spacing w:after="0" w:line="240" w:lineRule="auto"/>
        <w:rPr>
          <w:rFonts w:ascii="Tahoma" w:hAnsi="Tahoma" w:cs="Tahoma"/>
          <w:b/>
          <w:sz w:val="24"/>
          <w:szCs w:val="24"/>
        </w:rPr>
      </w:pPr>
    </w:p>
    <w:p w:rsidR="004901E2" w:rsidRDefault="004901E2" w:rsidP="004901E2">
      <w:pPr>
        <w:spacing w:after="0" w:line="240" w:lineRule="auto"/>
        <w:rPr>
          <w:rFonts w:ascii="Tahoma" w:hAnsi="Tahoma" w:cs="Tahoma"/>
          <w:b/>
          <w:sz w:val="24"/>
          <w:szCs w:val="24"/>
        </w:rPr>
      </w:pPr>
      <w:r w:rsidRPr="0048682C">
        <w:rPr>
          <w:rFonts w:ascii="Tahoma" w:hAnsi="Tahoma" w:cs="Tahoma"/>
          <w:b/>
          <w:sz w:val="24"/>
          <w:szCs w:val="24"/>
        </w:rPr>
        <w:t>HARARE, 26 NOVEMBER 2014 &amp;</w:t>
      </w:r>
      <w:r w:rsidRPr="0048682C">
        <w:rPr>
          <w:rFonts w:ascii="Tahoma" w:hAnsi="Tahoma" w:cs="Tahoma"/>
          <w:b/>
          <w:sz w:val="24"/>
          <w:szCs w:val="24"/>
        </w:rPr>
        <w:tab/>
      </w:r>
      <w:r w:rsidRPr="0048682C">
        <w:rPr>
          <w:rFonts w:ascii="Tahoma" w:hAnsi="Tahoma" w:cs="Tahoma"/>
          <w:b/>
          <w:sz w:val="24"/>
          <w:szCs w:val="24"/>
        </w:rPr>
        <w:tab/>
        <w:t xml:space="preserve">     </w:t>
      </w:r>
      <w:r w:rsidR="0048682C">
        <w:rPr>
          <w:rFonts w:ascii="Tahoma" w:hAnsi="Tahoma" w:cs="Tahoma"/>
          <w:b/>
          <w:sz w:val="24"/>
          <w:szCs w:val="24"/>
        </w:rPr>
        <w:t xml:space="preserve"> </w:t>
      </w:r>
      <w:r w:rsidRPr="0048682C">
        <w:rPr>
          <w:rFonts w:ascii="Tahoma" w:hAnsi="Tahoma" w:cs="Tahoma"/>
          <w:b/>
          <w:sz w:val="24"/>
          <w:szCs w:val="24"/>
        </w:rPr>
        <w:t xml:space="preserve"> </w:t>
      </w:r>
      <w:r w:rsidR="004478BE">
        <w:rPr>
          <w:rFonts w:ascii="Tahoma" w:hAnsi="Tahoma" w:cs="Tahoma"/>
          <w:b/>
          <w:sz w:val="24"/>
          <w:szCs w:val="24"/>
        </w:rPr>
        <w:t xml:space="preserve">   </w:t>
      </w:r>
      <w:r w:rsidRPr="0048682C">
        <w:rPr>
          <w:rFonts w:ascii="Tahoma" w:hAnsi="Tahoma" w:cs="Tahoma"/>
          <w:b/>
          <w:sz w:val="24"/>
          <w:szCs w:val="24"/>
        </w:rPr>
        <w:t>CASE NO LC/H/597/2014</w:t>
      </w:r>
    </w:p>
    <w:p w:rsidR="004478BE" w:rsidRPr="0048682C" w:rsidRDefault="004478BE" w:rsidP="004901E2">
      <w:pPr>
        <w:spacing w:after="0" w:line="240" w:lineRule="auto"/>
        <w:rPr>
          <w:rFonts w:ascii="Tahoma" w:hAnsi="Tahoma" w:cs="Tahoma"/>
          <w:b/>
          <w:sz w:val="24"/>
          <w:szCs w:val="24"/>
        </w:rPr>
      </w:pPr>
      <w:r>
        <w:rPr>
          <w:rFonts w:ascii="Tahoma" w:hAnsi="Tahoma" w:cs="Tahoma"/>
          <w:b/>
          <w:sz w:val="24"/>
          <w:szCs w:val="24"/>
        </w:rPr>
        <w:t>19 DECEMBER 2014</w:t>
      </w:r>
      <w:bookmarkStart w:id="0" w:name="_GoBack"/>
      <w:bookmarkEnd w:id="0"/>
    </w:p>
    <w:p w:rsidR="004901E2" w:rsidRPr="0048682C" w:rsidRDefault="004901E2" w:rsidP="004901E2">
      <w:pPr>
        <w:spacing w:after="0" w:line="240" w:lineRule="auto"/>
        <w:rPr>
          <w:rFonts w:ascii="Tahoma" w:hAnsi="Tahoma" w:cs="Tahoma"/>
          <w:b/>
          <w:sz w:val="24"/>
          <w:szCs w:val="24"/>
        </w:rPr>
      </w:pPr>
    </w:p>
    <w:p w:rsidR="004901E2" w:rsidRDefault="004901E2" w:rsidP="004901E2">
      <w:pPr>
        <w:spacing w:after="0" w:line="240" w:lineRule="auto"/>
        <w:rPr>
          <w:rFonts w:ascii="Tahoma" w:hAnsi="Tahoma" w:cs="Tahoma"/>
          <w:sz w:val="24"/>
          <w:szCs w:val="24"/>
        </w:rPr>
      </w:pPr>
    </w:p>
    <w:p w:rsidR="004901E2" w:rsidRDefault="004901E2" w:rsidP="004901E2">
      <w:pPr>
        <w:spacing w:after="0" w:line="240" w:lineRule="auto"/>
        <w:rPr>
          <w:rFonts w:ascii="Tahoma" w:hAnsi="Tahoma" w:cs="Tahoma"/>
          <w:sz w:val="24"/>
          <w:szCs w:val="24"/>
        </w:rPr>
      </w:pPr>
      <w:r>
        <w:rPr>
          <w:rFonts w:ascii="Tahoma" w:hAnsi="Tahoma" w:cs="Tahoma"/>
          <w:sz w:val="24"/>
          <w:szCs w:val="24"/>
        </w:rPr>
        <w:t>In the matter between</w:t>
      </w:r>
    </w:p>
    <w:p w:rsidR="004901E2" w:rsidRDefault="004901E2" w:rsidP="004901E2">
      <w:pPr>
        <w:spacing w:after="0" w:line="240" w:lineRule="auto"/>
        <w:rPr>
          <w:rFonts w:ascii="Tahoma" w:hAnsi="Tahoma" w:cs="Tahoma"/>
          <w:sz w:val="24"/>
          <w:szCs w:val="24"/>
        </w:rPr>
      </w:pPr>
    </w:p>
    <w:p w:rsidR="004901E2" w:rsidRDefault="004901E2" w:rsidP="004901E2">
      <w:pPr>
        <w:spacing w:after="0" w:line="240" w:lineRule="auto"/>
        <w:rPr>
          <w:rFonts w:ascii="Tahoma" w:hAnsi="Tahoma" w:cs="Tahoma"/>
          <w:sz w:val="24"/>
          <w:szCs w:val="24"/>
        </w:rPr>
      </w:pPr>
    </w:p>
    <w:p w:rsidR="004901E2" w:rsidRPr="0048682C" w:rsidRDefault="004901E2" w:rsidP="004901E2">
      <w:pPr>
        <w:spacing w:after="0" w:line="240" w:lineRule="auto"/>
        <w:rPr>
          <w:rFonts w:ascii="Tahoma" w:hAnsi="Tahoma" w:cs="Tahoma"/>
          <w:b/>
          <w:sz w:val="24"/>
          <w:szCs w:val="24"/>
        </w:rPr>
      </w:pPr>
      <w:r w:rsidRPr="0048682C">
        <w:rPr>
          <w:rFonts w:ascii="Tahoma" w:hAnsi="Tahoma" w:cs="Tahoma"/>
          <w:b/>
          <w:sz w:val="24"/>
          <w:szCs w:val="24"/>
        </w:rPr>
        <w:t>FUNGAI JENA</w:t>
      </w:r>
      <w:r w:rsidRPr="0048682C">
        <w:rPr>
          <w:rFonts w:ascii="Tahoma" w:hAnsi="Tahoma" w:cs="Tahoma"/>
          <w:b/>
          <w:sz w:val="24"/>
          <w:szCs w:val="24"/>
        </w:rPr>
        <w:tab/>
      </w:r>
      <w:r w:rsidRPr="0048682C">
        <w:rPr>
          <w:rFonts w:ascii="Tahoma" w:hAnsi="Tahoma" w:cs="Tahoma"/>
          <w:b/>
          <w:sz w:val="24"/>
          <w:szCs w:val="24"/>
        </w:rPr>
        <w:tab/>
      </w:r>
      <w:r w:rsidRPr="0048682C">
        <w:rPr>
          <w:rFonts w:ascii="Tahoma" w:hAnsi="Tahoma" w:cs="Tahoma"/>
          <w:b/>
          <w:sz w:val="24"/>
          <w:szCs w:val="24"/>
        </w:rPr>
        <w:tab/>
      </w:r>
      <w:r w:rsidRPr="0048682C">
        <w:rPr>
          <w:rFonts w:ascii="Tahoma" w:hAnsi="Tahoma" w:cs="Tahoma"/>
          <w:b/>
          <w:sz w:val="24"/>
          <w:szCs w:val="24"/>
        </w:rPr>
        <w:tab/>
      </w:r>
      <w:r w:rsidRPr="0048682C">
        <w:rPr>
          <w:rFonts w:ascii="Tahoma" w:hAnsi="Tahoma" w:cs="Tahoma"/>
          <w:b/>
          <w:sz w:val="24"/>
          <w:szCs w:val="24"/>
        </w:rPr>
        <w:tab/>
      </w:r>
      <w:r w:rsidRPr="0048682C">
        <w:rPr>
          <w:rFonts w:ascii="Tahoma" w:hAnsi="Tahoma" w:cs="Tahoma"/>
          <w:b/>
          <w:sz w:val="24"/>
          <w:szCs w:val="24"/>
        </w:rPr>
        <w:tab/>
      </w:r>
      <w:r w:rsidRPr="0048682C">
        <w:rPr>
          <w:rFonts w:ascii="Tahoma" w:hAnsi="Tahoma" w:cs="Tahoma"/>
          <w:b/>
          <w:sz w:val="24"/>
          <w:szCs w:val="24"/>
        </w:rPr>
        <w:tab/>
        <w:t>APPELLANT</w:t>
      </w:r>
    </w:p>
    <w:p w:rsidR="004901E2" w:rsidRDefault="004901E2" w:rsidP="004901E2">
      <w:pPr>
        <w:spacing w:after="0" w:line="240" w:lineRule="auto"/>
        <w:rPr>
          <w:rFonts w:ascii="Tahoma" w:hAnsi="Tahoma" w:cs="Tahoma"/>
          <w:sz w:val="24"/>
          <w:szCs w:val="24"/>
        </w:rPr>
      </w:pPr>
    </w:p>
    <w:p w:rsidR="004901E2" w:rsidRDefault="004901E2" w:rsidP="004901E2">
      <w:pPr>
        <w:spacing w:after="0" w:line="240" w:lineRule="auto"/>
        <w:rPr>
          <w:rFonts w:ascii="Tahoma" w:hAnsi="Tahoma" w:cs="Tahoma"/>
          <w:sz w:val="24"/>
          <w:szCs w:val="24"/>
        </w:rPr>
      </w:pPr>
      <w:r>
        <w:rPr>
          <w:rFonts w:ascii="Tahoma" w:hAnsi="Tahoma" w:cs="Tahoma"/>
          <w:sz w:val="24"/>
          <w:szCs w:val="24"/>
        </w:rPr>
        <w:t>Versus</w:t>
      </w:r>
    </w:p>
    <w:p w:rsidR="004901E2" w:rsidRDefault="004901E2" w:rsidP="004901E2">
      <w:pPr>
        <w:spacing w:after="0" w:line="240" w:lineRule="auto"/>
        <w:rPr>
          <w:rFonts w:ascii="Tahoma" w:hAnsi="Tahoma" w:cs="Tahoma"/>
          <w:sz w:val="24"/>
          <w:szCs w:val="24"/>
        </w:rPr>
      </w:pPr>
    </w:p>
    <w:p w:rsidR="004901E2" w:rsidRPr="0048682C" w:rsidRDefault="004901E2" w:rsidP="004901E2">
      <w:pPr>
        <w:spacing w:after="0" w:line="240" w:lineRule="auto"/>
        <w:rPr>
          <w:rFonts w:ascii="Tahoma" w:hAnsi="Tahoma" w:cs="Tahoma"/>
          <w:b/>
          <w:sz w:val="24"/>
          <w:szCs w:val="24"/>
        </w:rPr>
      </w:pPr>
      <w:r w:rsidRPr="0048682C">
        <w:rPr>
          <w:rFonts w:ascii="Tahoma" w:hAnsi="Tahoma" w:cs="Tahoma"/>
          <w:b/>
          <w:sz w:val="24"/>
          <w:szCs w:val="24"/>
        </w:rPr>
        <w:t>NEC FOR FOOD AND ALLIED INDUSTRIES</w:t>
      </w:r>
      <w:r w:rsidRPr="0048682C">
        <w:rPr>
          <w:rFonts w:ascii="Tahoma" w:hAnsi="Tahoma" w:cs="Tahoma"/>
          <w:b/>
          <w:sz w:val="24"/>
          <w:szCs w:val="24"/>
        </w:rPr>
        <w:tab/>
      </w:r>
      <w:r w:rsidRPr="0048682C">
        <w:rPr>
          <w:rFonts w:ascii="Tahoma" w:hAnsi="Tahoma" w:cs="Tahoma"/>
          <w:b/>
          <w:sz w:val="24"/>
          <w:szCs w:val="24"/>
        </w:rPr>
        <w:tab/>
      </w:r>
      <w:r w:rsidRPr="0048682C">
        <w:rPr>
          <w:rFonts w:ascii="Tahoma" w:hAnsi="Tahoma" w:cs="Tahoma"/>
          <w:b/>
          <w:sz w:val="24"/>
          <w:szCs w:val="24"/>
        </w:rPr>
        <w:tab/>
        <w:t>RESPONDENT</w:t>
      </w:r>
    </w:p>
    <w:p w:rsidR="004901E2" w:rsidRDefault="004901E2" w:rsidP="004901E2">
      <w:pPr>
        <w:spacing w:after="0" w:line="240" w:lineRule="auto"/>
        <w:rPr>
          <w:rFonts w:ascii="Tahoma" w:hAnsi="Tahoma" w:cs="Tahoma"/>
          <w:sz w:val="24"/>
          <w:szCs w:val="24"/>
        </w:rPr>
      </w:pPr>
    </w:p>
    <w:p w:rsidR="004901E2" w:rsidRDefault="004901E2" w:rsidP="004901E2">
      <w:pPr>
        <w:spacing w:after="0" w:line="240" w:lineRule="auto"/>
        <w:rPr>
          <w:rFonts w:ascii="Tahoma" w:hAnsi="Tahoma" w:cs="Tahoma"/>
          <w:sz w:val="24"/>
          <w:szCs w:val="24"/>
        </w:rPr>
      </w:pPr>
    </w:p>
    <w:p w:rsidR="004901E2" w:rsidRDefault="004901E2" w:rsidP="004901E2">
      <w:pPr>
        <w:spacing w:after="0" w:line="240" w:lineRule="auto"/>
        <w:rPr>
          <w:rFonts w:ascii="Tahoma" w:hAnsi="Tahoma" w:cs="Tahoma"/>
          <w:sz w:val="24"/>
          <w:szCs w:val="24"/>
        </w:rPr>
      </w:pPr>
      <w:r>
        <w:rPr>
          <w:rFonts w:ascii="Tahoma" w:hAnsi="Tahoma" w:cs="Tahoma"/>
          <w:sz w:val="24"/>
          <w:szCs w:val="24"/>
        </w:rPr>
        <w:t xml:space="preserve">Before The Honourable P </w:t>
      </w:r>
      <w:proofErr w:type="spellStart"/>
      <w:r>
        <w:rPr>
          <w:rFonts w:ascii="Tahoma" w:hAnsi="Tahoma" w:cs="Tahoma"/>
          <w:sz w:val="24"/>
          <w:szCs w:val="24"/>
        </w:rPr>
        <w:t>Muzofa</w:t>
      </w:r>
      <w:proofErr w:type="spellEnd"/>
      <w:r>
        <w:rPr>
          <w:rFonts w:ascii="Tahoma" w:hAnsi="Tahoma" w:cs="Tahoma"/>
          <w:sz w:val="24"/>
          <w:szCs w:val="24"/>
        </w:rPr>
        <w:t xml:space="preserve">   :  Judge</w:t>
      </w:r>
    </w:p>
    <w:p w:rsidR="004901E2" w:rsidRDefault="004901E2" w:rsidP="004901E2">
      <w:pPr>
        <w:spacing w:after="0" w:line="240" w:lineRule="auto"/>
        <w:rPr>
          <w:rFonts w:ascii="Tahoma" w:hAnsi="Tahoma" w:cs="Tahoma"/>
          <w:sz w:val="24"/>
          <w:szCs w:val="24"/>
        </w:rPr>
      </w:pPr>
    </w:p>
    <w:p w:rsidR="004901E2" w:rsidRPr="0048682C" w:rsidRDefault="004901E2" w:rsidP="004901E2">
      <w:pPr>
        <w:spacing w:after="0" w:line="240" w:lineRule="auto"/>
        <w:rPr>
          <w:rFonts w:ascii="Tahoma" w:hAnsi="Tahoma" w:cs="Tahoma"/>
          <w:b/>
          <w:sz w:val="24"/>
          <w:szCs w:val="24"/>
        </w:rPr>
      </w:pPr>
      <w:r w:rsidRPr="0048682C">
        <w:rPr>
          <w:rFonts w:ascii="Tahoma" w:hAnsi="Tahoma" w:cs="Tahoma"/>
          <w:b/>
          <w:sz w:val="24"/>
          <w:szCs w:val="24"/>
        </w:rPr>
        <w:t>For the Appellant</w:t>
      </w:r>
      <w:r w:rsidRPr="0048682C">
        <w:rPr>
          <w:rFonts w:ascii="Tahoma" w:hAnsi="Tahoma" w:cs="Tahoma"/>
          <w:b/>
          <w:sz w:val="24"/>
          <w:szCs w:val="24"/>
        </w:rPr>
        <w:tab/>
      </w:r>
      <w:r w:rsidR="0048682C">
        <w:rPr>
          <w:rFonts w:ascii="Tahoma" w:hAnsi="Tahoma" w:cs="Tahoma"/>
          <w:b/>
          <w:sz w:val="24"/>
          <w:szCs w:val="24"/>
        </w:rPr>
        <w:t xml:space="preserve">      </w:t>
      </w:r>
      <w:r w:rsidRPr="0048682C">
        <w:rPr>
          <w:rFonts w:ascii="Tahoma" w:hAnsi="Tahoma" w:cs="Tahoma"/>
          <w:b/>
          <w:sz w:val="24"/>
          <w:szCs w:val="24"/>
        </w:rPr>
        <w:t xml:space="preserve">T </w:t>
      </w:r>
      <w:proofErr w:type="spellStart"/>
      <w:r w:rsidRPr="0048682C">
        <w:rPr>
          <w:rFonts w:ascii="Tahoma" w:hAnsi="Tahoma" w:cs="Tahoma"/>
          <w:b/>
          <w:sz w:val="24"/>
          <w:szCs w:val="24"/>
        </w:rPr>
        <w:t>Marume</w:t>
      </w:r>
      <w:proofErr w:type="spellEnd"/>
      <w:r w:rsidRPr="0048682C">
        <w:rPr>
          <w:rFonts w:ascii="Tahoma" w:hAnsi="Tahoma" w:cs="Tahoma"/>
          <w:b/>
          <w:sz w:val="24"/>
          <w:szCs w:val="24"/>
        </w:rPr>
        <w:t xml:space="preserve">   (Legal Practitioner)</w:t>
      </w:r>
    </w:p>
    <w:p w:rsidR="004901E2" w:rsidRPr="0048682C" w:rsidRDefault="004901E2" w:rsidP="004901E2">
      <w:pPr>
        <w:spacing w:after="0" w:line="240" w:lineRule="auto"/>
        <w:rPr>
          <w:rFonts w:ascii="Tahoma" w:hAnsi="Tahoma" w:cs="Tahoma"/>
          <w:b/>
          <w:sz w:val="24"/>
          <w:szCs w:val="24"/>
        </w:rPr>
      </w:pPr>
    </w:p>
    <w:p w:rsidR="004901E2" w:rsidRPr="0048682C" w:rsidRDefault="004901E2" w:rsidP="004901E2">
      <w:pPr>
        <w:spacing w:after="0" w:line="240" w:lineRule="auto"/>
        <w:rPr>
          <w:rFonts w:ascii="Tahoma" w:hAnsi="Tahoma" w:cs="Tahoma"/>
          <w:b/>
          <w:sz w:val="24"/>
          <w:szCs w:val="24"/>
        </w:rPr>
      </w:pPr>
      <w:r w:rsidRPr="0048682C">
        <w:rPr>
          <w:rFonts w:ascii="Tahoma" w:hAnsi="Tahoma" w:cs="Tahoma"/>
          <w:b/>
          <w:sz w:val="24"/>
          <w:szCs w:val="24"/>
        </w:rPr>
        <w:t xml:space="preserve">For the Respondent   F </w:t>
      </w:r>
      <w:proofErr w:type="spellStart"/>
      <w:r w:rsidRPr="0048682C">
        <w:rPr>
          <w:rFonts w:ascii="Tahoma" w:hAnsi="Tahoma" w:cs="Tahoma"/>
          <w:b/>
          <w:sz w:val="24"/>
          <w:szCs w:val="24"/>
        </w:rPr>
        <w:t>Mahere</w:t>
      </w:r>
      <w:proofErr w:type="spellEnd"/>
      <w:r w:rsidRPr="0048682C">
        <w:rPr>
          <w:rFonts w:ascii="Tahoma" w:hAnsi="Tahoma" w:cs="Tahoma"/>
          <w:b/>
          <w:sz w:val="24"/>
          <w:szCs w:val="24"/>
        </w:rPr>
        <w:t xml:space="preserve"> (Advocate)</w:t>
      </w:r>
    </w:p>
    <w:p w:rsidR="004901E2" w:rsidRDefault="004901E2" w:rsidP="004901E2">
      <w:pPr>
        <w:spacing w:after="0" w:line="240" w:lineRule="auto"/>
        <w:rPr>
          <w:rFonts w:ascii="Tahoma" w:hAnsi="Tahoma" w:cs="Tahoma"/>
          <w:sz w:val="24"/>
          <w:szCs w:val="24"/>
        </w:rPr>
      </w:pPr>
    </w:p>
    <w:p w:rsidR="004901E2" w:rsidRDefault="004901E2" w:rsidP="004901E2">
      <w:pPr>
        <w:spacing w:after="0" w:line="240" w:lineRule="auto"/>
        <w:rPr>
          <w:rFonts w:ascii="Tahoma" w:hAnsi="Tahoma" w:cs="Tahoma"/>
          <w:sz w:val="24"/>
          <w:szCs w:val="24"/>
        </w:rPr>
      </w:pPr>
    </w:p>
    <w:p w:rsidR="004901E2" w:rsidRPr="0048682C" w:rsidRDefault="004901E2" w:rsidP="004901E2">
      <w:pPr>
        <w:spacing w:after="0" w:line="240" w:lineRule="auto"/>
        <w:rPr>
          <w:rFonts w:ascii="Tahoma" w:hAnsi="Tahoma" w:cs="Tahoma"/>
          <w:b/>
          <w:sz w:val="24"/>
          <w:szCs w:val="24"/>
        </w:rPr>
      </w:pPr>
      <w:r w:rsidRPr="0048682C">
        <w:rPr>
          <w:rFonts w:ascii="Tahoma" w:hAnsi="Tahoma" w:cs="Tahoma"/>
          <w:b/>
          <w:sz w:val="24"/>
          <w:szCs w:val="24"/>
        </w:rPr>
        <w:t>MUZOFA J:</w:t>
      </w:r>
    </w:p>
    <w:p w:rsidR="004901E2" w:rsidRDefault="004901E2" w:rsidP="004901E2">
      <w:pPr>
        <w:spacing w:after="0" w:line="240" w:lineRule="auto"/>
        <w:rPr>
          <w:rFonts w:ascii="Tahoma" w:hAnsi="Tahoma" w:cs="Tahoma"/>
          <w:sz w:val="24"/>
          <w:szCs w:val="24"/>
        </w:rPr>
      </w:pPr>
    </w:p>
    <w:p w:rsidR="004901E2" w:rsidRDefault="004901E2" w:rsidP="0048682C">
      <w:pPr>
        <w:spacing w:after="0" w:line="360" w:lineRule="auto"/>
        <w:ind w:firstLine="720"/>
        <w:jc w:val="both"/>
        <w:rPr>
          <w:rFonts w:ascii="Tahoma" w:hAnsi="Tahoma" w:cs="Tahoma"/>
          <w:sz w:val="24"/>
          <w:szCs w:val="24"/>
        </w:rPr>
      </w:pPr>
      <w:r>
        <w:rPr>
          <w:rFonts w:ascii="Tahoma" w:hAnsi="Tahoma" w:cs="Tahoma"/>
          <w:sz w:val="24"/>
          <w:szCs w:val="24"/>
        </w:rPr>
        <w:t>On the date of hearing this appeal, a preliminary point was raised by the respondent that the appellant had failed or neglected to comply with the order of</w:t>
      </w:r>
      <w:r w:rsidR="002D3D56">
        <w:rPr>
          <w:rFonts w:ascii="Tahoma" w:hAnsi="Tahoma" w:cs="Tahoma"/>
          <w:sz w:val="24"/>
          <w:szCs w:val="24"/>
        </w:rPr>
        <w:t xml:space="preserve"> the</w:t>
      </w:r>
      <w:r>
        <w:rPr>
          <w:rFonts w:ascii="Tahoma" w:hAnsi="Tahoma" w:cs="Tahoma"/>
          <w:sz w:val="24"/>
          <w:szCs w:val="24"/>
        </w:rPr>
        <w:t xml:space="preserve"> disciplinary authority.</w:t>
      </w:r>
    </w:p>
    <w:p w:rsidR="004901E2" w:rsidRDefault="004901E2" w:rsidP="0048682C">
      <w:pPr>
        <w:spacing w:after="0" w:line="240" w:lineRule="auto"/>
        <w:ind w:firstLine="720"/>
        <w:jc w:val="both"/>
        <w:rPr>
          <w:rFonts w:ascii="Tahoma" w:hAnsi="Tahoma" w:cs="Tahoma"/>
          <w:sz w:val="24"/>
          <w:szCs w:val="24"/>
        </w:rPr>
      </w:pPr>
    </w:p>
    <w:p w:rsidR="004901E2" w:rsidRDefault="004901E2" w:rsidP="0048682C">
      <w:pPr>
        <w:spacing w:after="0" w:line="360" w:lineRule="auto"/>
        <w:ind w:firstLine="720"/>
        <w:jc w:val="both"/>
        <w:rPr>
          <w:rFonts w:ascii="Tahoma" w:hAnsi="Tahoma" w:cs="Tahoma"/>
          <w:sz w:val="24"/>
          <w:szCs w:val="24"/>
        </w:rPr>
      </w:pPr>
      <w:r>
        <w:rPr>
          <w:rFonts w:ascii="Tahoma" w:hAnsi="Tahoma" w:cs="Tahoma"/>
          <w:sz w:val="24"/>
          <w:szCs w:val="24"/>
        </w:rPr>
        <w:t>The appellant was employed as the General Secretary of the Respondent. The appellant was charged and appeared before a disciplinary authority. The appellant was dismissed and ordered to hand over all of the respondent’s assets in his possession no later than 4.00 p.m. on 5 June 2014. The appellant noted an appeal to the Appeals Committee. He however had not handed over the assets. The respondent raised a preliminary point before the Appeals Committee that the appellant had failed to comply with the disciplinary authority’s order and therefore should not be heard. The appeals committee did not decide on the issue citing it was unnecessary to address the issue having addressed the merits of the appeal.</w:t>
      </w:r>
    </w:p>
    <w:p w:rsidR="004901E2" w:rsidRDefault="004901E2" w:rsidP="0048682C">
      <w:pPr>
        <w:spacing w:after="0" w:line="240" w:lineRule="auto"/>
        <w:ind w:firstLine="720"/>
        <w:jc w:val="both"/>
        <w:rPr>
          <w:rFonts w:ascii="Tahoma" w:hAnsi="Tahoma" w:cs="Tahoma"/>
          <w:sz w:val="24"/>
          <w:szCs w:val="24"/>
        </w:rPr>
      </w:pPr>
    </w:p>
    <w:p w:rsidR="004901E2" w:rsidRDefault="004901E2" w:rsidP="0048682C">
      <w:pPr>
        <w:spacing w:after="0" w:line="360" w:lineRule="auto"/>
        <w:ind w:firstLine="720"/>
        <w:jc w:val="both"/>
        <w:rPr>
          <w:rFonts w:ascii="Tahoma" w:hAnsi="Tahoma" w:cs="Tahoma"/>
          <w:sz w:val="24"/>
          <w:szCs w:val="24"/>
        </w:rPr>
      </w:pPr>
      <w:r>
        <w:rPr>
          <w:rFonts w:ascii="Tahoma" w:hAnsi="Tahoma" w:cs="Tahoma"/>
          <w:sz w:val="24"/>
          <w:szCs w:val="24"/>
        </w:rPr>
        <w:t xml:space="preserve">The respondent submitted that the order of the disciplinary authority was still </w:t>
      </w:r>
      <w:proofErr w:type="gramStart"/>
      <w:r>
        <w:rPr>
          <w:rFonts w:ascii="Tahoma" w:hAnsi="Tahoma" w:cs="Tahoma"/>
          <w:sz w:val="24"/>
          <w:szCs w:val="24"/>
        </w:rPr>
        <w:t>valid,</w:t>
      </w:r>
      <w:proofErr w:type="gramEnd"/>
      <w:r>
        <w:rPr>
          <w:rFonts w:ascii="Tahoma" w:hAnsi="Tahoma" w:cs="Tahoma"/>
          <w:sz w:val="24"/>
          <w:szCs w:val="24"/>
        </w:rPr>
        <w:t xml:space="preserve"> it had not been set aside. Further to that it was submitted </w:t>
      </w:r>
      <w:proofErr w:type="gramStart"/>
      <w:r>
        <w:rPr>
          <w:rFonts w:ascii="Tahoma" w:hAnsi="Tahoma" w:cs="Tahoma"/>
          <w:sz w:val="24"/>
          <w:szCs w:val="24"/>
        </w:rPr>
        <w:t>that in terms</w:t>
      </w:r>
      <w:proofErr w:type="gramEnd"/>
      <w:r>
        <w:rPr>
          <w:rFonts w:ascii="Tahoma" w:hAnsi="Tahoma" w:cs="Tahoma"/>
          <w:sz w:val="24"/>
          <w:szCs w:val="24"/>
        </w:rPr>
        <w:t xml:space="preserve"> of </w:t>
      </w:r>
      <w:r>
        <w:rPr>
          <w:rFonts w:ascii="Tahoma" w:hAnsi="Tahoma" w:cs="Tahoma"/>
          <w:sz w:val="24"/>
          <w:szCs w:val="24"/>
        </w:rPr>
        <w:lastRenderedPageBreak/>
        <w:t>section 92 E (2) of the Labour Act</w:t>
      </w:r>
      <w:r w:rsidR="00B66B25">
        <w:rPr>
          <w:rFonts w:ascii="Tahoma" w:hAnsi="Tahoma" w:cs="Tahoma"/>
          <w:sz w:val="24"/>
          <w:szCs w:val="24"/>
        </w:rPr>
        <w:t xml:space="preserve"> [</w:t>
      </w:r>
      <w:r w:rsidR="00B66B25">
        <w:rPr>
          <w:rFonts w:ascii="Tahoma" w:hAnsi="Tahoma" w:cs="Tahoma"/>
          <w:i/>
          <w:sz w:val="24"/>
          <w:szCs w:val="24"/>
        </w:rPr>
        <w:t>Cap</w:t>
      </w:r>
      <w:r w:rsidR="00B66B25">
        <w:rPr>
          <w:rFonts w:ascii="Tahoma" w:hAnsi="Tahoma" w:cs="Tahoma"/>
          <w:sz w:val="24"/>
          <w:szCs w:val="24"/>
        </w:rPr>
        <w:t xml:space="preserve"> </w:t>
      </w:r>
      <w:r w:rsidR="00B66B25">
        <w:rPr>
          <w:rFonts w:ascii="Tahoma" w:hAnsi="Tahoma" w:cs="Tahoma"/>
          <w:i/>
          <w:sz w:val="24"/>
          <w:szCs w:val="24"/>
        </w:rPr>
        <w:t>28</w:t>
      </w:r>
      <w:r w:rsidR="00B66B25">
        <w:rPr>
          <w:rFonts w:ascii="Tahoma" w:hAnsi="Tahoma" w:cs="Tahoma"/>
          <w:sz w:val="24"/>
          <w:szCs w:val="24"/>
        </w:rPr>
        <w:t>:</w:t>
      </w:r>
      <w:r w:rsidR="00B66B25">
        <w:rPr>
          <w:rFonts w:ascii="Tahoma" w:hAnsi="Tahoma" w:cs="Tahoma"/>
          <w:i/>
          <w:sz w:val="24"/>
          <w:szCs w:val="24"/>
        </w:rPr>
        <w:t>01</w:t>
      </w:r>
      <w:r w:rsidR="00B66B25">
        <w:rPr>
          <w:rFonts w:ascii="Tahoma" w:hAnsi="Tahoma" w:cs="Tahoma"/>
          <w:sz w:val="24"/>
          <w:szCs w:val="24"/>
        </w:rPr>
        <w:t>] “the Act” an appeal does not suspend the determination appealed against.</w:t>
      </w:r>
    </w:p>
    <w:p w:rsidR="00B66B25" w:rsidRDefault="00B66B25" w:rsidP="0048682C">
      <w:pPr>
        <w:spacing w:after="0" w:line="240" w:lineRule="auto"/>
        <w:ind w:firstLine="720"/>
        <w:jc w:val="both"/>
        <w:rPr>
          <w:rFonts w:ascii="Tahoma" w:hAnsi="Tahoma" w:cs="Tahoma"/>
          <w:sz w:val="24"/>
          <w:szCs w:val="24"/>
        </w:rPr>
      </w:pPr>
    </w:p>
    <w:p w:rsidR="00B66B25" w:rsidRDefault="00B66B25" w:rsidP="0048682C">
      <w:pPr>
        <w:spacing w:after="0" w:line="360" w:lineRule="auto"/>
        <w:ind w:firstLine="720"/>
        <w:jc w:val="both"/>
        <w:rPr>
          <w:rFonts w:ascii="Tahoma" w:hAnsi="Tahoma" w:cs="Tahoma"/>
          <w:sz w:val="24"/>
          <w:szCs w:val="24"/>
        </w:rPr>
      </w:pPr>
      <w:r>
        <w:rPr>
          <w:rFonts w:ascii="Tahoma" w:hAnsi="Tahoma" w:cs="Tahoma"/>
          <w:sz w:val="24"/>
          <w:szCs w:val="24"/>
        </w:rPr>
        <w:t xml:space="preserve">The appellant in response argued that the preliminary point raised should be dismissed on the basis that the respondent had instituted proceedings before the High Court to recover the said property. Secondly that the Appeals Committee had dismissed the preliminary point and the respondent had not appealed against that decision. I must point out that the second argument is based on </w:t>
      </w:r>
      <w:proofErr w:type="gramStart"/>
      <w:r>
        <w:rPr>
          <w:rFonts w:ascii="Tahoma" w:hAnsi="Tahoma" w:cs="Tahoma"/>
          <w:sz w:val="24"/>
          <w:szCs w:val="24"/>
        </w:rPr>
        <w:t>an</w:t>
      </w:r>
      <w:proofErr w:type="gramEnd"/>
      <w:r>
        <w:rPr>
          <w:rFonts w:ascii="Tahoma" w:hAnsi="Tahoma" w:cs="Tahoma"/>
          <w:sz w:val="24"/>
          <w:szCs w:val="24"/>
        </w:rPr>
        <w:t xml:space="preserve"> misinterpretation, the Appeals Committee did not dismiss the preliminary point, but it found it unnecessary to deal with the preliminary point. This argument therefore falls away. It must be pointed out that the Appeals Committee was enjoined to make a determination on the preliminary issue. Instead it proceeded as if there was no such application before it. The Appeals Committee erred in that regard see </w:t>
      </w:r>
      <w:r>
        <w:rPr>
          <w:rFonts w:ascii="Tahoma" w:hAnsi="Tahoma" w:cs="Tahoma"/>
          <w:i/>
          <w:sz w:val="24"/>
          <w:szCs w:val="24"/>
        </w:rPr>
        <w:t>Grain Marketing Board</w:t>
      </w:r>
      <w:r>
        <w:rPr>
          <w:rFonts w:ascii="Tahoma" w:hAnsi="Tahoma" w:cs="Tahoma"/>
          <w:sz w:val="24"/>
          <w:szCs w:val="24"/>
        </w:rPr>
        <w:t xml:space="preserve"> v </w:t>
      </w:r>
      <w:r>
        <w:rPr>
          <w:rFonts w:ascii="Tahoma" w:hAnsi="Tahoma" w:cs="Tahoma"/>
          <w:i/>
          <w:sz w:val="24"/>
          <w:szCs w:val="24"/>
        </w:rPr>
        <w:t xml:space="preserve">Martin </w:t>
      </w:r>
      <w:proofErr w:type="spellStart"/>
      <w:r>
        <w:rPr>
          <w:rFonts w:ascii="Tahoma" w:hAnsi="Tahoma" w:cs="Tahoma"/>
          <w:i/>
          <w:sz w:val="24"/>
          <w:szCs w:val="24"/>
        </w:rPr>
        <w:t>Muchero</w:t>
      </w:r>
      <w:proofErr w:type="spellEnd"/>
      <w:r>
        <w:rPr>
          <w:rFonts w:ascii="Tahoma" w:hAnsi="Tahoma" w:cs="Tahoma"/>
          <w:sz w:val="24"/>
          <w:szCs w:val="24"/>
        </w:rPr>
        <w:t xml:space="preserve"> SC-59-07 and </w:t>
      </w:r>
      <w:r>
        <w:rPr>
          <w:rFonts w:ascii="Tahoma" w:hAnsi="Tahoma" w:cs="Tahoma"/>
          <w:i/>
          <w:sz w:val="24"/>
          <w:szCs w:val="24"/>
        </w:rPr>
        <w:t>Heywood Investments</w:t>
      </w:r>
      <w:r>
        <w:rPr>
          <w:rFonts w:ascii="Tahoma" w:hAnsi="Tahoma" w:cs="Tahoma"/>
          <w:sz w:val="24"/>
          <w:szCs w:val="24"/>
        </w:rPr>
        <w:t xml:space="preserve"> (</w:t>
      </w:r>
      <w:r>
        <w:rPr>
          <w:rFonts w:ascii="Tahoma" w:hAnsi="Tahoma" w:cs="Tahoma"/>
          <w:i/>
          <w:sz w:val="24"/>
          <w:szCs w:val="24"/>
        </w:rPr>
        <w:t>Pvt</w:t>
      </w:r>
      <w:r>
        <w:rPr>
          <w:rFonts w:ascii="Tahoma" w:hAnsi="Tahoma" w:cs="Tahoma"/>
          <w:sz w:val="24"/>
          <w:szCs w:val="24"/>
        </w:rPr>
        <w:t xml:space="preserve">) </w:t>
      </w:r>
      <w:r w:rsidRPr="00B66B25">
        <w:rPr>
          <w:rFonts w:ascii="Tahoma" w:hAnsi="Tahoma" w:cs="Tahoma"/>
          <w:i/>
          <w:sz w:val="24"/>
          <w:szCs w:val="24"/>
        </w:rPr>
        <w:t xml:space="preserve">Limited </w:t>
      </w:r>
      <w:r>
        <w:rPr>
          <w:rFonts w:ascii="Tahoma" w:hAnsi="Tahoma" w:cs="Tahoma"/>
          <w:sz w:val="24"/>
          <w:szCs w:val="24"/>
        </w:rPr>
        <w:t xml:space="preserve">t/a </w:t>
      </w:r>
      <w:r>
        <w:rPr>
          <w:rFonts w:ascii="Tahoma" w:hAnsi="Tahoma" w:cs="Tahoma"/>
          <w:i/>
          <w:sz w:val="24"/>
          <w:szCs w:val="24"/>
        </w:rPr>
        <w:t>GDC Haulers</w:t>
      </w:r>
      <w:r>
        <w:rPr>
          <w:rFonts w:ascii="Tahoma" w:hAnsi="Tahoma" w:cs="Tahoma"/>
          <w:sz w:val="24"/>
          <w:szCs w:val="24"/>
        </w:rPr>
        <w:t xml:space="preserve"> v </w:t>
      </w:r>
      <w:r>
        <w:rPr>
          <w:rFonts w:ascii="Tahoma" w:hAnsi="Tahoma" w:cs="Tahoma"/>
          <w:i/>
          <w:sz w:val="24"/>
          <w:szCs w:val="24"/>
        </w:rPr>
        <w:t xml:space="preserve">Pharaoh </w:t>
      </w:r>
      <w:proofErr w:type="spellStart"/>
      <w:r>
        <w:rPr>
          <w:rFonts w:ascii="Tahoma" w:hAnsi="Tahoma" w:cs="Tahoma"/>
          <w:i/>
          <w:sz w:val="24"/>
          <w:szCs w:val="24"/>
        </w:rPr>
        <w:t>Zakeyo</w:t>
      </w:r>
      <w:proofErr w:type="spellEnd"/>
      <w:r>
        <w:rPr>
          <w:rFonts w:ascii="Tahoma" w:hAnsi="Tahoma" w:cs="Tahoma"/>
          <w:sz w:val="24"/>
          <w:szCs w:val="24"/>
        </w:rPr>
        <w:t xml:space="preserve"> SC-32-13.</w:t>
      </w:r>
    </w:p>
    <w:p w:rsidR="00B66B25" w:rsidRDefault="00B66B25" w:rsidP="0048682C">
      <w:pPr>
        <w:spacing w:after="0" w:line="240" w:lineRule="auto"/>
        <w:ind w:firstLine="720"/>
        <w:jc w:val="both"/>
        <w:rPr>
          <w:rFonts w:ascii="Tahoma" w:hAnsi="Tahoma" w:cs="Tahoma"/>
          <w:sz w:val="24"/>
          <w:szCs w:val="24"/>
        </w:rPr>
      </w:pPr>
    </w:p>
    <w:p w:rsidR="00B66B25" w:rsidRDefault="00B66B25" w:rsidP="0048682C">
      <w:pPr>
        <w:spacing w:after="0" w:line="360" w:lineRule="auto"/>
        <w:ind w:firstLine="720"/>
        <w:jc w:val="both"/>
        <w:rPr>
          <w:rFonts w:ascii="Tahoma" w:hAnsi="Tahoma" w:cs="Tahoma"/>
          <w:sz w:val="24"/>
          <w:szCs w:val="24"/>
        </w:rPr>
      </w:pPr>
      <w:r>
        <w:rPr>
          <w:rFonts w:ascii="Tahoma" w:hAnsi="Tahoma" w:cs="Tahoma"/>
          <w:sz w:val="24"/>
          <w:szCs w:val="24"/>
        </w:rPr>
        <w:t xml:space="preserve">It was not disputed that the appellant was ordered to surrender the respondent’s assets by a certain date and he failed to do so. This was an order by </w:t>
      </w:r>
      <w:r w:rsidR="00C32E1F">
        <w:rPr>
          <w:rFonts w:ascii="Tahoma" w:hAnsi="Tahoma" w:cs="Tahoma"/>
          <w:sz w:val="24"/>
          <w:szCs w:val="24"/>
        </w:rPr>
        <w:t xml:space="preserve">  </w:t>
      </w:r>
      <w:r>
        <w:rPr>
          <w:rFonts w:ascii="Tahoma" w:hAnsi="Tahoma" w:cs="Tahoma"/>
          <w:sz w:val="24"/>
          <w:szCs w:val="24"/>
        </w:rPr>
        <w:t>an authority. The appellant raised issue that the respondent has made an application to the High Court to recover the assets and therefore this application should fail.</w:t>
      </w:r>
    </w:p>
    <w:p w:rsidR="00B66B25" w:rsidRDefault="00B66B25" w:rsidP="0048682C">
      <w:pPr>
        <w:spacing w:after="0" w:line="240" w:lineRule="auto"/>
        <w:ind w:firstLine="720"/>
        <w:jc w:val="both"/>
        <w:rPr>
          <w:rFonts w:ascii="Tahoma" w:hAnsi="Tahoma" w:cs="Tahoma"/>
          <w:sz w:val="24"/>
          <w:szCs w:val="24"/>
        </w:rPr>
      </w:pPr>
    </w:p>
    <w:p w:rsidR="00B66B25" w:rsidRDefault="00B66B25" w:rsidP="0048682C">
      <w:pPr>
        <w:spacing w:after="0" w:line="360" w:lineRule="auto"/>
        <w:ind w:firstLine="720"/>
        <w:jc w:val="both"/>
        <w:rPr>
          <w:rFonts w:ascii="Tahoma" w:hAnsi="Tahoma" w:cs="Tahoma"/>
          <w:sz w:val="24"/>
          <w:szCs w:val="24"/>
        </w:rPr>
      </w:pPr>
      <w:r>
        <w:rPr>
          <w:rFonts w:ascii="Tahoma" w:hAnsi="Tahoma" w:cs="Tahoma"/>
          <w:sz w:val="24"/>
          <w:szCs w:val="24"/>
        </w:rPr>
        <w:t>The application before the High Court although dealing with the issue of the said assets does not invalidate the order of the disciplinary authority. The order of the disciplinary authority remained in force despite the fact that the Appe</w:t>
      </w:r>
      <w:r w:rsidR="0048682C">
        <w:rPr>
          <w:rFonts w:ascii="Tahoma" w:hAnsi="Tahoma" w:cs="Tahoma"/>
          <w:sz w:val="24"/>
          <w:szCs w:val="24"/>
        </w:rPr>
        <w:t>a</w:t>
      </w:r>
      <w:r>
        <w:rPr>
          <w:rFonts w:ascii="Tahoma" w:hAnsi="Tahoma" w:cs="Tahoma"/>
          <w:sz w:val="24"/>
          <w:szCs w:val="24"/>
        </w:rPr>
        <w:t>ls Committee did not make a ruling on it.</w:t>
      </w:r>
    </w:p>
    <w:p w:rsidR="0048682C" w:rsidRDefault="0048682C" w:rsidP="0048682C">
      <w:pPr>
        <w:spacing w:after="0" w:line="240" w:lineRule="auto"/>
        <w:ind w:firstLine="720"/>
        <w:jc w:val="both"/>
        <w:rPr>
          <w:rFonts w:ascii="Tahoma" w:hAnsi="Tahoma" w:cs="Tahoma"/>
          <w:sz w:val="24"/>
          <w:szCs w:val="24"/>
        </w:rPr>
      </w:pPr>
    </w:p>
    <w:p w:rsidR="0048682C" w:rsidRDefault="0048682C" w:rsidP="0048682C">
      <w:pPr>
        <w:spacing w:after="0" w:line="360" w:lineRule="auto"/>
        <w:ind w:firstLine="720"/>
        <w:jc w:val="both"/>
        <w:rPr>
          <w:rFonts w:ascii="Tahoma" w:hAnsi="Tahoma" w:cs="Tahoma"/>
          <w:sz w:val="24"/>
          <w:szCs w:val="24"/>
        </w:rPr>
      </w:pPr>
      <w:r>
        <w:rPr>
          <w:rFonts w:ascii="Tahoma" w:hAnsi="Tahoma" w:cs="Tahoma"/>
          <w:sz w:val="24"/>
          <w:szCs w:val="24"/>
        </w:rPr>
        <w:t xml:space="preserve">The appellant has dirty </w:t>
      </w:r>
      <w:proofErr w:type="gramStart"/>
      <w:r>
        <w:rPr>
          <w:rFonts w:ascii="Tahoma" w:hAnsi="Tahoma" w:cs="Tahoma"/>
          <w:sz w:val="24"/>
          <w:szCs w:val="24"/>
        </w:rPr>
        <w:t>hands,</w:t>
      </w:r>
      <w:proofErr w:type="gramEnd"/>
      <w:r>
        <w:rPr>
          <w:rFonts w:ascii="Tahoma" w:hAnsi="Tahoma" w:cs="Tahoma"/>
          <w:sz w:val="24"/>
          <w:szCs w:val="24"/>
        </w:rPr>
        <w:t xml:space="preserve"> he cannot seek to use the law that he is not willing to abide</w:t>
      </w:r>
      <w:r w:rsidR="002D3D56">
        <w:rPr>
          <w:rFonts w:ascii="Tahoma" w:hAnsi="Tahoma" w:cs="Tahoma"/>
          <w:sz w:val="24"/>
          <w:szCs w:val="24"/>
        </w:rPr>
        <w:t xml:space="preserve"> with by defying the</w:t>
      </w:r>
      <w:r>
        <w:rPr>
          <w:rFonts w:ascii="Tahoma" w:hAnsi="Tahoma" w:cs="Tahoma"/>
          <w:sz w:val="24"/>
          <w:szCs w:val="24"/>
        </w:rPr>
        <w:t xml:space="preserve"> order of an authority. The appellant has recourse to purge his contempt if he so wishes</w:t>
      </w:r>
      <w:r w:rsidR="002D3D56">
        <w:rPr>
          <w:rFonts w:ascii="Tahoma" w:hAnsi="Tahoma" w:cs="Tahoma"/>
          <w:sz w:val="24"/>
          <w:szCs w:val="24"/>
        </w:rPr>
        <w:t xml:space="preserve"> and then approach this court with clean hands.</w:t>
      </w:r>
    </w:p>
    <w:p w:rsidR="0048682C" w:rsidRDefault="0048682C" w:rsidP="0048682C">
      <w:pPr>
        <w:spacing w:after="0" w:line="240" w:lineRule="auto"/>
        <w:ind w:firstLine="720"/>
        <w:jc w:val="both"/>
        <w:rPr>
          <w:rFonts w:ascii="Tahoma" w:hAnsi="Tahoma" w:cs="Tahoma"/>
          <w:sz w:val="24"/>
          <w:szCs w:val="24"/>
        </w:rPr>
      </w:pPr>
    </w:p>
    <w:p w:rsidR="0048682C" w:rsidRDefault="0048682C" w:rsidP="0048682C">
      <w:pPr>
        <w:spacing w:after="0" w:line="360" w:lineRule="auto"/>
        <w:ind w:firstLine="720"/>
        <w:jc w:val="both"/>
        <w:rPr>
          <w:rFonts w:ascii="Tahoma" w:hAnsi="Tahoma" w:cs="Tahoma"/>
          <w:sz w:val="24"/>
          <w:szCs w:val="24"/>
        </w:rPr>
      </w:pPr>
      <w:r>
        <w:rPr>
          <w:rFonts w:ascii="Tahoma" w:hAnsi="Tahoma" w:cs="Tahoma"/>
          <w:sz w:val="24"/>
          <w:szCs w:val="24"/>
        </w:rPr>
        <w:t>From the foregoing the inescapable conclusion is that the preliminary point succeeds. Accordingly the following order is made:</w:t>
      </w:r>
    </w:p>
    <w:p w:rsidR="0048682C" w:rsidRDefault="0048682C" w:rsidP="0048682C">
      <w:pPr>
        <w:spacing w:after="0" w:line="240" w:lineRule="auto"/>
        <w:jc w:val="both"/>
        <w:rPr>
          <w:rFonts w:ascii="Tahoma" w:hAnsi="Tahoma" w:cs="Tahoma"/>
          <w:sz w:val="24"/>
          <w:szCs w:val="24"/>
        </w:rPr>
      </w:pPr>
    </w:p>
    <w:p w:rsidR="0048682C" w:rsidRDefault="0048682C" w:rsidP="0048682C">
      <w:pPr>
        <w:spacing w:after="0" w:line="360" w:lineRule="auto"/>
        <w:ind w:left="720"/>
        <w:jc w:val="both"/>
        <w:rPr>
          <w:rFonts w:ascii="Tahoma" w:hAnsi="Tahoma" w:cs="Tahoma"/>
          <w:sz w:val="24"/>
          <w:szCs w:val="24"/>
        </w:rPr>
      </w:pPr>
      <w:r>
        <w:rPr>
          <w:rFonts w:ascii="Tahoma" w:hAnsi="Tahoma" w:cs="Tahoma"/>
          <w:sz w:val="24"/>
          <w:szCs w:val="24"/>
        </w:rPr>
        <w:t>The appeal be and is hereby struck off the roll.</w:t>
      </w:r>
    </w:p>
    <w:p w:rsidR="0048682C" w:rsidRDefault="0048682C" w:rsidP="0048682C">
      <w:pPr>
        <w:spacing w:after="0" w:line="240" w:lineRule="auto"/>
        <w:ind w:left="720"/>
        <w:jc w:val="both"/>
        <w:rPr>
          <w:rFonts w:ascii="Tahoma" w:hAnsi="Tahoma" w:cs="Tahoma"/>
          <w:sz w:val="24"/>
          <w:szCs w:val="24"/>
        </w:rPr>
      </w:pPr>
    </w:p>
    <w:p w:rsidR="0048682C" w:rsidRDefault="0048682C" w:rsidP="0048682C">
      <w:pPr>
        <w:spacing w:after="0" w:line="360" w:lineRule="auto"/>
        <w:ind w:left="720"/>
        <w:jc w:val="both"/>
        <w:rPr>
          <w:rFonts w:ascii="Tahoma" w:hAnsi="Tahoma" w:cs="Tahoma"/>
          <w:sz w:val="24"/>
          <w:szCs w:val="24"/>
        </w:rPr>
      </w:pPr>
      <w:r>
        <w:rPr>
          <w:rFonts w:ascii="Tahoma" w:hAnsi="Tahoma" w:cs="Tahoma"/>
          <w:sz w:val="24"/>
          <w:szCs w:val="24"/>
        </w:rPr>
        <w:t>No order as to costs.</w:t>
      </w:r>
    </w:p>
    <w:p w:rsidR="0048682C" w:rsidRDefault="0048682C" w:rsidP="0048682C">
      <w:pPr>
        <w:spacing w:after="0" w:line="360" w:lineRule="auto"/>
        <w:jc w:val="both"/>
        <w:rPr>
          <w:rFonts w:ascii="Tahoma" w:hAnsi="Tahoma" w:cs="Tahoma"/>
          <w:sz w:val="24"/>
          <w:szCs w:val="24"/>
        </w:rPr>
      </w:pPr>
    </w:p>
    <w:p w:rsidR="0048682C" w:rsidRDefault="0048682C" w:rsidP="0048682C">
      <w:pPr>
        <w:spacing w:after="0" w:line="360" w:lineRule="auto"/>
        <w:jc w:val="both"/>
        <w:rPr>
          <w:rFonts w:ascii="Tahoma" w:hAnsi="Tahoma" w:cs="Tahoma"/>
          <w:sz w:val="24"/>
          <w:szCs w:val="24"/>
        </w:rPr>
      </w:pPr>
    </w:p>
    <w:p w:rsidR="0048682C" w:rsidRDefault="0048682C" w:rsidP="0048682C">
      <w:pPr>
        <w:spacing w:after="0" w:line="360" w:lineRule="auto"/>
        <w:jc w:val="both"/>
        <w:rPr>
          <w:rFonts w:ascii="Tahoma" w:hAnsi="Tahoma" w:cs="Tahoma"/>
          <w:sz w:val="24"/>
          <w:szCs w:val="24"/>
        </w:rPr>
      </w:pPr>
    </w:p>
    <w:p w:rsidR="0048682C" w:rsidRPr="0048682C" w:rsidRDefault="0048682C" w:rsidP="0048682C">
      <w:pPr>
        <w:spacing w:after="0" w:line="360" w:lineRule="auto"/>
        <w:jc w:val="both"/>
        <w:rPr>
          <w:rFonts w:ascii="Tahoma" w:hAnsi="Tahoma" w:cs="Tahoma"/>
          <w:b/>
          <w:sz w:val="24"/>
          <w:szCs w:val="24"/>
        </w:rPr>
      </w:pPr>
      <w:proofErr w:type="spellStart"/>
      <w:r w:rsidRPr="0048682C">
        <w:rPr>
          <w:rFonts w:ascii="Tahoma" w:hAnsi="Tahoma" w:cs="Tahoma"/>
          <w:b/>
          <w:i/>
          <w:sz w:val="24"/>
          <w:szCs w:val="24"/>
        </w:rPr>
        <w:t>Matsikidze</w:t>
      </w:r>
      <w:proofErr w:type="spellEnd"/>
      <w:r w:rsidRPr="0048682C">
        <w:rPr>
          <w:rFonts w:ascii="Tahoma" w:hAnsi="Tahoma" w:cs="Tahoma"/>
          <w:b/>
          <w:i/>
          <w:sz w:val="24"/>
          <w:szCs w:val="24"/>
        </w:rPr>
        <w:t xml:space="preserve"> &amp; </w:t>
      </w:r>
      <w:proofErr w:type="spellStart"/>
      <w:r w:rsidRPr="0048682C">
        <w:rPr>
          <w:rFonts w:ascii="Tahoma" w:hAnsi="Tahoma" w:cs="Tahoma"/>
          <w:b/>
          <w:i/>
          <w:sz w:val="24"/>
          <w:szCs w:val="24"/>
        </w:rPr>
        <w:t>Mucheche</w:t>
      </w:r>
      <w:proofErr w:type="spellEnd"/>
      <w:r w:rsidRPr="0048682C">
        <w:rPr>
          <w:rFonts w:ascii="Tahoma" w:hAnsi="Tahoma" w:cs="Tahoma"/>
          <w:b/>
          <w:sz w:val="24"/>
          <w:szCs w:val="24"/>
        </w:rPr>
        <w:t>, appellant’s legal practitioners</w:t>
      </w:r>
    </w:p>
    <w:p w:rsidR="0048682C" w:rsidRPr="0048682C" w:rsidRDefault="0048682C" w:rsidP="0048682C">
      <w:pPr>
        <w:spacing w:after="0" w:line="360" w:lineRule="auto"/>
        <w:rPr>
          <w:rFonts w:ascii="Tahoma" w:hAnsi="Tahoma" w:cs="Tahoma"/>
          <w:b/>
          <w:sz w:val="24"/>
          <w:szCs w:val="24"/>
        </w:rPr>
      </w:pPr>
      <w:proofErr w:type="spellStart"/>
      <w:r w:rsidRPr="0048682C">
        <w:rPr>
          <w:rFonts w:ascii="Tahoma" w:hAnsi="Tahoma" w:cs="Tahoma"/>
          <w:b/>
          <w:i/>
          <w:sz w:val="24"/>
          <w:szCs w:val="24"/>
        </w:rPr>
        <w:t>Chinawa</w:t>
      </w:r>
      <w:proofErr w:type="spellEnd"/>
      <w:r w:rsidRPr="0048682C">
        <w:rPr>
          <w:rFonts w:ascii="Tahoma" w:hAnsi="Tahoma" w:cs="Tahoma"/>
          <w:b/>
          <w:i/>
          <w:sz w:val="24"/>
          <w:szCs w:val="24"/>
        </w:rPr>
        <w:t xml:space="preserve"> Law Chambers</w:t>
      </w:r>
      <w:r w:rsidRPr="0048682C">
        <w:rPr>
          <w:rFonts w:ascii="Tahoma" w:hAnsi="Tahoma" w:cs="Tahoma"/>
          <w:b/>
          <w:sz w:val="24"/>
          <w:szCs w:val="24"/>
        </w:rPr>
        <w:t>, respondent’s legal practitioners</w:t>
      </w:r>
    </w:p>
    <w:p w:rsidR="0048682C" w:rsidRDefault="0048682C" w:rsidP="0048682C">
      <w:pPr>
        <w:spacing w:after="0" w:line="360" w:lineRule="auto"/>
        <w:ind w:firstLine="720"/>
        <w:jc w:val="both"/>
        <w:rPr>
          <w:rFonts w:ascii="Tahoma" w:hAnsi="Tahoma" w:cs="Tahoma"/>
          <w:sz w:val="24"/>
          <w:szCs w:val="24"/>
        </w:rPr>
      </w:pPr>
    </w:p>
    <w:p w:rsidR="0048682C" w:rsidRPr="00B66B25" w:rsidRDefault="0048682C" w:rsidP="0048682C">
      <w:pPr>
        <w:spacing w:after="0" w:line="360" w:lineRule="auto"/>
        <w:ind w:firstLine="720"/>
        <w:jc w:val="both"/>
        <w:rPr>
          <w:rFonts w:ascii="Tahoma" w:hAnsi="Tahoma" w:cs="Tahoma"/>
          <w:sz w:val="24"/>
          <w:szCs w:val="24"/>
        </w:rPr>
      </w:pPr>
    </w:p>
    <w:p w:rsidR="00B66B25" w:rsidRDefault="00B66B25" w:rsidP="0048682C">
      <w:pPr>
        <w:spacing w:after="0" w:line="360" w:lineRule="auto"/>
        <w:ind w:firstLine="720"/>
        <w:jc w:val="both"/>
        <w:rPr>
          <w:rFonts w:ascii="Tahoma" w:hAnsi="Tahoma" w:cs="Tahoma"/>
          <w:sz w:val="24"/>
          <w:szCs w:val="24"/>
        </w:rPr>
      </w:pPr>
    </w:p>
    <w:p w:rsidR="00B66B25" w:rsidRDefault="00B66B25" w:rsidP="0048682C">
      <w:pPr>
        <w:spacing w:after="0" w:line="360" w:lineRule="auto"/>
        <w:ind w:firstLine="720"/>
        <w:jc w:val="both"/>
        <w:rPr>
          <w:rFonts w:ascii="Tahoma" w:hAnsi="Tahoma" w:cs="Tahoma"/>
          <w:sz w:val="24"/>
          <w:szCs w:val="24"/>
        </w:rPr>
      </w:pPr>
    </w:p>
    <w:p w:rsidR="00B66B25" w:rsidRPr="00B66B25" w:rsidRDefault="00B66B25" w:rsidP="0048682C">
      <w:pPr>
        <w:spacing w:after="0" w:line="360" w:lineRule="auto"/>
        <w:ind w:firstLine="720"/>
        <w:jc w:val="both"/>
        <w:rPr>
          <w:rFonts w:ascii="Tahoma" w:hAnsi="Tahoma" w:cs="Tahoma"/>
          <w:sz w:val="24"/>
          <w:szCs w:val="24"/>
        </w:rPr>
      </w:pPr>
    </w:p>
    <w:p w:rsidR="004901E2" w:rsidRDefault="004901E2" w:rsidP="0048682C">
      <w:pPr>
        <w:spacing w:after="0" w:line="240" w:lineRule="auto"/>
        <w:ind w:left="720"/>
        <w:jc w:val="both"/>
        <w:rPr>
          <w:rFonts w:ascii="Tahoma" w:hAnsi="Tahoma" w:cs="Tahoma"/>
          <w:sz w:val="24"/>
          <w:szCs w:val="24"/>
        </w:rPr>
      </w:pPr>
    </w:p>
    <w:p w:rsidR="004901E2" w:rsidRPr="004901E2" w:rsidRDefault="004901E2" w:rsidP="0048682C">
      <w:pPr>
        <w:spacing w:after="0" w:line="240" w:lineRule="auto"/>
        <w:ind w:left="720"/>
        <w:jc w:val="both"/>
        <w:rPr>
          <w:rFonts w:ascii="Tahoma" w:hAnsi="Tahoma" w:cs="Tahoma"/>
          <w:sz w:val="24"/>
          <w:szCs w:val="24"/>
        </w:rPr>
      </w:pPr>
    </w:p>
    <w:sectPr w:rsidR="004901E2" w:rsidRPr="004901E2" w:rsidSect="0048682C">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370" w:rsidRDefault="006E2370" w:rsidP="0048682C">
      <w:pPr>
        <w:spacing w:after="0" w:line="240" w:lineRule="auto"/>
      </w:pPr>
      <w:r>
        <w:separator/>
      </w:r>
    </w:p>
  </w:endnote>
  <w:endnote w:type="continuationSeparator" w:id="0">
    <w:p w:rsidR="006E2370" w:rsidRDefault="006E2370" w:rsidP="00486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672177"/>
      <w:docPartObj>
        <w:docPartGallery w:val="Page Numbers (Bottom of Page)"/>
        <w:docPartUnique/>
      </w:docPartObj>
    </w:sdtPr>
    <w:sdtEndPr>
      <w:rPr>
        <w:noProof/>
      </w:rPr>
    </w:sdtEndPr>
    <w:sdtContent>
      <w:p w:rsidR="0048682C" w:rsidRDefault="0048682C">
        <w:pPr>
          <w:pStyle w:val="Footer"/>
          <w:jc w:val="center"/>
        </w:pPr>
        <w:r>
          <w:fldChar w:fldCharType="begin"/>
        </w:r>
        <w:r>
          <w:instrText xml:space="preserve"> PAGE   \* MERGEFORMAT </w:instrText>
        </w:r>
        <w:r>
          <w:fldChar w:fldCharType="separate"/>
        </w:r>
        <w:r w:rsidR="004478BE">
          <w:rPr>
            <w:noProof/>
          </w:rPr>
          <w:t>3</w:t>
        </w:r>
        <w:r>
          <w:rPr>
            <w:noProof/>
          </w:rPr>
          <w:fldChar w:fldCharType="end"/>
        </w:r>
      </w:p>
    </w:sdtContent>
  </w:sdt>
  <w:p w:rsidR="0048682C" w:rsidRDefault="004868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370" w:rsidRDefault="006E2370" w:rsidP="0048682C">
      <w:pPr>
        <w:spacing w:after="0" w:line="240" w:lineRule="auto"/>
      </w:pPr>
      <w:r>
        <w:separator/>
      </w:r>
    </w:p>
  </w:footnote>
  <w:footnote w:type="continuationSeparator" w:id="0">
    <w:p w:rsidR="006E2370" w:rsidRDefault="006E2370" w:rsidP="004868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82C" w:rsidRPr="0048682C" w:rsidRDefault="0048682C" w:rsidP="0048682C">
    <w:pPr>
      <w:spacing w:after="0" w:line="240" w:lineRule="auto"/>
      <w:ind w:left="4320" w:firstLine="720"/>
      <w:rPr>
        <w:rFonts w:ascii="Tahoma" w:hAnsi="Tahoma" w:cs="Tahoma"/>
        <w:b/>
        <w:sz w:val="24"/>
        <w:szCs w:val="24"/>
      </w:rPr>
    </w:pPr>
    <w:r w:rsidRPr="0048682C">
      <w:rPr>
        <w:rFonts w:ascii="Tahoma" w:hAnsi="Tahoma" w:cs="Tahoma"/>
        <w:b/>
        <w:sz w:val="24"/>
        <w:szCs w:val="24"/>
      </w:rPr>
      <w:t>JUDGMENT NO LC/H/</w:t>
    </w:r>
    <w:r w:rsidR="004478BE">
      <w:rPr>
        <w:rFonts w:ascii="Tahoma" w:hAnsi="Tahoma" w:cs="Tahoma"/>
        <w:b/>
        <w:sz w:val="24"/>
        <w:szCs w:val="24"/>
      </w:rPr>
      <w:t>841</w:t>
    </w:r>
    <w:r w:rsidRPr="0048682C">
      <w:rPr>
        <w:rFonts w:ascii="Tahoma" w:hAnsi="Tahoma" w:cs="Tahoma"/>
        <w:b/>
        <w:sz w:val="24"/>
        <w:szCs w:val="24"/>
      </w:rPr>
      <w:t>/2014</w:t>
    </w:r>
  </w:p>
  <w:p w:rsidR="0048682C" w:rsidRPr="0048682C" w:rsidRDefault="0048682C" w:rsidP="0048682C">
    <w:pPr>
      <w:spacing w:after="0" w:line="240" w:lineRule="auto"/>
      <w:rPr>
        <w:rFonts w:ascii="Tahoma" w:hAnsi="Tahoma" w:cs="Tahoma"/>
        <w:b/>
        <w:sz w:val="24"/>
        <w:szCs w:val="24"/>
      </w:rPr>
    </w:pPr>
  </w:p>
  <w:p w:rsidR="0048682C" w:rsidRDefault="004868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1E2"/>
    <w:rsid w:val="002D3D56"/>
    <w:rsid w:val="004478BE"/>
    <w:rsid w:val="0048682C"/>
    <w:rsid w:val="004901E2"/>
    <w:rsid w:val="006E2370"/>
    <w:rsid w:val="00B66B25"/>
    <w:rsid w:val="00C14EC1"/>
    <w:rsid w:val="00C32E1F"/>
    <w:rsid w:val="00F61A95"/>
    <w:rsid w:val="00F6276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82C"/>
  </w:style>
  <w:style w:type="paragraph" w:styleId="Footer">
    <w:name w:val="footer"/>
    <w:basedOn w:val="Normal"/>
    <w:link w:val="FooterChar"/>
    <w:uiPriority w:val="99"/>
    <w:unhideWhenUsed/>
    <w:rsid w:val="004868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682C"/>
  </w:style>
  <w:style w:type="paragraph" w:styleId="BalloonText">
    <w:name w:val="Balloon Text"/>
    <w:basedOn w:val="Normal"/>
    <w:link w:val="BalloonTextChar"/>
    <w:uiPriority w:val="99"/>
    <w:semiHidden/>
    <w:unhideWhenUsed/>
    <w:rsid w:val="004868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8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682C"/>
  </w:style>
  <w:style w:type="paragraph" w:styleId="Footer">
    <w:name w:val="footer"/>
    <w:basedOn w:val="Normal"/>
    <w:link w:val="FooterChar"/>
    <w:uiPriority w:val="99"/>
    <w:unhideWhenUsed/>
    <w:rsid w:val="004868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682C"/>
  </w:style>
  <w:style w:type="paragraph" w:styleId="BalloonText">
    <w:name w:val="Balloon Text"/>
    <w:basedOn w:val="Normal"/>
    <w:link w:val="BalloonTextChar"/>
    <w:uiPriority w:val="99"/>
    <w:semiHidden/>
    <w:unhideWhenUsed/>
    <w:rsid w:val="004868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8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LabourCourt</cp:lastModifiedBy>
  <cp:revision>5</cp:revision>
  <cp:lastPrinted>2014-12-12T12:53:00Z</cp:lastPrinted>
  <dcterms:created xsi:type="dcterms:W3CDTF">2014-12-12T08:47:00Z</dcterms:created>
  <dcterms:modified xsi:type="dcterms:W3CDTF">2014-12-12T13:25:00Z</dcterms:modified>
</cp:coreProperties>
</file>