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B7F0F5" w14:textId="4EC5CD99" w:rsidR="00D75D2D" w:rsidRPr="00B53073" w:rsidRDefault="00D75D2D" w:rsidP="00D75D2D">
      <w:pPr>
        <w:rPr>
          <w:rFonts w:ascii="Times New Roman" w:hAnsi="Times New Roman" w:cs="Times New Roman"/>
          <w:sz w:val="24"/>
          <w:szCs w:val="24"/>
        </w:rPr>
      </w:pPr>
      <w:bookmarkStart w:id="0" w:name="_GoBack"/>
      <w:bookmarkEnd w:id="0"/>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r w:rsidRPr="00B53073">
        <w:rPr>
          <w:rFonts w:ascii="Times New Roman" w:hAnsi="Times New Roman" w:cs="Times New Roman"/>
          <w:sz w:val="24"/>
          <w:szCs w:val="24"/>
        </w:rPr>
        <w:tab/>
      </w:r>
    </w:p>
    <w:p w14:paraId="44A3C650" w14:textId="77777777" w:rsidR="00D75D2D" w:rsidRPr="00B53073" w:rsidRDefault="00D75D2D" w:rsidP="00A47FC5">
      <w:pPr>
        <w:spacing w:after="0" w:line="240" w:lineRule="auto"/>
        <w:rPr>
          <w:rFonts w:ascii="Times New Roman" w:hAnsi="Times New Roman" w:cs="Times New Roman"/>
          <w:sz w:val="24"/>
          <w:szCs w:val="24"/>
        </w:rPr>
      </w:pPr>
      <w:r w:rsidRPr="00B53073">
        <w:rPr>
          <w:rFonts w:ascii="Times New Roman" w:hAnsi="Times New Roman" w:cs="Times New Roman"/>
          <w:sz w:val="24"/>
          <w:szCs w:val="24"/>
        </w:rPr>
        <w:t>LUCIA REGINALD (NEE EDWARD)</w:t>
      </w:r>
    </w:p>
    <w:p w14:paraId="59FBC6B3" w14:textId="5020A9BA" w:rsidR="00D75D2D" w:rsidRPr="00B53073" w:rsidRDefault="00A47FC5" w:rsidP="00A47FC5">
      <w:pPr>
        <w:spacing w:after="0" w:line="240" w:lineRule="auto"/>
        <w:rPr>
          <w:rFonts w:ascii="Times New Roman" w:hAnsi="Times New Roman" w:cs="Times New Roman"/>
          <w:sz w:val="24"/>
          <w:szCs w:val="24"/>
        </w:rPr>
      </w:pPr>
      <w:r w:rsidRPr="00B53073">
        <w:rPr>
          <w:rFonts w:ascii="Times New Roman" w:hAnsi="Times New Roman" w:cs="Times New Roman"/>
          <w:sz w:val="24"/>
          <w:szCs w:val="24"/>
        </w:rPr>
        <w:t>v</w:t>
      </w:r>
      <w:r>
        <w:rPr>
          <w:rFonts w:ascii="Times New Roman" w:hAnsi="Times New Roman" w:cs="Times New Roman"/>
          <w:sz w:val="24"/>
          <w:szCs w:val="24"/>
        </w:rPr>
        <w:t>ersus</w:t>
      </w:r>
    </w:p>
    <w:p w14:paraId="270933F7" w14:textId="77777777" w:rsidR="00A47FC5" w:rsidRDefault="00D75D2D" w:rsidP="00A47FC5">
      <w:pPr>
        <w:spacing w:after="0" w:line="240" w:lineRule="auto"/>
        <w:rPr>
          <w:rFonts w:ascii="Times New Roman" w:hAnsi="Times New Roman" w:cs="Times New Roman"/>
          <w:sz w:val="24"/>
          <w:szCs w:val="24"/>
        </w:rPr>
      </w:pPr>
      <w:r w:rsidRPr="00B53073">
        <w:rPr>
          <w:rFonts w:ascii="Times New Roman" w:hAnsi="Times New Roman" w:cs="Times New Roman"/>
          <w:sz w:val="24"/>
          <w:szCs w:val="24"/>
        </w:rPr>
        <w:t>RAPHAEL REGINALD</w:t>
      </w:r>
    </w:p>
    <w:p w14:paraId="2B02A07D" w14:textId="50AA0EDE" w:rsidR="00D75D2D" w:rsidRPr="00B53073" w:rsidRDefault="00D75D2D" w:rsidP="00A47FC5">
      <w:pPr>
        <w:spacing w:after="0" w:line="240" w:lineRule="auto"/>
        <w:rPr>
          <w:rFonts w:ascii="Times New Roman" w:hAnsi="Times New Roman" w:cs="Times New Roman"/>
          <w:sz w:val="24"/>
          <w:szCs w:val="24"/>
        </w:rPr>
      </w:pPr>
      <w:r w:rsidRPr="00B53073">
        <w:rPr>
          <w:rFonts w:ascii="Times New Roman" w:hAnsi="Times New Roman" w:cs="Times New Roman"/>
          <w:sz w:val="24"/>
          <w:szCs w:val="24"/>
        </w:rPr>
        <w:t xml:space="preserve"> </w:t>
      </w:r>
    </w:p>
    <w:p w14:paraId="1ED39EA0" w14:textId="77777777" w:rsidR="00D75D2D" w:rsidRPr="00B53073" w:rsidRDefault="00D75D2D" w:rsidP="00A47FC5">
      <w:pPr>
        <w:spacing w:after="0" w:line="240" w:lineRule="auto"/>
        <w:rPr>
          <w:rFonts w:ascii="Times New Roman" w:hAnsi="Times New Roman" w:cs="Times New Roman"/>
          <w:sz w:val="24"/>
          <w:szCs w:val="24"/>
        </w:rPr>
      </w:pPr>
    </w:p>
    <w:p w14:paraId="377910FB" w14:textId="7F34F0DA" w:rsidR="00D75D2D" w:rsidRDefault="00D75D2D" w:rsidP="00A47FC5">
      <w:pPr>
        <w:spacing w:after="0" w:line="240" w:lineRule="auto"/>
        <w:rPr>
          <w:rFonts w:ascii="Times New Roman" w:hAnsi="Times New Roman" w:cs="Times New Roman"/>
          <w:sz w:val="24"/>
          <w:szCs w:val="24"/>
        </w:rPr>
      </w:pPr>
      <w:r w:rsidRPr="00B53073">
        <w:rPr>
          <w:rFonts w:ascii="Times New Roman" w:hAnsi="Times New Roman" w:cs="Times New Roman"/>
          <w:sz w:val="24"/>
          <w:szCs w:val="24"/>
        </w:rPr>
        <w:t>HIGH COURT OF ZIMBABWE</w:t>
      </w:r>
      <w:r w:rsidRPr="00B53073">
        <w:rPr>
          <w:rFonts w:ascii="Times New Roman" w:hAnsi="Times New Roman" w:cs="Times New Roman"/>
          <w:sz w:val="24"/>
          <w:szCs w:val="24"/>
        </w:rPr>
        <w:br/>
      </w:r>
      <w:r w:rsidRPr="009E6547">
        <w:rPr>
          <w:rFonts w:ascii="Times New Roman" w:hAnsi="Times New Roman" w:cs="Times New Roman"/>
          <w:b/>
          <w:bCs/>
          <w:sz w:val="24"/>
          <w:szCs w:val="24"/>
        </w:rPr>
        <w:t>TSANGA J</w:t>
      </w:r>
      <w:r w:rsidRPr="00B53073">
        <w:rPr>
          <w:rFonts w:ascii="Times New Roman" w:hAnsi="Times New Roman" w:cs="Times New Roman"/>
          <w:sz w:val="24"/>
          <w:szCs w:val="24"/>
        </w:rPr>
        <w:br/>
      </w:r>
      <w:r w:rsidR="009E6547">
        <w:rPr>
          <w:rFonts w:ascii="Times New Roman" w:hAnsi="Times New Roman" w:cs="Times New Roman"/>
          <w:sz w:val="24"/>
          <w:szCs w:val="24"/>
        </w:rPr>
        <w:t xml:space="preserve">HARARE; </w:t>
      </w:r>
      <w:r w:rsidRPr="00B53073">
        <w:rPr>
          <w:rFonts w:ascii="Times New Roman" w:hAnsi="Times New Roman" w:cs="Times New Roman"/>
          <w:sz w:val="24"/>
          <w:szCs w:val="24"/>
        </w:rPr>
        <w:t>26 November, 4, 17 &amp; 19 December 2025 &amp; 14 January 2026</w:t>
      </w:r>
    </w:p>
    <w:p w14:paraId="5E2526C8" w14:textId="77777777" w:rsidR="00A47FC5" w:rsidRPr="00B53073" w:rsidRDefault="00A47FC5" w:rsidP="00A47FC5">
      <w:pPr>
        <w:spacing w:after="0" w:line="240" w:lineRule="auto"/>
        <w:rPr>
          <w:rFonts w:ascii="Times New Roman" w:hAnsi="Times New Roman" w:cs="Times New Roman"/>
          <w:sz w:val="24"/>
          <w:szCs w:val="24"/>
        </w:rPr>
      </w:pPr>
    </w:p>
    <w:p w14:paraId="3A8D3125" w14:textId="77777777" w:rsidR="00D75D2D" w:rsidRPr="00B53073" w:rsidRDefault="00D75D2D" w:rsidP="00D75D2D">
      <w:pPr>
        <w:rPr>
          <w:rFonts w:ascii="Times New Roman" w:hAnsi="Times New Roman" w:cs="Times New Roman"/>
          <w:sz w:val="24"/>
          <w:szCs w:val="24"/>
        </w:rPr>
      </w:pPr>
    </w:p>
    <w:p w14:paraId="55A3289D" w14:textId="77777777" w:rsidR="00D75D2D" w:rsidRPr="009E6547" w:rsidRDefault="00D75D2D" w:rsidP="00D75D2D">
      <w:pPr>
        <w:rPr>
          <w:rFonts w:ascii="Times New Roman" w:hAnsi="Times New Roman" w:cs="Times New Roman"/>
          <w:b/>
          <w:bCs/>
          <w:sz w:val="24"/>
          <w:szCs w:val="24"/>
        </w:rPr>
      </w:pPr>
      <w:r w:rsidRPr="009E6547">
        <w:rPr>
          <w:rFonts w:ascii="Times New Roman" w:hAnsi="Times New Roman" w:cs="Times New Roman"/>
          <w:b/>
          <w:bCs/>
          <w:sz w:val="24"/>
          <w:szCs w:val="24"/>
        </w:rPr>
        <w:t xml:space="preserve">Matrimonial Trial </w:t>
      </w:r>
    </w:p>
    <w:p w14:paraId="6F59F682" w14:textId="77777777" w:rsidR="00D75D2D" w:rsidRPr="00B53073" w:rsidRDefault="00D75D2D" w:rsidP="00D75D2D">
      <w:pPr>
        <w:rPr>
          <w:rFonts w:ascii="Times New Roman" w:hAnsi="Times New Roman" w:cs="Times New Roman"/>
          <w:sz w:val="24"/>
          <w:szCs w:val="24"/>
        </w:rPr>
      </w:pPr>
    </w:p>
    <w:p w14:paraId="6952D382" w14:textId="4B63955B" w:rsidR="00D75D2D" w:rsidRPr="009E6547" w:rsidRDefault="00D75D2D" w:rsidP="00D75D2D">
      <w:pPr>
        <w:rPr>
          <w:rFonts w:ascii="Times New Roman" w:hAnsi="Times New Roman" w:cs="Times New Roman"/>
          <w:sz w:val="24"/>
          <w:szCs w:val="24"/>
        </w:rPr>
      </w:pPr>
      <w:r w:rsidRPr="00B53073">
        <w:rPr>
          <w:rFonts w:ascii="Times New Roman" w:hAnsi="Times New Roman" w:cs="Times New Roman"/>
          <w:i/>
          <w:iCs/>
          <w:sz w:val="24"/>
          <w:szCs w:val="24"/>
        </w:rPr>
        <w:t>T Muchini</w:t>
      </w:r>
      <w:r w:rsidR="009E6547">
        <w:rPr>
          <w:rFonts w:ascii="Times New Roman" w:hAnsi="Times New Roman" w:cs="Times New Roman"/>
          <w:i/>
          <w:iCs/>
          <w:sz w:val="24"/>
          <w:szCs w:val="24"/>
        </w:rPr>
        <w:t>,</w:t>
      </w:r>
      <w:r w:rsidRPr="00B53073">
        <w:rPr>
          <w:rFonts w:ascii="Times New Roman" w:hAnsi="Times New Roman" w:cs="Times New Roman"/>
          <w:i/>
          <w:iCs/>
          <w:sz w:val="24"/>
          <w:szCs w:val="24"/>
        </w:rPr>
        <w:t xml:space="preserve"> </w:t>
      </w:r>
      <w:r w:rsidRPr="009E6547">
        <w:rPr>
          <w:rFonts w:ascii="Times New Roman" w:hAnsi="Times New Roman" w:cs="Times New Roman"/>
          <w:sz w:val="24"/>
          <w:szCs w:val="24"/>
        </w:rPr>
        <w:t xml:space="preserve">for </w:t>
      </w:r>
      <w:r w:rsidR="009E6547">
        <w:rPr>
          <w:rFonts w:ascii="Times New Roman" w:hAnsi="Times New Roman" w:cs="Times New Roman"/>
          <w:sz w:val="24"/>
          <w:szCs w:val="24"/>
        </w:rPr>
        <w:t xml:space="preserve">the </w:t>
      </w:r>
      <w:r w:rsidRPr="009E6547">
        <w:rPr>
          <w:rFonts w:ascii="Times New Roman" w:hAnsi="Times New Roman" w:cs="Times New Roman"/>
          <w:sz w:val="24"/>
          <w:szCs w:val="24"/>
        </w:rPr>
        <w:t>Plaintiff</w:t>
      </w:r>
      <w:r w:rsidRPr="00B53073">
        <w:rPr>
          <w:rFonts w:ascii="Times New Roman" w:hAnsi="Times New Roman" w:cs="Times New Roman"/>
          <w:i/>
          <w:iCs/>
          <w:sz w:val="24"/>
          <w:szCs w:val="24"/>
        </w:rPr>
        <w:br/>
      </w:r>
      <w:r w:rsidRPr="009E6547">
        <w:rPr>
          <w:rFonts w:ascii="Times New Roman" w:hAnsi="Times New Roman" w:cs="Times New Roman"/>
          <w:sz w:val="24"/>
          <w:szCs w:val="24"/>
        </w:rPr>
        <w:t>Defendant in person</w:t>
      </w:r>
    </w:p>
    <w:p w14:paraId="29890CDA" w14:textId="77777777" w:rsidR="00D75D2D" w:rsidRPr="00B53073" w:rsidRDefault="00D75D2D" w:rsidP="00D75D2D">
      <w:pPr>
        <w:rPr>
          <w:rFonts w:ascii="Times New Roman" w:hAnsi="Times New Roman" w:cs="Times New Roman"/>
          <w:sz w:val="24"/>
          <w:szCs w:val="24"/>
        </w:rPr>
      </w:pPr>
      <w:r w:rsidRPr="00B53073">
        <w:rPr>
          <w:rFonts w:ascii="Times New Roman" w:hAnsi="Times New Roman" w:cs="Times New Roman"/>
          <w:sz w:val="24"/>
          <w:szCs w:val="24"/>
        </w:rPr>
        <w:t xml:space="preserve"> </w:t>
      </w:r>
    </w:p>
    <w:p w14:paraId="09BECCE2" w14:textId="77777777" w:rsidR="00D75D2D" w:rsidRPr="00B53073" w:rsidRDefault="00D75D2D" w:rsidP="00D75D2D">
      <w:pPr>
        <w:spacing w:line="360" w:lineRule="auto"/>
        <w:jc w:val="both"/>
        <w:rPr>
          <w:rFonts w:ascii="Times New Roman" w:hAnsi="Times New Roman" w:cs="Times New Roman"/>
          <w:sz w:val="24"/>
          <w:szCs w:val="24"/>
        </w:rPr>
      </w:pPr>
      <w:r w:rsidRPr="00B53073">
        <w:rPr>
          <w:rFonts w:ascii="Times New Roman" w:hAnsi="Times New Roman" w:cs="Times New Roman"/>
          <w:sz w:val="24"/>
          <w:szCs w:val="24"/>
        </w:rPr>
        <w:t xml:space="preserve">TSANGA J: </w:t>
      </w:r>
    </w:p>
    <w:p w14:paraId="5ACF9ECD" w14:textId="77777777" w:rsidR="00D75D2D" w:rsidRPr="00D75D2D" w:rsidRDefault="00D75D2D" w:rsidP="00D75D2D">
      <w:pPr>
        <w:spacing w:line="360" w:lineRule="auto"/>
        <w:rPr>
          <w:rFonts w:ascii="Times New Roman" w:hAnsi="Times New Roman" w:cs="Times New Roman"/>
          <w:b/>
          <w:bCs/>
          <w:sz w:val="24"/>
          <w:szCs w:val="24"/>
        </w:rPr>
      </w:pPr>
      <w:r w:rsidRPr="00D75D2D">
        <w:rPr>
          <w:rFonts w:ascii="Times New Roman" w:hAnsi="Times New Roman" w:cs="Times New Roman"/>
          <w:b/>
          <w:bCs/>
          <w:sz w:val="24"/>
          <w:szCs w:val="24"/>
        </w:rPr>
        <w:t>Introduction</w:t>
      </w:r>
    </w:p>
    <w:p w14:paraId="6A0BF384"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The parties contracted a civil marriage on 18 February 2000. The plaintiff, Lucia Reginald, issued summons for divorce against the defendant, Raphael Reginald, in 2019. The plaintiff left the matrimonial home in March 2019 and, as at the pre-trial conference and the hearing of this matter, remains resolute that the marriage has irretrievably broken down.</w:t>
      </w:r>
    </w:p>
    <w:p w14:paraId="6789EF02"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The defendant opposed the divorce initially, stating that he still loves the plaintiff and was taken by surprise by the issuance of summons, having expected the marriage to endure for life. However, the real contest between the parties lies not in the dissolution of the marriage, but in the distribution of the matrimonial property, particularly the house known as 150 Crowborough Way, Mufakose.</w:t>
      </w:r>
    </w:p>
    <w:p w14:paraId="31A31AAF" w14:textId="0A7DC48D"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There are no children of the marriage</w:t>
      </w:r>
      <w:r w:rsidRPr="00B53073">
        <w:rPr>
          <w:rFonts w:ascii="Times New Roman" w:hAnsi="Times New Roman" w:cs="Times New Roman"/>
          <w:sz w:val="24"/>
          <w:szCs w:val="24"/>
        </w:rPr>
        <w:t xml:space="preserve"> although</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the defendant has</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two</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children of his</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own</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from a prior</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relationship</w:t>
      </w:r>
      <w:r w:rsidRPr="00D75D2D">
        <w:rPr>
          <w:rFonts w:ascii="Times New Roman" w:hAnsi="Times New Roman" w:cs="Times New Roman"/>
          <w:sz w:val="24"/>
          <w:szCs w:val="24"/>
        </w:rPr>
        <w:t>. The parties have already shared their movable property by consent.</w:t>
      </w:r>
    </w:p>
    <w:p w14:paraId="0ECC6066" w14:textId="77777777" w:rsidR="00D75D2D" w:rsidRPr="0032664D" w:rsidRDefault="00D75D2D" w:rsidP="0032664D">
      <w:pPr>
        <w:spacing w:after="0" w:line="360" w:lineRule="auto"/>
        <w:ind w:firstLine="720"/>
        <w:jc w:val="both"/>
        <w:rPr>
          <w:rFonts w:ascii="Times New Roman" w:hAnsi="Times New Roman" w:cs="Times New Roman"/>
          <w:sz w:val="24"/>
          <w:szCs w:val="24"/>
          <w:u w:val="single"/>
        </w:rPr>
      </w:pPr>
      <w:r w:rsidRPr="0032664D">
        <w:rPr>
          <w:rFonts w:ascii="Times New Roman" w:hAnsi="Times New Roman" w:cs="Times New Roman"/>
          <w:sz w:val="24"/>
          <w:szCs w:val="24"/>
          <w:u w:val="single"/>
        </w:rPr>
        <w:t>Dissolution of the Marriage</w:t>
      </w:r>
    </w:p>
    <w:p w14:paraId="519ADD0E"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 xml:space="preserve">The plaintiff testified that the marriage had become intolerable due to the defendant’s continuous infidelity, prolonged absences from the matrimonial home over weekends, and persistent verbal abuse which left her emotionally distressed and physically affected. She </w:t>
      </w:r>
      <w:r w:rsidRPr="00D75D2D">
        <w:rPr>
          <w:rFonts w:ascii="Times New Roman" w:hAnsi="Times New Roman" w:cs="Times New Roman"/>
          <w:sz w:val="24"/>
          <w:szCs w:val="24"/>
        </w:rPr>
        <w:lastRenderedPageBreak/>
        <w:t>described a pattern of conduct that ultimately compelled her to leave the matrimonial home and seek a divorce.</w:t>
      </w:r>
    </w:p>
    <w:p w14:paraId="3D1F3E2C"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Six years after separation, she remains firm in her decision and testified that she has no desire for reconciliation.</w:t>
      </w:r>
    </w:p>
    <w:p w14:paraId="72A100E3"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The defendant, while professing love for the plaintiff, did not seriously dispute that the parties have lived apart since 2019 and that there has been no restoration of marital relations.</w:t>
      </w:r>
    </w:p>
    <w:p w14:paraId="25ABFBAD"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From the evidence, it is clear that the marriage has irretrievably broken down and that there is no reasonable prospect of restoration. A decree of divorce must therefore issue.</w:t>
      </w:r>
    </w:p>
    <w:p w14:paraId="0AECB321" w14:textId="77777777" w:rsidR="00D75D2D" w:rsidRPr="0032664D" w:rsidRDefault="00D75D2D" w:rsidP="0032664D">
      <w:pPr>
        <w:spacing w:after="0" w:line="360" w:lineRule="auto"/>
        <w:ind w:firstLine="720"/>
        <w:jc w:val="both"/>
        <w:rPr>
          <w:rFonts w:ascii="Times New Roman" w:hAnsi="Times New Roman" w:cs="Times New Roman"/>
          <w:sz w:val="24"/>
          <w:szCs w:val="24"/>
          <w:u w:val="single"/>
        </w:rPr>
      </w:pPr>
      <w:r w:rsidRPr="0032664D">
        <w:rPr>
          <w:rFonts w:ascii="Times New Roman" w:hAnsi="Times New Roman" w:cs="Times New Roman"/>
          <w:sz w:val="24"/>
          <w:szCs w:val="24"/>
          <w:u w:val="single"/>
        </w:rPr>
        <w:t>The Matrimonial Home</w:t>
      </w:r>
    </w:p>
    <w:p w14:paraId="35A0BC80"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The central dispute concerns the distribution of the matrimonial home at 150 Crowborough Way, Mufakose.</w:t>
      </w:r>
    </w:p>
    <w:p w14:paraId="726C4739" w14:textId="77777777" w:rsidR="00D75D2D" w:rsidRPr="00D75D2D" w:rsidRDefault="00D75D2D" w:rsidP="00D75D2D">
      <w:p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It is common cause that:</w:t>
      </w:r>
    </w:p>
    <w:p w14:paraId="3EF555E9" w14:textId="77777777" w:rsidR="00D75D2D" w:rsidRPr="00D75D2D" w:rsidRDefault="00D75D2D" w:rsidP="00D75D2D">
      <w:pPr>
        <w:numPr>
          <w:ilvl w:val="0"/>
          <w:numId w:val="1"/>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house is registered in the defendant’s name.</w:t>
      </w:r>
    </w:p>
    <w:p w14:paraId="64ED9D64" w14:textId="77777777" w:rsidR="00D75D2D" w:rsidRPr="00D75D2D" w:rsidRDefault="00D75D2D" w:rsidP="00D75D2D">
      <w:pPr>
        <w:numPr>
          <w:ilvl w:val="0"/>
          <w:numId w:val="1"/>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It originated as a core house acquired through a loan obtained by the defendant from his employer.</w:t>
      </w:r>
    </w:p>
    <w:p w14:paraId="0ABBE5B1" w14:textId="77777777" w:rsidR="00D75D2D" w:rsidRPr="00D75D2D" w:rsidRDefault="00D75D2D" w:rsidP="00D75D2D">
      <w:pPr>
        <w:numPr>
          <w:ilvl w:val="0"/>
          <w:numId w:val="1"/>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parties lived in the house as husband and wife for many years.</w:t>
      </w:r>
    </w:p>
    <w:p w14:paraId="65675B0A" w14:textId="77777777" w:rsidR="00D75D2D" w:rsidRPr="00D75D2D" w:rsidRDefault="00D75D2D" w:rsidP="00D75D2D">
      <w:pPr>
        <w:numPr>
          <w:ilvl w:val="0"/>
          <w:numId w:val="1"/>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At the time the plaintiff left in 2019, the structure was roofed but incomplete, lacking plastering, fittings, windows, doors, plumbing and electrical installations.</w:t>
      </w:r>
    </w:p>
    <w:p w14:paraId="491C811F" w14:textId="77777777" w:rsidR="00D75D2D" w:rsidRPr="00D75D2D" w:rsidRDefault="00D75D2D" w:rsidP="00D75D2D">
      <w:pPr>
        <w:numPr>
          <w:ilvl w:val="0"/>
          <w:numId w:val="1"/>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Since the plaintiff’s departure, further developments have been effected by the defendant.</w:t>
      </w:r>
    </w:p>
    <w:p w14:paraId="3E08FEE8" w14:textId="77777777" w:rsidR="00D75D2D" w:rsidRPr="00D75D2D" w:rsidRDefault="00D75D2D" w:rsidP="00D75D2D">
      <w:pPr>
        <w:spacing w:line="360" w:lineRule="auto"/>
        <w:jc w:val="both"/>
        <w:rPr>
          <w:rFonts w:ascii="Times New Roman" w:hAnsi="Times New Roman" w:cs="Times New Roman"/>
          <w:b/>
          <w:bCs/>
          <w:sz w:val="24"/>
          <w:szCs w:val="24"/>
        </w:rPr>
      </w:pPr>
      <w:r w:rsidRPr="00D75D2D">
        <w:rPr>
          <w:rFonts w:ascii="Times New Roman" w:hAnsi="Times New Roman" w:cs="Times New Roman"/>
          <w:b/>
          <w:bCs/>
          <w:sz w:val="24"/>
          <w:szCs w:val="24"/>
        </w:rPr>
        <w:t>Plaintiff’s Contribution</w:t>
      </w:r>
    </w:p>
    <w:p w14:paraId="7A27E0AC" w14:textId="77777777" w:rsidR="00D75D2D" w:rsidRPr="00D75D2D" w:rsidRDefault="00D75D2D" w:rsidP="00D75D2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The plaintiff testified that although the house was registered in the defendant’s name, this was only because he was the beneficiary of the employer loan. She stated that throughout the marriage she contributed by:</w:t>
      </w:r>
    </w:p>
    <w:p w14:paraId="66E310E1"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Paying for food, clothing and household necessities;</w:t>
      </w:r>
    </w:p>
    <w:p w14:paraId="300B853F"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Paying rates;</w:t>
      </w:r>
    </w:p>
    <w:p w14:paraId="45037EE1"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Performing the bulk of domestic labour;</w:t>
      </w:r>
    </w:p>
    <w:p w14:paraId="32275209"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lastRenderedPageBreak/>
        <w:t>Becoming the breadwinner after the defendant lost employment in 2015;</w:t>
      </w:r>
    </w:p>
    <w:p w14:paraId="2982E402"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Supporting the defendant financially to the extent that he successfully claimed spousal maintenance from her;</w:t>
      </w:r>
    </w:p>
    <w:p w14:paraId="1D71F82C" w14:textId="77777777" w:rsidR="00D75D2D" w:rsidRPr="00D75D2D" w:rsidRDefault="00D75D2D" w:rsidP="00D75D2D">
      <w:pPr>
        <w:numPr>
          <w:ilvl w:val="0"/>
          <w:numId w:val="2"/>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Taking out loans to purchase bricks and materials for the construction of a perimeter wall and roof trusses.</w:t>
      </w:r>
    </w:p>
    <w:p w14:paraId="384A627D" w14:textId="77777777" w:rsidR="00D75D2D" w:rsidRPr="00D75D2D" w:rsidRDefault="00D75D2D" w:rsidP="00D75D2D">
      <w:p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Her evidence further established that when the defendant became unemployed, she maintained the household and even had him on her medical aid.</w:t>
      </w:r>
    </w:p>
    <w:p w14:paraId="5D2161F1" w14:textId="77777777" w:rsidR="00D75D2D" w:rsidRPr="00D75D2D" w:rsidRDefault="00D75D2D" w:rsidP="00D75D2D">
      <w:pPr>
        <w:spacing w:line="360" w:lineRule="auto"/>
        <w:jc w:val="both"/>
        <w:rPr>
          <w:rFonts w:ascii="Times New Roman" w:hAnsi="Times New Roman" w:cs="Times New Roman"/>
          <w:b/>
          <w:bCs/>
          <w:sz w:val="24"/>
          <w:szCs w:val="24"/>
        </w:rPr>
      </w:pPr>
      <w:r w:rsidRPr="00D75D2D">
        <w:rPr>
          <w:rFonts w:ascii="Times New Roman" w:hAnsi="Times New Roman" w:cs="Times New Roman"/>
          <w:b/>
          <w:bCs/>
          <w:sz w:val="24"/>
          <w:szCs w:val="24"/>
        </w:rPr>
        <w:t>Defendant’s Contribution</w:t>
      </w:r>
    </w:p>
    <w:p w14:paraId="64B74A44" w14:textId="77777777" w:rsidR="00D75D2D" w:rsidRPr="00D75D2D" w:rsidRDefault="00D75D2D" w:rsidP="00D75D2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The defendant testified that he acquired the house initially as a two-roomed core house with a durawall and gate. He attributed the bulk of the construction work to funds received from:</w:t>
      </w:r>
    </w:p>
    <w:p w14:paraId="66A90C3C" w14:textId="77777777" w:rsidR="00D75D2D" w:rsidRPr="00D75D2D" w:rsidRDefault="00D75D2D" w:rsidP="00D75D2D">
      <w:pPr>
        <w:numPr>
          <w:ilvl w:val="0"/>
          <w:numId w:val="3"/>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An inheritance of approximately US$8 500 from his parents;</w:t>
      </w:r>
    </w:p>
    <w:p w14:paraId="7E474B76" w14:textId="77777777" w:rsidR="00D75D2D" w:rsidRPr="00D75D2D" w:rsidRDefault="00D75D2D" w:rsidP="00D75D2D">
      <w:pPr>
        <w:numPr>
          <w:ilvl w:val="0"/>
          <w:numId w:val="3"/>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A pay-out of approximately US$6 000 upon leaving employment in 2015.</w:t>
      </w:r>
    </w:p>
    <w:p w14:paraId="1026DCC4" w14:textId="1D12A472" w:rsidR="00D75D2D" w:rsidRPr="00D75D2D" w:rsidRDefault="00D75D2D" w:rsidP="0032664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However, his evidence was internally inconsistent. At various points, he gave differing figures regarding the</w:t>
      </w:r>
      <w:r w:rsidR="00AC1B39">
        <w:rPr>
          <w:rFonts w:ascii="Times New Roman" w:hAnsi="Times New Roman" w:cs="Times New Roman"/>
          <w:sz w:val="24"/>
          <w:szCs w:val="24"/>
        </w:rPr>
        <w:t xml:space="preserve"> use of his</w:t>
      </w:r>
      <w:r w:rsidRPr="00D75D2D">
        <w:rPr>
          <w:rFonts w:ascii="Times New Roman" w:hAnsi="Times New Roman" w:cs="Times New Roman"/>
          <w:sz w:val="24"/>
          <w:szCs w:val="24"/>
        </w:rPr>
        <w:t xml:space="preserve"> inheritance and employment pay-out. He also conceded under cross-examination that part of the inheritance was used to purchase a motor vehicle, contradicting his claim that the entire sum was devoted to the house.</w:t>
      </w:r>
    </w:p>
    <w:p w14:paraId="3DEFF816" w14:textId="77777777" w:rsidR="00D75D2D" w:rsidRPr="00D75D2D" w:rsidRDefault="00D75D2D" w:rsidP="00D75D2D">
      <w:p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defendant further confirmed that:</w:t>
      </w:r>
    </w:p>
    <w:p w14:paraId="3A0D3644" w14:textId="77777777" w:rsidR="00D75D2D" w:rsidRPr="00D75D2D" w:rsidRDefault="00D75D2D" w:rsidP="00D75D2D">
      <w:pPr>
        <w:numPr>
          <w:ilvl w:val="0"/>
          <w:numId w:val="4"/>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He relied on the plaintiff for groceries and general upkeep after losing his job;</w:t>
      </w:r>
    </w:p>
    <w:p w14:paraId="27E7931D" w14:textId="61FBCED6" w:rsidR="00D75D2D" w:rsidRPr="00D75D2D" w:rsidRDefault="00D75D2D" w:rsidP="00D75D2D">
      <w:pPr>
        <w:numPr>
          <w:ilvl w:val="0"/>
          <w:numId w:val="4"/>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He claimed and was awarded spousal maintenance against the plaintiff</w:t>
      </w:r>
      <w:r w:rsidRPr="00B53073">
        <w:rPr>
          <w:rFonts w:ascii="Times New Roman" w:hAnsi="Times New Roman" w:cs="Times New Roman"/>
          <w:sz w:val="24"/>
          <w:szCs w:val="24"/>
        </w:rPr>
        <w:t xml:space="preserve"> albeit insignificant</w:t>
      </w:r>
      <w:r w:rsidRPr="00D75D2D">
        <w:rPr>
          <w:rFonts w:ascii="Times New Roman" w:hAnsi="Times New Roman" w:cs="Times New Roman"/>
          <w:sz w:val="24"/>
          <w:szCs w:val="24"/>
        </w:rPr>
        <w:t>;</w:t>
      </w:r>
    </w:p>
    <w:p w14:paraId="7A039327" w14:textId="77777777" w:rsidR="00D75D2D" w:rsidRPr="00D75D2D" w:rsidRDefault="00D75D2D" w:rsidP="00D75D2D">
      <w:pPr>
        <w:numPr>
          <w:ilvl w:val="0"/>
          <w:numId w:val="4"/>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He was previously on the plaintiff’s medical aid.</w:t>
      </w:r>
    </w:p>
    <w:p w14:paraId="58AF8466" w14:textId="77777777" w:rsidR="00D75D2D" w:rsidRPr="00D75D2D" w:rsidRDefault="00D75D2D" w:rsidP="00D75D2D">
      <w:pPr>
        <w:spacing w:line="360" w:lineRule="auto"/>
        <w:jc w:val="both"/>
        <w:rPr>
          <w:rFonts w:ascii="Times New Roman" w:hAnsi="Times New Roman" w:cs="Times New Roman"/>
          <w:b/>
          <w:bCs/>
          <w:sz w:val="24"/>
          <w:szCs w:val="24"/>
        </w:rPr>
      </w:pPr>
      <w:r w:rsidRPr="00D75D2D">
        <w:rPr>
          <w:rFonts w:ascii="Times New Roman" w:hAnsi="Times New Roman" w:cs="Times New Roman"/>
          <w:b/>
          <w:bCs/>
          <w:sz w:val="24"/>
          <w:szCs w:val="24"/>
        </w:rPr>
        <w:t>Evaluation of the Evidence</w:t>
      </w:r>
    </w:p>
    <w:p w14:paraId="60771997" w14:textId="6591AAB2" w:rsidR="00D75D2D" w:rsidRPr="00D75D2D" w:rsidRDefault="00B53073" w:rsidP="0032664D">
      <w:pPr>
        <w:spacing w:after="0" w:line="360" w:lineRule="auto"/>
        <w:ind w:firstLine="720"/>
        <w:jc w:val="both"/>
        <w:rPr>
          <w:rFonts w:ascii="Times New Roman" w:hAnsi="Times New Roman" w:cs="Times New Roman"/>
          <w:sz w:val="24"/>
          <w:szCs w:val="24"/>
        </w:rPr>
      </w:pPr>
      <w:r w:rsidRPr="00B53073">
        <w:rPr>
          <w:rFonts w:ascii="Times New Roman" w:hAnsi="Times New Roman" w:cs="Times New Roman"/>
          <w:sz w:val="24"/>
          <w:szCs w:val="24"/>
        </w:rPr>
        <w:t xml:space="preserve">The important legal principle as emphasised in </w:t>
      </w:r>
      <w:r w:rsidRPr="00B53073">
        <w:rPr>
          <w:rFonts w:ascii="Times New Roman" w:hAnsi="Times New Roman" w:cs="Times New Roman"/>
          <w:i/>
          <w:iCs/>
          <w:sz w:val="24"/>
          <w:szCs w:val="24"/>
        </w:rPr>
        <w:t xml:space="preserve">Kassim </w:t>
      </w:r>
      <w:r w:rsidRPr="0032664D">
        <w:rPr>
          <w:rFonts w:ascii="Times New Roman" w:hAnsi="Times New Roman" w:cs="Times New Roman"/>
          <w:sz w:val="24"/>
          <w:szCs w:val="24"/>
        </w:rPr>
        <w:t>v</w:t>
      </w:r>
      <w:r w:rsidRPr="00B53073">
        <w:rPr>
          <w:rFonts w:ascii="Times New Roman" w:hAnsi="Times New Roman" w:cs="Times New Roman"/>
          <w:i/>
          <w:iCs/>
          <w:sz w:val="24"/>
          <w:szCs w:val="24"/>
        </w:rPr>
        <w:t xml:space="preserve"> Kassim </w:t>
      </w:r>
      <w:r w:rsidRPr="00B53073">
        <w:rPr>
          <w:rFonts w:ascii="Times New Roman" w:hAnsi="Times New Roman" w:cs="Times New Roman"/>
          <w:sz w:val="24"/>
          <w:szCs w:val="24"/>
        </w:rPr>
        <w:t>1989 (3) ZLR 234 (HC) by Gibson J is that under s7 of the Matrimonial Causes Act the court has power on divorce to order the division of matrimonial</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property notwithstanding the strict legal</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title of the parties. In other words, it</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does not matter in whose</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 xml:space="preserve">name the property is registered since </w:t>
      </w:r>
      <w:r w:rsidRPr="00B53073">
        <w:rPr>
          <w:rFonts w:ascii="Times New Roman" w:hAnsi="Times New Roman" w:cs="Times New Roman"/>
          <w:sz w:val="24"/>
          <w:szCs w:val="24"/>
        </w:rPr>
        <w:lastRenderedPageBreak/>
        <w:t xml:space="preserve">what is considered in terms of that section are the assets of the spouses as opposed to matrimonial property. See </w:t>
      </w:r>
      <w:r w:rsidRPr="00B53073">
        <w:rPr>
          <w:rFonts w:ascii="Times New Roman" w:hAnsi="Times New Roman" w:cs="Times New Roman"/>
          <w:i/>
          <w:iCs/>
          <w:sz w:val="24"/>
          <w:szCs w:val="24"/>
        </w:rPr>
        <w:t xml:space="preserve">Gonye </w:t>
      </w:r>
      <w:r w:rsidRPr="0032664D">
        <w:rPr>
          <w:rFonts w:ascii="Times New Roman" w:hAnsi="Times New Roman" w:cs="Times New Roman"/>
          <w:sz w:val="24"/>
          <w:szCs w:val="24"/>
        </w:rPr>
        <w:t>v</w:t>
      </w:r>
      <w:r w:rsidRPr="00B53073">
        <w:rPr>
          <w:rFonts w:ascii="Times New Roman" w:hAnsi="Times New Roman" w:cs="Times New Roman"/>
          <w:i/>
          <w:iCs/>
          <w:sz w:val="24"/>
          <w:szCs w:val="24"/>
        </w:rPr>
        <w:t xml:space="preserve"> Gonye </w:t>
      </w:r>
      <w:r w:rsidRPr="00B53073">
        <w:rPr>
          <w:rFonts w:ascii="Times New Roman" w:hAnsi="Times New Roman" w:cs="Times New Roman"/>
          <w:sz w:val="24"/>
          <w:szCs w:val="24"/>
        </w:rPr>
        <w:t>2009 (1) ZLR 39 (SC). The</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 xml:space="preserve">intention, as explained in </w:t>
      </w:r>
      <w:r w:rsidRPr="00B53073">
        <w:rPr>
          <w:rFonts w:ascii="Times New Roman" w:hAnsi="Times New Roman" w:cs="Times New Roman"/>
          <w:i/>
          <w:iCs/>
          <w:sz w:val="24"/>
          <w:szCs w:val="24"/>
        </w:rPr>
        <w:t xml:space="preserve">Gonye </w:t>
      </w:r>
      <w:r w:rsidRPr="00B53073">
        <w:rPr>
          <w:rFonts w:ascii="Times New Roman" w:hAnsi="Times New Roman" w:cs="Times New Roman"/>
          <w:sz w:val="24"/>
          <w:szCs w:val="24"/>
        </w:rPr>
        <w:t>is to have assets owned by the parties individually or jointly considered when</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 xml:space="preserve">an order is made regarding distribution of the property. </w:t>
      </w:r>
      <w:r w:rsidRPr="00D75D2D">
        <w:rPr>
          <w:rFonts w:ascii="Times New Roman" w:hAnsi="Times New Roman" w:cs="Times New Roman"/>
          <w:sz w:val="24"/>
          <w:szCs w:val="24"/>
        </w:rPr>
        <w:t>In terms of the applicable law, the court is not concerned merely with who paid for what, nor with whose name appears on the title deed. The court is enjoined to consider</w:t>
      </w:r>
      <w:r w:rsidRPr="00B53073">
        <w:rPr>
          <w:rFonts w:ascii="Times New Roman" w:hAnsi="Times New Roman" w:cs="Times New Roman"/>
          <w:sz w:val="24"/>
          <w:szCs w:val="24"/>
        </w:rPr>
        <w:t xml:space="preserve"> in terms</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of the Matrimonial Causes Act</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w:t>
      </w:r>
      <w:r w:rsidRPr="0032664D">
        <w:rPr>
          <w:rFonts w:ascii="Times New Roman" w:hAnsi="Times New Roman" w:cs="Times New Roman"/>
          <w:i/>
          <w:iCs/>
          <w:sz w:val="24"/>
          <w:szCs w:val="24"/>
        </w:rPr>
        <w:t>Chapter 5:13</w:t>
      </w:r>
      <w:r w:rsidRPr="00B53073">
        <w:rPr>
          <w:rFonts w:ascii="Times New Roman" w:hAnsi="Times New Roman" w:cs="Times New Roman"/>
          <w:sz w:val="24"/>
          <w:szCs w:val="24"/>
        </w:rPr>
        <w:t>]</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the</w:t>
      </w:r>
      <w:r w:rsidR="00AC1B39">
        <w:rPr>
          <w:rFonts w:ascii="Times New Roman" w:hAnsi="Times New Roman" w:cs="Times New Roman"/>
          <w:sz w:val="24"/>
          <w:szCs w:val="24"/>
        </w:rPr>
        <w:t xml:space="preserve"> </w:t>
      </w:r>
      <w:r w:rsidRPr="00D75D2D">
        <w:rPr>
          <w:rFonts w:ascii="Times New Roman" w:hAnsi="Times New Roman" w:cs="Times New Roman"/>
          <w:sz w:val="24"/>
          <w:szCs w:val="24"/>
        </w:rPr>
        <w:t>direct and indirect contributions, including domestic work, financial support, and the overall duration of the marriage.</w:t>
      </w:r>
      <w:r w:rsidRPr="00B53073">
        <w:rPr>
          <w:rFonts w:ascii="Times New Roman" w:hAnsi="Times New Roman" w:cs="Times New Roman"/>
          <w:sz w:val="24"/>
          <w:szCs w:val="24"/>
        </w:rPr>
        <w:t xml:space="preserve"> Indirect contributions which are not easily quantifiable in money do count as does the length of the marriage as dealt with extensively in </w:t>
      </w:r>
      <w:r w:rsidRPr="00B53073">
        <w:rPr>
          <w:rFonts w:ascii="Times New Roman" w:hAnsi="Times New Roman" w:cs="Times New Roman"/>
          <w:i/>
          <w:iCs/>
          <w:sz w:val="24"/>
          <w:szCs w:val="24"/>
        </w:rPr>
        <w:t xml:space="preserve">Mhora </w:t>
      </w:r>
      <w:r w:rsidRPr="0032664D">
        <w:rPr>
          <w:rFonts w:ascii="Times New Roman" w:hAnsi="Times New Roman" w:cs="Times New Roman"/>
          <w:sz w:val="24"/>
          <w:szCs w:val="24"/>
        </w:rPr>
        <w:t>v</w:t>
      </w:r>
      <w:r w:rsidRPr="00B53073">
        <w:rPr>
          <w:rFonts w:ascii="Times New Roman" w:hAnsi="Times New Roman" w:cs="Times New Roman"/>
          <w:i/>
          <w:iCs/>
          <w:sz w:val="24"/>
          <w:szCs w:val="24"/>
        </w:rPr>
        <w:t xml:space="preserve"> Mhora</w:t>
      </w:r>
      <w:r w:rsidRPr="00B53073">
        <w:rPr>
          <w:rFonts w:ascii="Times New Roman" w:hAnsi="Times New Roman" w:cs="Times New Roman"/>
          <w:sz w:val="24"/>
          <w:szCs w:val="24"/>
        </w:rPr>
        <w:t xml:space="preserve"> SC 89/20. All factors listed</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in the section</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count including the income earning capacity , the financial</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needs and obligations which</w:t>
      </w:r>
      <w:r w:rsidR="00AC1B39">
        <w:rPr>
          <w:rFonts w:ascii="Times New Roman" w:hAnsi="Times New Roman" w:cs="Times New Roman"/>
          <w:sz w:val="24"/>
          <w:szCs w:val="24"/>
        </w:rPr>
        <w:t xml:space="preserve"> </w:t>
      </w:r>
      <w:r w:rsidRPr="00B53073">
        <w:rPr>
          <w:rFonts w:ascii="Times New Roman" w:hAnsi="Times New Roman" w:cs="Times New Roman"/>
          <w:sz w:val="24"/>
          <w:szCs w:val="24"/>
        </w:rPr>
        <w:t>each spouse is likely to have in the foreseeable future, their standard of living and the age and physical condition of each spouse.</w:t>
      </w:r>
    </w:p>
    <w:p w14:paraId="541D9C35" w14:textId="77777777" w:rsidR="00D75D2D" w:rsidRPr="00D75D2D" w:rsidRDefault="00D75D2D" w:rsidP="0032664D">
      <w:pPr>
        <w:spacing w:after="0" w:line="360" w:lineRule="auto"/>
        <w:ind w:firstLine="720"/>
        <w:jc w:val="both"/>
        <w:rPr>
          <w:rFonts w:ascii="Times New Roman" w:hAnsi="Times New Roman" w:cs="Times New Roman"/>
          <w:sz w:val="24"/>
          <w:szCs w:val="24"/>
        </w:rPr>
      </w:pPr>
      <w:r w:rsidRPr="00D75D2D">
        <w:rPr>
          <w:rFonts w:ascii="Times New Roman" w:hAnsi="Times New Roman" w:cs="Times New Roman"/>
          <w:sz w:val="24"/>
          <w:szCs w:val="24"/>
        </w:rPr>
        <w:t>This was a marriage of nearly twenty years. For a substantial portion of that period, the plaintiff contributed indirectly by maintaining the household, supporting the defendant financially when he was unemployed, and enabling the defendant to retain and improve the matrimonial home.</w:t>
      </w:r>
    </w:p>
    <w:p w14:paraId="0EFE7BBE" w14:textId="77777777" w:rsidR="00D75D2D" w:rsidRPr="00D75D2D" w:rsidRDefault="00D75D2D" w:rsidP="0032664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The defendant’s contention that the plaintiff should receive nothing is untenable. It flies in the face of:</w:t>
      </w:r>
    </w:p>
    <w:p w14:paraId="53DDDD5F" w14:textId="77777777" w:rsidR="00D75D2D" w:rsidRPr="00D75D2D" w:rsidRDefault="00D75D2D" w:rsidP="00D75D2D">
      <w:pPr>
        <w:numPr>
          <w:ilvl w:val="0"/>
          <w:numId w:val="5"/>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length of the marriage;</w:t>
      </w:r>
    </w:p>
    <w:p w14:paraId="01826BF1" w14:textId="77777777" w:rsidR="00D75D2D" w:rsidRPr="00D75D2D" w:rsidRDefault="00D75D2D" w:rsidP="00D75D2D">
      <w:pPr>
        <w:numPr>
          <w:ilvl w:val="0"/>
          <w:numId w:val="5"/>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plaintiff’s proven financial and non-financial contributions;</w:t>
      </w:r>
    </w:p>
    <w:p w14:paraId="0373BBA5" w14:textId="77777777" w:rsidR="00D75D2D" w:rsidRPr="00D75D2D" w:rsidRDefault="00D75D2D" w:rsidP="00D75D2D">
      <w:pPr>
        <w:numPr>
          <w:ilvl w:val="0"/>
          <w:numId w:val="5"/>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fact that the plaintiff maintained the defendant after he lost employment;</w:t>
      </w:r>
    </w:p>
    <w:p w14:paraId="09F25A2D" w14:textId="77777777" w:rsidR="00D75D2D" w:rsidRPr="00D75D2D" w:rsidRDefault="00D75D2D" w:rsidP="00D75D2D">
      <w:pPr>
        <w:numPr>
          <w:ilvl w:val="0"/>
          <w:numId w:val="5"/>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defendant’s own reliance on the plaintiff, including maintenance and medical aid.</w:t>
      </w:r>
    </w:p>
    <w:p w14:paraId="317A15EC" w14:textId="61C4029C" w:rsidR="00D75D2D" w:rsidRPr="00D75D2D" w:rsidRDefault="00D75D2D" w:rsidP="0032664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While it is accepted that the defendant effected further improvements to the property after the plaintiff left in 2019, those improvements do not extinguish the plaintiff’s accrued entitlement arising from nearly two decades of marriage.</w:t>
      </w:r>
      <w:r w:rsidR="00AC1B39">
        <w:rPr>
          <w:rFonts w:ascii="Times New Roman" w:hAnsi="Times New Roman" w:cs="Times New Roman"/>
          <w:sz w:val="24"/>
          <w:szCs w:val="24"/>
        </w:rPr>
        <w:t xml:space="preserve"> However, this court also takes into account the fact that half of his inheritance from his parents contributed to the building. It does give the house an added sentimental value to the defendant. Also, the house had been acquired through a loan from defendant’s employer as opposed to joint savings. The direct financial contributions, in other words, were more from the defendant and the house remains an </w:t>
      </w:r>
      <w:r w:rsidR="005F2118">
        <w:rPr>
          <w:rFonts w:ascii="Times New Roman" w:hAnsi="Times New Roman" w:cs="Times New Roman"/>
          <w:sz w:val="24"/>
          <w:szCs w:val="24"/>
        </w:rPr>
        <w:t>on-going</w:t>
      </w:r>
      <w:r w:rsidR="00AC1B39">
        <w:rPr>
          <w:rFonts w:ascii="Times New Roman" w:hAnsi="Times New Roman" w:cs="Times New Roman"/>
          <w:sz w:val="24"/>
          <w:szCs w:val="24"/>
        </w:rPr>
        <w:t xml:space="preserve"> project. </w:t>
      </w:r>
    </w:p>
    <w:p w14:paraId="45B08137" w14:textId="77777777" w:rsidR="00D75D2D" w:rsidRPr="00D75D2D" w:rsidRDefault="00D75D2D" w:rsidP="00D75D2D">
      <w:pPr>
        <w:spacing w:line="360" w:lineRule="auto"/>
        <w:jc w:val="both"/>
        <w:rPr>
          <w:rFonts w:ascii="Times New Roman" w:hAnsi="Times New Roman" w:cs="Times New Roman"/>
          <w:b/>
          <w:bCs/>
          <w:sz w:val="24"/>
          <w:szCs w:val="24"/>
        </w:rPr>
      </w:pPr>
      <w:r w:rsidRPr="00D75D2D">
        <w:rPr>
          <w:rFonts w:ascii="Times New Roman" w:hAnsi="Times New Roman" w:cs="Times New Roman"/>
          <w:b/>
          <w:bCs/>
          <w:sz w:val="24"/>
          <w:szCs w:val="24"/>
        </w:rPr>
        <w:lastRenderedPageBreak/>
        <w:t>Distribution of the Matrimonial Home</w:t>
      </w:r>
    </w:p>
    <w:p w14:paraId="1F5A02AF" w14:textId="77777777" w:rsidR="00D75D2D" w:rsidRPr="00D75D2D" w:rsidRDefault="00D75D2D" w:rsidP="00D75D2D">
      <w:p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Taking into account:</w:t>
      </w:r>
    </w:p>
    <w:p w14:paraId="5B25B609" w14:textId="77777777" w:rsidR="00D75D2D" w:rsidRPr="00D75D2D" w:rsidRDefault="00D75D2D" w:rsidP="00D75D2D">
      <w:pPr>
        <w:numPr>
          <w:ilvl w:val="0"/>
          <w:numId w:val="6"/>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duration of the marriage;</w:t>
      </w:r>
    </w:p>
    <w:p w14:paraId="50C55587" w14:textId="77777777" w:rsidR="00D75D2D" w:rsidRPr="00D75D2D" w:rsidRDefault="00D75D2D" w:rsidP="00D75D2D">
      <w:pPr>
        <w:numPr>
          <w:ilvl w:val="0"/>
          <w:numId w:val="6"/>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contributions of both parties, direct and indirect;</w:t>
      </w:r>
    </w:p>
    <w:p w14:paraId="3D6F0937" w14:textId="77777777" w:rsidR="00D75D2D" w:rsidRPr="00D75D2D" w:rsidRDefault="00D75D2D" w:rsidP="00D75D2D">
      <w:pPr>
        <w:numPr>
          <w:ilvl w:val="0"/>
          <w:numId w:val="6"/>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fact that the house is the only significant immovable asset;</w:t>
      </w:r>
    </w:p>
    <w:p w14:paraId="67C14F68" w14:textId="77777777" w:rsidR="00D75D2D" w:rsidRPr="00D75D2D" w:rsidRDefault="00D75D2D" w:rsidP="00D75D2D">
      <w:pPr>
        <w:numPr>
          <w:ilvl w:val="0"/>
          <w:numId w:val="6"/>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improvements made after separation;</w:t>
      </w:r>
    </w:p>
    <w:p w14:paraId="058A9473" w14:textId="1E107490" w:rsidR="00D75D2D" w:rsidRPr="00B53073" w:rsidRDefault="00D75D2D" w:rsidP="0032664D">
      <w:pPr>
        <w:spacing w:line="360" w:lineRule="auto"/>
        <w:ind w:firstLine="360"/>
        <w:jc w:val="both"/>
        <w:rPr>
          <w:rFonts w:ascii="Times New Roman" w:hAnsi="Times New Roman" w:cs="Times New Roman"/>
          <w:sz w:val="24"/>
          <w:szCs w:val="24"/>
        </w:rPr>
      </w:pPr>
      <w:r w:rsidRPr="00D75D2D">
        <w:rPr>
          <w:rFonts w:ascii="Times New Roman" w:hAnsi="Times New Roman" w:cs="Times New Roman"/>
          <w:sz w:val="24"/>
          <w:szCs w:val="24"/>
        </w:rPr>
        <w:t xml:space="preserve">The court finds that a fair and just distribution would be to award the plaintiff a </w:t>
      </w:r>
      <w:r w:rsidR="005F2118">
        <w:rPr>
          <w:rFonts w:ascii="Times New Roman" w:hAnsi="Times New Roman" w:cs="Times New Roman"/>
          <w:sz w:val="24"/>
          <w:szCs w:val="24"/>
        </w:rPr>
        <w:t>4</w:t>
      </w:r>
      <w:r w:rsidRPr="00D75D2D">
        <w:rPr>
          <w:rFonts w:ascii="Times New Roman" w:hAnsi="Times New Roman" w:cs="Times New Roman"/>
          <w:sz w:val="24"/>
          <w:szCs w:val="24"/>
        </w:rPr>
        <w:t>0% share of the value of the matrimonial home as at the date of separation, with post-separation improvements to be excluded from the valuation.</w:t>
      </w:r>
    </w:p>
    <w:p w14:paraId="7832078E" w14:textId="5250EC6B" w:rsidR="00D75D2D" w:rsidRPr="00D75D2D" w:rsidRDefault="00D75D2D" w:rsidP="00D75D2D">
      <w:pPr>
        <w:spacing w:line="360" w:lineRule="auto"/>
        <w:jc w:val="both"/>
        <w:rPr>
          <w:rFonts w:ascii="Times New Roman" w:hAnsi="Times New Roman" w:cs="Times New Roman"/>
          <w:b/>
          <w:bCs/>
          <w:sz w:val="24"/>
          <w:szCs w:val="24"/>
        </w:rPr>
      </w:pPr>
      <w:r w:rsidRPr="00D75D2D">
        <w:rPr>
          <w:rFonts w:ascii="Times New Roman" w:hAnsi="Times New Roman" w:cs="Times New Roman"/>
          <w:b/>
          <w:bCs/>
          <w:sz w:val="24"/>
          <w:szCs w:val="24"/>
        </w:rPr>
        <w:t>Order</w:t>
      </w:r>
    </w:p>
    <w:p w14:paraId="3258BCD6" w14:textId="77777777" w:rsidR="00D75D2D" w:rsidRPr="00D75D2D" w:rsidRDefault="00D75D2D" w:rsidP="00D75D2D">
      <w:p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Accordingly, it is ordered as follows:</w:t>
      </w:r>
    </w:p>
    <w:p w14:paraId="1151271A" w14:textId="77777777" w:rsidR="00D75D2D" w:rsidRPr="00D75D2D"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A decree of divorce is hereby granted.</w:t>
      </w:r>
    </w:p>
    <w:p w14:paraId="014A31EC" w14:textId="77777777" w:rsidR="00D75D2D" w:rsidRPr="00D75D2D"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immovable property known as 150 Crowborough Way, Mufakose shall be valued by an independent estate valuer agreed upon by the parties, or failing agreement, appointed by the Registrar.</w:t>
      </w:r>
    </w:p>
    <w:p w14:paraId="1669CCFB" w14:textId="77777777" w:rsidR="00D75D2D" w:rsidRPr="00D75D2D"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valuation shall reflect the value of the property as at March 2019, excluding improvements effected thereafter.</w:t>
      </w:r>
    </w:p>
    <w:p w14:paraId="73E96D08" w14:textId="5E7DA611" w:rsidR="00D75D2D" w:rsidRPr="00D75D2D"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plaintiff, Lucia Reginald, is awarded </w:t>
      </w:r>
      <w:r w:rsidR="005F2118">
        <w:rPr>
          <w:rFonts w:ascii="Times New Roman" w:hAnsi="Times New Roman" w:cs="Times New Roman"/>
          <w:sz w:val="24"/>
          <w:szCs w:val="24"/>
        </w:rPr>
        <w:t>4</w:t>
      </w:r>
      <w:r w:rsidRPr="00D75D2D">
        <w:rPr>
          <w:rFonts w:ascii="Times New Roman" w:hAnsi="Times New Roman" w:cs="Times New Roman"/>
          <w:sz w:val="24"/>
          <w:szCs w:val="24"/>
        </w:rPr>
        <w:t>0% of the assessed value.</w:t>
      </w:r>
    </w:p>
    <w:p w14:paraId="5D08CBEB" w14:textId="27F6081D" w:rsidR="00D75D2D" w:rsidRPr="00D75D2D"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The defendant, Raphael Reginald, shall pay the plaintiff her share within a reasonable period to be agreed upon,</w:t>
      </w:r>
      <w:r w:rsidR="00AC1B39">
        <w:rPr>
          <w:rFonts w:ascii="Times New Roman" w:hAnsi="Times New Roman" w:cs="Times New Roman"/>
          <w:sz w:val="24"/>
          <w:szCs w:val="24"/>
        </w:rPr>
        <w:t xml:space="preserve"> </w:t>
      </w:r>
      <w:r w:rsidR="00B53073">
        <w:rPr>
          <w:rFonts w:ascii="Times New Roman" w:hAnsi="Times New Roman" w:cs="Times New Roman"/>
          <w:sz w:val="24"/>
          <w:szCs w:val="24"/>
        </w:rPr>
        <w:t>being in any event not</w:t>
      </w:r>
      <w:r w:rsidR="00AC1B39">
        <w:rPr>
          <w:rFonts w:ascii="Times New Roman" w:hAnsi="Times New Roman" w:cs="Times New Roman"/>
          <w:sz w:val="24"/>
          <w:szCs w:val="24"/>
        </w:rPr>
        <w:t xml:space="preserve"> </w:t>
      </w:r>
      <w:r w:rsidR="00B53073">
        <w:rPr>
          <w:rFonts w:ascii="Times New Roman" w:hAnsi="Times New Roman" w:cs="Times New Roman"/>
          <w:sz w:val="24"/>
          <w:szCs w:val="24"/>
        </w:rPr>
        <w:t>later than 12 months</w:t>
      </w:r>
      <w:r w:rsidR="00AC1B39">
        <w:rPr>
          <w:rFonts w:ascii="Times New Roman" w:hAnsi="Times New Roman" w:cs="Times New Roman"/>
          <w:sz w:val="24"/>
          <w:szCs w:val="24"/>
        </w:rPr>
        <w:t xml:space="preserve"> </w:t>
      </w:r>
      <w:r w:rsidR="00B53073">
        <w:rPr>
          <w:rFonts w:ascii="Times New Roman" w:hAnsi="Times New Roman" w:cs="Times New Roman"/>
          <w:sz w:val="24"/>
          <w:szCs w:val="24"/>
        </w:rPr>
        <w:t xml:space="preserve">from the date of this order, </w:t>
      </w:r>
      <w:r w:rsidRPr="00D75D2D">
        <w:rPr>
          <w:rFonts w:ascii="Times New Roman" w:hAnsi="Times New Roman" w:cs="Times New Roman"/>
          <w:sz w:val="24"/>
          <w:szCs w:val="24"/>
        </w:rPr>
        <w:t>failing which the property shall be sold and the proceeds distributed accordingly.</w:t>
      </w:r>
    </w:p>
    <w:p w14:paraId="3583F048" w14:textId="77777777" w:rsidR="00D75D2D" w:rsidRPr="00B53073" w:rsidRDefault="00D75D2D" w:rsidP="00D75D2D">
      <w:pPr>
        <w:numPr>
          <w:ilvl w:val="0"/>
          <w:numId w:val="7"/>
        </w:numPr>
        <w:spacing w:line="360" w:lineRule="auto"/>
        <w:jc w:val="both"/>
        <w:rPr>
          <w:rFonts w:ascii="Times New Roman" w:hAnsi="Times New Roman" w:cs="Times New Roman"/>
          <w:sz w:val="24"/>
          <w:szCs w:val="24"/>
        </w:rPr>
      </w:pPr>
      <w:r w:rsidRPr="00D75D2D">
        <w:rPr>
          <w:rFonts w:ascii="Times New Roman" w:hAnsi="Times New Roman" w:cs="Times New Roman"/>
          <w:sz w:val="24"/>
          <w:szCs w:val="24"/>
        </w:rPr>
        <w:t>Each party shall bear their own costs.</w:t>
      </w:r>
    </w:p>
    <w:p w14:paraId="5E279E5A" w14:textId="40C13948" w:rsidR="00190A6D" w:rsidRDefault="00190A6D" w:rsidP="0032664D">
      <w:pPr>
        <w:spacing w:line="360" w:lineRule="auto"/>
        <w:jc w:val="both"/>
        <w:rPr>
          <w:rFonts w:ascii="Times New Roman" w:hAnsi="Times New Roman" w:cs="Times New Roman"/>
          <w:sz w:val="24"/>
          <w:szCs w:val="24"/>
        </w:rPr>
      </w:pPr>
    </w:p>
    <w:p w14:paraId="5B7A4BE4" w14:textId="34B48F73" w:rsidR="0032664D" w:rsidRPr="00B005F4" w:rsidRDefault="0032664D" w:rsidP="0032664D">
      <w:pPr>
        <w:spacing w:line="360" w:lineRule="auto"/>
        <w:jc w:val="both"/>
        <w:rPr>
          <w:rFonts w:ascii="Times New Roman" w:hAnsi="Times New Roman" w:cs="Times New Roman"/>
          <w:b/>
          <w:bCs/>
          <w:sz w:val="24"/>
          <w:szCs w:val="24"/>
        </w:rPr>
      </w:pPr>
      <w:r w:rsidRPr="00B005F4">
        <w:rPr>
          <w:rFonts w:ascii="Times New Roman" w:hAnsi="Times New Roman" w:cs="Times New Roman"/>
          <w:b/>
          <w:bCs/>
          <w:smallCaps/>
          <w:sz w:val="24"/>
          <w:szCs w:val="24"/>
        </w:rPr>
        <w:t>Tsanga</w:t>
      </w:r>
      <w:r w:rsidRPr="00B005F4">
        <w:rPr>
          <w:rFonts w:ascii="Times New Roman" w:hAnsi="Times New Roman" w:cs="Times New Roman"/>
          <w:b/>
          <w:bCs/>
          <w:sz w:val="24"/>
          <w:szCs w:val="24"/>
        </w:rPr>
        <w:t xml:space="preserve"> J:…………………….</w:t>
      </w:r>
    </w:p>
    <w:p w14:paraId="4CD50394" w14:textId="77777777" w:rsidR="0032664D" w:rsidRDefault="0032664D" w:rsidP="0032664D">
      <w:pPr>
        <w:spacing w:line="360" w:lineRule="auto"/>
        <w:jc w:val="both"/>
        <w:rPr>
          <w:rFonts w:ascii="Times New Roman" w:hAnsi="Times New Roman" w:cs="Times New Roman"/>
          <w:sz w:val="24"/>
          <w:szCs w:val="24"/>
        </w:rPr>
      </w:pPr>
    </w:p>
    <w:p w14:paraId="7DDF4C28" w14:textId="3C7CEBC6" w:rsidR="0032664D" w:rsidRPr="00D75D2D" w:rsidRDefault="0024752E" w:rsidP="0032664D">
      <w:pPr>
        <w:spacing w:line="360" w:lineRule="auto"/>
        <w:jc w:val="both"/>
        <w:rPr>
          <w:rFonts w:ascii="Times New Roman" w:hAnsi="Times New Roman" w:cs="Times New Roman"/>
          <w:sz w:val="24"/>
          <w:szCs w:val="24"/>
        </w:rPr>
      </w:pPr>
      <w:r w:rsidRPr="00605630">
        <w:rPr>
          <w:rFonts w:ascii="Times New Roman" w:hAnsi="Times New Roman" w:cs="Times New Roman"/>
          <w:i/>
          <w:iCs/>
          <w:sz w:val="24"/>
          <w:szCs w:val="24"/>
        </w:rPr>
        <w:lastRenderedPageBreak/>
        <w:t>Muchini Attorneys</w:t>
      </w:r>
      <w:r w:rsidR="00E01E95">
        <w:rPr>
          <w:rFonts w:ascii="Times New Roman" w:hAnsi="Times New Roman" w:cs="Times New Roman"/>
          <w:sz w:val="24"/>
          <w:szCs w:val="24"/>
        </w:rPr>
        <w:t xml:space="preserve">, </w:t>
      </w:r>
      <w:r w:rsidR="00E01E95" w:rsidRPr="00A00FA6">
        <w:rPr>
          <w:rFonts w:ascii="Times New Roman" w:hAnsi="Times New Roman" w:cs="Times New Roman"/>
          <w:sz w:val="24"/>
          <w:szCs w:val="24"/>
        </w:rPr>
        <w:t>plaintiff’s legal practitioners</w:t>
      </w:r>
    </w:p>
    <w:sectPr w:rsidR="0032664D" w:rsidRPr="00D75D2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E00FE" w14:textId="77777777" w:rsidR="00967A75" w:rsidRDefault="00967A75" w:rsidP="00D75D2D">
      <w:pPr>
        <w:spacing w:after="0" w:line="240" w:lineRule="auto"/>
      </w:pPr>
      <w:r>
        <w:separator/>
      </w:r>
    </w:p>
  </w:endnote>
  <w:endnote w:type="continuationSeparator" w:id="0">
    <w:p w14:paraId="1ACBB1E6" w14:textId="77777777" w:rsidR="00967A75" w:rsidRDefault="00967A75" w:rsidP="00D75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7648D" w14:textId="2BC02B8F" w:rsidR="00D75D2D" w:rsidRDefault="00D75D2D" w:rsidP="009E6547">
    <w:pPr>
      <w:pStyle w:val="Footer"/>
    </w:pPr>
  </w:p>
  <w:p w14:paraId="3B940250" w14:textId="77777777" w:rsidR="00D75D2D" w:rsidRDefault="00D75D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D4537" w14:textId="77777777" w:rsidR="00967A75" w:rsidRDefault="00967A75" w:rsidP="00D75D2D">
      <w:pPr>
        <w:spacing w:after="0" w:line="240" w:lineRule="auto"/>
      </w:pPr>
      <w:r>
        <w:separator/>
      </w:r>
    </w:p>
  </w:footnote>
  <w:footnote w:type="continuationSeparator" w:id="0">
    <w:p w14:paraId="1B69E073" w14:textId="77777777" w:rsidR="00967A75" w:rsidRDefault="00967A75" w:rsidP="00D75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224696"/>
      <w:docPartObj>
        <w:docPartGallery w:val="Page Numbers (Top of Page)"/>
        <w:docPartUnique/>
      </w:docPartObj>
    </w:sdtPr>
    <w:sdtEndPr>
      <w:rPr>
        <w:noProof/>
      </w:rPr>
    </w:sdtEndPr>
    <w:sdtContent>
      <w:p w14:paraId="60B4ADED" w14:textId="77777777" w:rsidR="0032664D" w:rsidRDefault="0032664D">
        <w:pPr>
          <w:pStyle w:val="Header"/>
          <w:jc w:val="right"/>
          <w:rPr>
            <w:noProof/>
          </w:rPr>
        </w:pPr>
        <w:r>
          <w:fldChar w:fldCharType="begin"/>
        </w:r>
        <w:r>
          <w:instrText xml:space="preserve"> PAGE   \* MERGEFORMAT </w:instrText>
        </w:r>
        <w:r>
          <w:fldChar w:fldCharType="separate"/>
        </w:r>
        <w:r w:rsidR="00E42724">
          <w:rPr>
            <w:noProof/>
          </w:rPr>
          <w:t>1</w:t>
        </w:r>
        <w:r>
          <w:rPr>
            <w:noProof/>
          </w:rPr>
          <w:fldChar w:fldCharType="end"/>
        </w:r>
      </w:p>
      <w:p w14:paraId="2ABCC6B7" w14:textId="0B94379A" w:rsidR="0032664D" w:rsidRDefault="0032664D">
        <w:pPr>
          <w:pStyle w:val="Header"/>
          <w:jc w:val="right"/>
          <w:rPr>
            <w:noProof/>
          </w:rPr>
        </w:pPr>
        <w:r>
          <w:rPr>
            <w:noProof/>
          </w:rPr>
          <w:t>HH</w:t>
        </w:r>
        <w:r w:rsidR="00A47FC5">
          <w:rPr>
            <w:noProof/>
          </w:rPr>
          <w:t xml:space="preserve"> 38-26</w:t>
        </w:r>
      </w:p>
      <w:p w14:paraId="2EF251CC" w14:textId="31454CB2" w:rsidR="0032664D" w:rsidRDefault="0032664D">
        <w:pPr>
          <w:pStyle w:val="Header"/>
          <w:jc w:val="right"/>
        </w:pPr>
        <w:r>
          <w:rPr>
            <w:noProof/>
          </w:rPr>
          <w:t>HCH 248</w:t>
        </w:r>
        <w:r w:rsidR="0024752E">
          <w:rPr>
            <w:noProof/>
          </w:rPr>
          <w:t>4</w:t>
        </w:r>
        <w:r>
          <w:rPr>
            <w:noProof/>
          </w:rPr>
          <w:t>/19</w:t>
        </w:r>
      </w:p>
    </w:sdtContent>
  </w:sdt>
  <w:p w14:paraId="396BF2AD" w14:textId="77777777" w:rsidR="0032664D" w:rsidRDefault="003266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2949"/>
    <w:multiLevelType w:val="multilevel"/>
    <w:tmpl w:val="25F80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BC0AB4"/>
    <w:multiLevelType w:val="multilevel"/>
    <w:tmpl w:val="BF22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EF645B8"/>
    <w:multiLevelType w:val="multilevel"/>
    <w:tmpl w:val="E3DC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5C2BF4"/>
    <w:multiLevelType w:val="multilevel"/>
    <w:tmpl w:val="D3C4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F075D8"/>
    <w:multiLevelType w:val="multilevel"/>
    <w:tmpl w:val="6236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5EB2FAC"/>
    <w:multiLevelType w:val="multilevel"/>
    <w:tmpl w:val="0E9C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CE8555A"/>
    <w:multiLevelType w:val="multilevel"/>
    <w:tmpl w:val="4ADC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D2D"/>
    <w:rsid w:val="00070D0D"/>
    <w:rsid w:val="000F7AEE"/>
    <w:rsid w:val="001154FC"/>
    <w:rsid w:val="00190A6D"/>
    <w:rsid w:val="0024752E"/>
    <w:rsid w:val="00297680"/>
    <w:rsid w:val="002C590D"/>
    <w:rsid w:val="002D42D8"/>
    <w:rsid w:val="0032664D"/>
    <w:rsid w:val="00381430"/>
    <w:rsid w:val="00441AA9"/>
    <w:rsid w:val="00461B36"/>
    <w:rsid w:val="004B405C"/>
    <w:rsid w:val="005F2118"/>
    <w:rsid w:val="00605630"/>
    <w:rsid w:val="006276C4"/>
    <w:rsid w:val="007812A9"/>
    <w:rsid w:val="008163BF"/>
    <w:rsid w:val="00967A75"/>
    <w:rsid w:val="009E6547"/>
    <w:rsid w:val="00A00FA6"/>
    <w:rsid w:val="00A47FC5"/>
    <w:rsid w:val="00AC1B39"/>
    <w:rsid w:val="00B005F4"/>
    <w:rsid w:val="00B22C51"/>
    <w:rsid w:val="00B53073"/>
    <w:rsid w:val="00C61A88"/>
    <w:rsid w:val="00CA35EB"/>
    <w:rsid w:val="00CE17BE"/>
    <w:rsid w:val="00CF510E"/>
    <w:rsid w:val="00D75D2D"/>
    <w:rsid w:val="00DC717B"/>
    <w:rsid w:val="00E01E95"/>
    <w:rsid w:val="00E42724"/>
    <w:rsid w:val="00E92669"/>
    <w:rsid w:val="00EC484B"/>
    <w:rsid w:val="00FC018F"/>
    <w:rsid w:val="00FE18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1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5D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5D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5D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5D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5D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5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D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5D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5D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5D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5D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5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D2D"/>
    <w:rPr>
      <w:rFonts w:eastAsiaTheme="majorEastAsia" w:cstheme="majorBidi"/>
      <w:color w:val="272727" w:themeColor="text1" w:themeTint="D8"/>
    </w:rPr>
  </w:style>
  <w:style w:type="paragraph" w:styleId="Title">
    <w:name w:val="Title"/>
    <w:basedOn w:val="Normal"/>
    <w:next w:val="Normal"/>
    <w:link w:val="TitleChar"/>
    <w:uiPriority w:val="10"/>
    <w:qFormat/>
    <w:rsid w:val="00D75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D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D2D"/>
    <w:pPr>
      <w:spacing w:before="160"/>
      <w:jc w:val="center"/>
    </w:pPr>
    <w:rPr>
      <w:i/>
      <w:iCs/>
      <w:color w:val="404040" w:themeColor="text1" w:themeTint="BF"/>
    </w:rPr>
  </w:style>
  <w:style w:type="character" w:customStyle="1" w:styleId="QuoteChar">
    <w:name w:val="Quote Char"/>
    <w:basedOn w:val="DefaultParagraphFont"/>
    <w:link w:val="Quote"/>
    <w:uiPriority w:val="29"/>
    <w:rsid w:val="00D75D2D"/>
    <w:rPr>
      <w:i/>
      <w:iCs/>
      <w:color w:val="404040" w:themeColor="text1" w:themeTint="BF"/>
    </w:rPr>
  </w:style>
  <w:style w:type="paragraph" w:styleId="ListParagraph">
    <w:name w:val="List Paragraph"/>
    <w:basedOn w:val="Normal"/>
    <w:uiPriority w:val="34"/>
    <w:qFormat/>
    <w:rsid w:val="00D75D2D"/>
    <w:pPr>
      <w:ind w:left="720"/>
      <w:contextualSpacing/>
    </w:pPr>
  </w:style>
  <w:style w:type="character" w:styleId="IntenseEmphasis">
    <w:name w:val="Intense Emphasis"/>
    <w:basedOn w:val="DefaultParagraphFont"/>
    <w:uiPriority w:val="21"/>
    <w:qFormat/>
    <w:rsid w:val="00D75D2D"/>
    <w:rPr>
      <w:i/>
      <w:iCs/>
      <w:color w:val="2F5496" w:themeColor="accent1" w:themeShade="BF"/>
    </w:rPr>
  </w:style>
  <w:style w:type="paragraph" w:styleId="IntenseQuote">
    <w:name w:val="Intense Quote"/>
    <w:basedOn w:val="Normal"/>
    <w:next w:val="Normal"/>
    <w:link w:val="IntenseQuoteChar"/>
    <w:uiPriority w:val="30"/>
    <w:qFormat/>
    <w:rsid w:val="00D75D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5D2D"/>
    <w:rPr>
      <w:i/>
      <w:iCs/>
      <w:color w:val="2F5496" w:themeColor="accent1" w:themeShade="BF"/>
    </w:rPr>
  </w:style>
  <w:style w:type="character" w:styleId="IntenseReference">
    <w:name w:val="Intense Reference"/>
    <w:basedOn w:val="DefaultParagraphFont"/>
    <w:uiPriority w:val="32"/>
    <w:qFormat/>
    <w:rsid w:val="00D75D2D"/>
    <w:rPr>
      <w:b/>
      <w:bCs/>
      <w:smallCaps/>
      <w:color w:val="2F5496" w:themeColor="accent1" w:themeShade="BF"/>
      <w:spacing w:val="5"/>
    </w:rPr>
  </w:style>
  <w:style w:type="character" w:styleId="Hyperlink">
    <w:name w:val="Hyperlink"/>
    <w:basedOn w:val="DefaultParagraphFont"/>
    <w:uiPriority w:val="99"/>
    <w:unhideWhenUsed/>
    <w:rsid w:val="00D75D2D"/>
    <w:rPr>
      <w:color w:val="0563C1" w:themeColor="hyperlink"/>
      <w:u w:val="single"/>
    </w:rPr>
  </w:style>
  <w:style w:type="character" w:customStyle="1" w:styleId="UnresolvedMention">
    <w:name w:val="Unresolved Mention"/>
    <w:basedOn w:val="DefaultParagraphFont"/>
    <w:uiPriority w:val="99"/>
    <w:semiHidden/>
    <w:unhideWhenUsed/>
    <w:rsid w:val="00D75D2D"/>
    <w:rPr>
      <w:color w:val="605E5C"/>
      <w:shd w:val="clear" w:color="auto" w:fill="E1DFDD"/>
    </w:rPr>
  </w:style>
  <w:style w:type="paragraph" w:styleId="Header">
    <w:name w:val="header"/>
    <w:basedOn w:val="Normal"/>
    <w:link w:val="HeaderChar"/>
    <w:uiPriority w:val="99"/>
    <w:unhideWhenUsed/>
    <w:rsid w:val="00D7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2D"/>
  </w:style>
  <w:style w:type="paragraph" w:styleId="Footer">
    <w:name w:val="footer"/>
    <w:basedOn w:val="Normal"/>
    <w:link w:val="FooterChar"/>
    <w:uiPriority w:val="99"/>
    <w:unhideWhenUsed/>
    <w:rsid w:val="00D7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5D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5D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5D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5D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5D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5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D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5D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5D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5D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5D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5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D2D"/>
    <w:rPr>
      <w:rFonts w:eastAsiaTheme="majorEastAsia" w:cstheme="majorBidi"/>
      <w:color w:val="272727" w:themeColor="text1" w:themeTint="D8"/>
    </w:rPr>
  </w:style>
  <w:style w:type="paragraph" w:styleId="Title">
    <w:name w:val="Title"/>
    <w:basedOn w:val="Normal"/>
    <w:next w:val="Normal"/>
    <w:link w:val="TitleChar"/>
    <w:uiPriority w:val="10"/>
    <w:qFormat/>
    <w:rsid w:val="00D75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D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D2D"/>
    <w:pPr>
      <w:spacing w:before="160"/>
      <w:jc w:val="center"/>
    </w:pPr>
    <w:rPr>
      <w:i/>
      <w:iCs/>
      <w:color w:val="404040" w:themeColor="text1" w:themeTint="BF"/>
    </w:rPr>
  </w:style>
  <w:style w:type="character" w:customStyle="1" w:styleId="QuoteChar">
    <w:name w:val="Quote Char"/>
    <w:basedOn w:val="DefaultParagraphFont"/>
    <w:link w:val="Quote"/>
    <w:uiPriority w:val="29"/>
    <w:rsid w:val="00D75D2D"/>
    <w:rPr>
      <w:i/>
      <w:iCs/>
      <w:color w:val="404040" w:themeColor="text1" w:themeTint="BF"/>
    </w:rPr>
  </w:style>
  <w:style w:type="paragraph" w:styleId="ListParagraph">
    <w:name w:val="List Paragraph"/>
    <w:basedOn w:val="Normal"/>
    <w:uiPriority w:val="34"/>
    <w:qFormat/>
    <w:rsid w:val="00D75D2D"/>
    <w:pPr>
      <w:ind w:left="720"/>
      <w:contextualSpacing/>
    </w:pPr>
  </w:style>
  <w:style w:type="character" w:styleId="IntenseEmphasis">
    <w:name w:val="Intense Emphasis"/>
    <w:basedOn w:val="DefaultParagraphFont"/>
    <w:uiPriority w:val="21"/>
    <w:qFormat/>
    <w:rsid w:val="00D75D2D"/>
    <w:rPr>
      <w:i/>
      <w:iCs/>
      <w:color w:val="2F5496" w:themeColor="accent1" w:themeShade="BF"/>
    </w:rPr>
  </w:style>
  <w:style w:type="paragraph" w:styleId="IntenseQuote">
    <w:name w:val="Intense Quote"/>
    <w:basedOn w:val="Normal"/>
    <w:next w:val="Normal"/>
    <w:link w:val="IntenseQuoteChar"/>
    <w:uiPriority w:val="30"/>
    <w:qFormat/>
    <w:rsid w:val="00D75D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5D2D"/>
    <w:rPr>
      <w:i/>
      <w:iCs/>
      <w:color w:val="2F5496" w:themeColor="accent1" w:themeShade="BF"/>
    </w:rPr>
  </w:style>
  <w:style w:type="character" w:styleId="IntenseReference">
    <w:name w:val="Intense Reference"/>
    <w:basedOn w:val="DefaultParagraphFont"/>
    <w:uiPriority w:val="32"/>
    <w:qFormat/>
    <w:rsid w:val="00D75D2D"/>
    <w:rPr>
      <w:b/>
      <w:bCs/>
      <w:smallCaps/>
      <w:color w:val="2F5496" w:themeColor="accent1" w:themeShade="BF"/>
      <w:spacing w:val="5"/>
    </w:rPr>
  </w:style>
  <w:style w:type="character" w:styleId="Hyperlink">
    <w:name w:val="Hyperlink"/>
    <w:basedOn w:val="DefaultParagraphFont"/>
    <w:uiPriority w:val="99"/>
    <w:unhideWhenUsed/>
    <w:rsid w:val="00D75D2D"/>
    <w:rPr>
      <w:color w:val="0563C1" w:themeColor="hyperlink"/>
      <w:u w:val="single"/>
    </w:rPr>
  </w:style>
  <w:style w:type="character" w:customStyle="1" w:styleId="UnresolvedMention">
    <w:name w:val="Unresolved Mention"/>
    <w:basedOn w:val="DefaultParagraphFont"/>
    <w:uiPriority w:val="99"/>
    <w:semiHidden/>
    <w:unhideWhenUsed/>
    <w:rsid w:val="00D75D2D"/>
    <w:rPr>
      <w:color w:val="605E5C"/>
      <w:shd w:val="clear" w:color="auto" w:fill="E1DFDD"/>
    </w:rPr>
  </w:style>
  <w:style w:type="paragraph" w:styleId="Header">
    <w:name w:val="header"/>
    <w:basedOn w:val="Normal"/>
    <w:link w:val="HeaderChar"/>
    <w:uiPriority w:val="99"/>
    <w:unhideWhenUsed/>
    <w:rsid w:val="00D7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2D"/>
  </w:style>
  <w:style w:type="paragraph" w:styleId="Footer">
    <w:name w:val="footer"/>
    <w:basedOn w:val="Normal"/>
    <w:link w:val="FooterChar"/>
    <w:uiPriority w:val="99"/>
    <w:unhideWhenUsed/>
    <w:rsid w:val="00D7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2026-01-13T11:14:00Z</cp:lastPrinted>
  <dcterms:created xsi:type="dcterms:W3CDTF">2026-01-16T09:45:00Z</dcterms:created>
  <dcterms:modified xsi:type="dcterms:W3CDTF">2026-01-16T09:45:00Z</dcterms:modified>
</cp:coreProperties>
</file>