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B87" w:rsidRDefault="00AA781F" w:rsidP="00AA781F">
      <w:pPr>
        <w:spacing w:line="360" w:lineRule="auto"/>
        <w:jc w:val="both"/>
        <w:rPr>
          <w:b/>
          <w:sz w:val="28"/>
          <w:szCs w:val="28"/>
        </w:rPr>
      </w:pPr>
      <w:r>
        <w:rPr>
          <w:b/>
          <w:sz w:val="28"/>
          <w:szCs w:val="28"/>
        </w:rPr>
        <w:t>IN THE LABOUR COURT OF ZIMBABWE</w:t>
      </w:r>
      <w:r>
        <w:rPr>
          <w:b/>
          <w:sz w:val="28"/>
          <w:szCs w:val="28"/>
        </w:rPr>
        <w:tab/>
        <w:t xml:space="preserve">      JUDGMENT NO LC/H/644/13</w:t>
      </w:r>
    </w:p>
    <w:p w:rsidR="00AA781F" w:rsidRDefault="00AA781F" w:rsidP="00975066">
      <w:pPr>
        <w:spacing w:after="0" w:line="360" w:lineRule="auto"/>
        <w:jc w:val="both"/>
        <w:rPr>
          <w:b/>
          <w:sz w:val="28"/>
          <w:szCs w:val="28"/>
        </w:rPr>
      </w:pPr>
      <w:r>
        <w:rPr>
          <w:b/>
          <w:sz w:val="28"/>
          <w:szCs w:val="28"/>
        </w:rPr>
        <w:t>HELD AT HARARE ON 6</w:t>
      </w:r>
      <w:r w:rsidRPr="00AA781F">
        <w:rPr>
          <w:b/>
          <w:sz w:val="28"/>
          <w:szCs w:val="28"/>
          <w:vertAlign w:val="superscript"/>
        </w:rPr>
        <w:t>TH</w:t>
      </w:r>
      <w:r>
        <w:rPr>
          <w:b/>
          <w:sz w:val="28"/>
          <w:szCs w:val="28"/>
        </w:rPr>
        <w:t xml:space="preserve"> NOVEMBER 2013</w:t>
      </w:r>
      <w:r>
        <w:rPr>
          <w:b/>
          <w:sz w:val="28"/>
          <w:szCs w:val="28"/>
        </w:rPr>
        <w:tab/>
        <w:t xml:space="preserve">      CASE NO LC/H/627/13</w:t>
      </w:r>
    </w:p>
    <w:p w:rsidR="00975066" w:rsidRDefault="00975066" w:rsidP="00975066">
      <w:pPr>
        <w:spacing w:after="0" w:line="360" w:lineRule="auto"/>
        <w:jc w:val="both"/>
        <w:rPr>
          <w:b/>
          <w:sz w:val="28"/>
          <w:szCs w:val="28"/>
        </w:rPr>
      </w:pPr>
      <w:r>
        <w:rPr>
          <w:b/>
          <w:sz w:val="28"/>
          <w:szCs w:val="28"/>
        </w:rPr>
        <w:t>AND 22</w:t>
      </w:r>
      <w:r w:rsidRPr="00975066">
        <w:rPr>
          <w:b/>
          <w:sz w:val="28"/>
          <w:szCs w:val="28"/>
          <w:vertAlign w:val="superscript"/>
        </w:rPr>
        <w:t>ND</w:t>
      </w:r>
      <w:r>
        <w:rPr>
          <w:b/>
          <w:sz w:val="28"/>
          <w:szCs w:val="28"/>
        </w:rPr>
        <w:t xml:space="preserve"> NOVEMBER 2013</w:t>
      </w:r>
    </w:p>
    <w:p w:rsidR="00975066" w:rsidRDefault="00975066" w:rsidP="00975066">
      <w:pPr>
        <w:spacing w:after="0" w:line="360" w:lineRule="auto"/>
        <w:jc w:val="both"/>
        <w:rPr>
          <w:b/>
          <w:sz w:val="28"/>
          <w:szCs w:val="28"/>
        </w:rPr>
      </w:pPr>
    </w:p>
    <w:p w:rsidR="00AA781F" w:rsidRDefault="00AA781F" w:rsidP="00975066">
      <w:pPr>
        <w:spacing w:after="0" w:line="360" w:lineRule="auto"/>
        <w:jc w:val="both"/>
        <w:rPr>
          <w:sz w:val="28"/>
          <w:szCs w:val="28"/>
        </w:rPr>
      </w:pPr>
      <w:r>
        <w:rPr>
          <w:sz w:val="28"/>
          <w:szCs w:val="28"/>
        </w:rPr>
        <w:t>In the matter between:-</w:t>
      </w:r>
    </w:p>
    <w:p w:rsidR="00975066" w:rsidRDefault="00975066" w:rsidP="00975066">
      <w:pPr>
        <w:spacing w:after="0" w:line="360" w:lineRule="auto"/>
        <w:jc w:val="both"/>
        <w:rPr>
          <w:sz w:val="28"/>
          <w:szCs w:val="28"/>
        </w:rPr>
      </w:pPr>
    </w:p>
    <w:p w:rsidR="00AA781F" w:rsidRDefault="00AA781F" w:rsidP="00AA781F">
      <w:pPr>
        <w:spacing w:line="360" w:lineRule="auto"/>
        <w:jc w:val="both"/>
        <w:rPr>
          <w:b/>
          <w:sz w:val="28"/>
          <w:szCs w:val="28"/>
        </w:rPr>
      </w:pPr>
      <w:r>
        <w:rPr>
          <w:b/>
          <w:sz w:val="28"/>
          <w:szCs w:val="28"/>
        </w:rPr>
        <w:t>CALVIN MATSINDE</w:t>
      </w:r>
      <w:r>
        <w:rPr>
          <w:b/>
          <w:sz w:val="28"/>
          <w:szCs w:val="28"/>
        </w:rPr>
        <w:tab/>
      </w:r>
      <w:r>
        <w:rPr>
          <w:b/>
          <w:sz w:val="28"/>
          <w:szCs w:val="28"/>
        </w:rPr>
        <w:tab/>
      </w:r>
      <w:r>
        <w:rPr>
          <w:b/>
          <w:sz w:val="28"/>
          <w:szCs w:val="28"/>
        </w:rPr>
        <w:tab/>
      </w:r>
      <w:r>
        <w:rPr>
          <w:b/>
          <w:sz w:val="28"/>
          <w:szCs w:val="28"/>
        </w:rPr>
        <w:tab/>
      </w:r>
      <w:r>
        <w:rPr>
          <w:b/>
          <w:sz w:val="28"/>
          <w:szCs w:val="28"/>
        </w:rPr>
        <w:tab/>
        <w:t>Appellant</w:t>
      </w:r>
    </w:p>
    <w:p w:rsidR="00AA781F" w:rsidRDefault="00AA781F" w:rsidP="00AA781F">
      <w:pPr>
        <w:spacing w:line="360" w:lineRule="auto"/>
        <w:jc w:val="both"/>
        <w:rPr>
          <w:b/>
          <w:sz w:val="28"/>
          <w:szCs w:val="28"/>
        </w:rPr>
      </w:pPr>
      <w:r>
        <w:rPr>
          <w:b/>
          <w:sz w:val="28"/>
          <w:szCs w:val="28"/>
        </w:rPr>
        <w:t>And</w:t>
      </w:r>
    </w:p>
    <w:p w:rsidR="00AA781F" w:rsidRDefault="00AA781F" w:rsidP="00AA781F">
      <w:pPr>
        <w:spacing w:line="360" w:lineRule="auto"/>
        <w:jc w:val="both"/>
        <w:rPr>
          <w:b/>
          <w:sz w:val="28"/>
          <w:szCs w:val="28"/>
        </w:rPr>
      </w:pPr>
      <w:r>
        <w:rPr>
          <w:b/>
          <w:sz w:val="28"/>
          <w:szCs w:val="28"/>
        </w:rPr>
        <w:t>ZIMBABWE RED CROSS SOCIETY</w:t>
      </w:r>
      <w:r>
        <w:rPr>
          <w:b/>
          <w:sz w:val="28"/>
          <w:szCs w:val="28"/>
        </w:rPr>
        <w:tab/>
      </w:r>
      <w:r>
        <w:rPr>
          <w:b/>
          <w:sz w:val="28"/>
          <w:szCs w:val="28"/>
        </w:rPr>
        <w:tab/>
      </w:r>
      <w:r>
        <w:rPr>
          <w:b/>
          <w:sz w:val="28"/>
          <w:szCs w:val="28"/>
        </w:rPr>
        <w:tab/>
        <w:t>Respondent</w:t>
      </w:r>
    </w:p>
    <w:p w:rsidR="00AA781F" w:rsidRDefault="00AA781F" w:rsidP="00AA781F">
      <w:pPr>
        <w:spacing w:line="360" w:lineRule="auto"/>
        <w:jc w:val="both"/>
        <w:rPr>
          <w:sz w:val="28"/>
          <w:szCs w:val="28"/>
        </w:rPr>
      </w:pPr>
      <w:r>
        <w:rPr>
          <w:sz w:val="28"/>
          <w:szCs w:val="28"/>
        </w:rPr>
        <w:t xml:space="preserve">Before The Honourable </w:t>
      </w:r>
      <w:r w:rsidR="006A5D9D">
        <w:rPr>
          <w:sz w:val="28"/>
          <w:szCs w:val="28"/>
        </w:rPr>
        <w:t>Justice L.M. Murasi</w:t>
      </w:r>
    </w:p>
    <w:p w:rsidR="00AA781F" w:rsidRDefault="00AA781F" w:rsidP="00AA781F">
      <w:pPr>
        <w:spacing w:line="360" w:lineRule="auto"/>
        <w:jc w:val="both"/>
        <w:rPr>
          <w:b/>
          <w:sz w:val="28"/>
          <w:szCs w:val="28"/>
        </w:rPr>
      </w:pPr>
      <w:r>
        <w:rPr>
          <w:b/>
          <w:sz w:val="28"/>
          <w:szCs w:val="28"/>
        </w:rPr>
        <w:t>For Appellant</w:t>
      </w:r>
      <w:r>
        <w:rPr>
          <w:b/>
          <w:sz w:val="28"/>
          <w:szCs w:val="28"/>
        </w:rPr>
        <w:tab/>
      </w:r>
      <w:r>
        <w:rPr>
          <w:b/>
          <w:sz w:val="28"/>
          <w:szCs w:val="28"/>
        </w:rPr>
        <w:tab/>
        <w:t>M A Chambati (Legal Practitioner)</w:t>
      </w:r>
    </w:p>
    <w:p w:rsidR="00AA781F" w:rsidRDefault="00AA781F" w:rsidP="00AA781F">
      <w:pPr>
        <w:spacing w:line="360" w:lineRule="auto"/>
        <w:jc w:val="both"/>
        <w:rPr>
          <w:b/>
          <w:sz w:val="28"/>
          <w:szCs w:val="28"/>
        </w:rPr>
      </w:pPr>
      <w:r>
        <w:rPr>
          <w:b/>
          <w:sz w:val="28"/>
          <w:szCs w:val="28"/>
        </w:rPr>
        <w:t>For Respondent</w:t>
      </w:r>
      <w:r>
        <w:rPr>
          <w:b/>
          <w:sz w:val="28"/>
          <w:szCs w:val="28"/>
        </w:rPr>
        <w:tab/>
      </w:r>
      <w:r>
        <w:rPr>
          <w:b/>
          <w:sz w:val="28"/>
          <w:szCs w:val="28"/>
        </w:rPr>
        <w:tab/>
        <w:t>Mr Z Makorie (Legal Practitioner)</w:t>
      </w:r>
    </w:p>
    <w:p w:rsidR="00AA781F" w:rsidRDefault="00AA781F" w:rsidP="00AA781F">
      <w:pPr>
        <w:spacing w:line="360" w:lineRule="auto"/>
        <w:jc w:val="both"/>
        <w:rPr>
          <w:b/>
          <w:sz w:val="28"/>
          <w:szCs w:val="28"/>
        </w:rPr>
      </w:pPr>
    </w:p>
    <w:p w:rsidR="00824733" w:rsidRDefault="00824733" w:rsidP="00AA781F">
      <w:pPr>
        <w:spacing w:line="360" w:lineRule="auto"/>
        <w:jc w:val="both"/>
        <w:rPr>
          <w:b/>
          <w:sz w:val="28"/>
          <w:szCs w:val="28"/>
        </w:rPr>
      </w:pPr>
      <w:r>
        <w:rPr>
          <w:b/>
          <w:sz w:val="28"/>
          <w:szCs w:val="28"/>
        </w:rPr>
        <w:t>MURASI, J</w:t>
      </w:r>
    </w:p>
    <w:p w:rsidR="00824733" w:rsidRDefault="00824733" w:rsidP="00AA781F">
      <w:pPr>
        <w:spacing w:line="360" w:lineRule="auto"/>
        <w:jc w:val="both"/>
        <w:rPr>
          <w:b/>
          <w:sz w:val="28"/>
          <w:szCs w:val="28"/>
        </w:rPr>
      </w:pPr>
      <w:r>
        <w:rPr>
          <w:b/>
          <w:sz w:val="28"/>
          <w:szCs w:val="28"/>
        </w:rPr>
        <w:tab/>
      </w:r>
    </w:p>
    <w:p w:rsidR="00824733" w:rsidRDefault="00824733" w:rsidP="00AA781F">
      <w:pPr>
        <w:spacing w:line="360" w:lineRule="auto"/>
        <w:jc w:val="both"/>
        <w:rPr>
          <w:sz w:val="28"/>
          <w:szCs w:val="28"/>
        </w:rPr>
      </w:pPr>
      <w:r>
        <w:rPr>
          <w:b/>
          <w:sz w:val="28"/>
          <w:szCs w:val="28"/>
        </w:rPr>
        <w:tab/>
      </w:r>
      <w:r>
        <w:rPr>
          <w:sz w:val="28"/>
          <w:szCs w:val="28"/>
        </w:rPr>
        <w:t>Respondent, through a resolution of the Board of Governors, decided to re-organise the workplace which saw Appellant’s position of National Programmes Co-ordinator being abolished</w:t>
      </w:r>
      <w:r w:rsidR="006A5D9D">
        <w:rPr>
          <w:sz w:val="28"/>
          <w:szCs w:val="28"/>
        </w:rPr>
        <w:t>.</w:t>
      </w:r>
      <w:r>
        <w:rPr>
          <w:sz w:val="28"/>
          <w:szCs w:val="28"/>
        </w:rPr>
        <w:t xml:space="preserve"> Appellant was appointed National Training Manager without loss of salary and benefits.  Appellant was disgruntled with the move and sought to have the matter resolved</w:t>
      </w:r>
      <w:r w:rsidR="00EE209B">
        <w:rPr>
          <w:sz w:val="28"/>
          <w:szCs w:val="28"/>
        </w:rPr>
        <w:t xml:space="preserve"> by the Labour Court after discussions at the workplace had hit a brick-wall.  The Labour Court dismissed his application.  The suspension from work which had been imposed was lifted on 25</w:t>
      </w:r>
      <w:r w:rsidR="00EE209B" w:rsidRPr="00EE209B">
        <w:rPr>
          <w:sz w:val="28"/>
          <w:szCs w:val="28"/>
          <w:vertAlign w:val="superscript"/>
        </w:rPr>
        <w:t>th</w:t>
      </w:r>
      <w:r w:rsidR="00EE209B">
        <w:rPr>
          <w:sz w:val="28"/>
          <w:szCs w:val="28"/>
        </w:rPr>
        <w:t xml:space="preserve"> June 2013 and Appellant told to report for </w:t>
      </w:r>
      <w:r w:rsidR="00EE209B">
        <w:rPr>
          <w:sz w:val="28"/>
          <w:szCs w:val="28"/>
        </w:rPr>
        <w:lastRenderedPageBreak/>
        <w:t>duty on 1</w:t>
      </w:r>
      <w:r w:rsidR="00EE209B" w:rsidRPr="00EE209B">
        <w:rPr>
          <w:sz w:val="28"/>
          <w:szCs w:val="28"/>
          <w:vertAlign w:val="superscript"/>
        </w:rPr>
        <w:t>st</w:t>
      </w:r>
      <w:r w:rsidR="00EE209B">
        <w:rPr>
          <w:sz w:val="28"/>
          <w:szCs w:val="28"/>
        </w:rPr>
        <w:t xml:space="preserve"> July 2013.  Appellant did not report for duty as required and when he subsequently reported for duty, he was re-suspended and charged.  He was brought  before a Disciplinary Committee which found him guilty and recommended his dismissal.  He is aggrieved by this decision and appealed to this Court.</w:t>
      </w:r>
    </w:p>
    <w:p w:rsidR="00EE209B" w:rsidRDefault="00EE209B" w:rsidP="00AA781F">
      <w:pPr>
        <w:spacing w:line="360" w:lineRule="auto"/>
        <w:jc w:val="both"/>
        <w:rPr>
          <w:sz w:val="28"/>
          <w:szCs w:val="28"/>
        </w:rPr>
      </w:pPr>
      <w:r>
        <w:rPr>
          <w:sz w:val="28"/>
          <w:szCs w:val="28"/>
        </w:rPr>
        <w:tab/>
      </w:r>
      <w:r w:rsidR="009E0C6C">
        <w:rPr>
          <w:sz w:val="28"/>
          <w:szCs w:val="28"/>
        </w:rPr>
        <w:t>Appellant’s grounds of appeal are as follows:</w:t>
      </w:r>
    </w:p>
    <w:p w:rsidR="009E0C6C" w:rsidRDefault="009E0C6C" w:rsidP="009E0C6C">
      <w:pPr>
        <w:pStyle w:val="ListParagraph"/>
        <w:numPr>
          <w:ilvl w:val="0"/>
          <w:numId w:val="1"/>
        </w:numPr>
        <w:spacing w:line="360" w:lineRule="auto"/>
        <w:jc w:val="both"/>
        <w:rPr>
          <w:sz w:val="28"/>
          <w:szCs w:val="28"/>
        </w:rPr>
      </w:pPr>
      <w:r>
        <w:rPr>
          <w:sz w:val="28"/>
          <w:szCs w:val="28"/>
        </w:rPr>
        <w:t>That Respondent grossly erred and misdirected itself in finding that the Appellant had “refused” to comply with normal rules, procedures or requirements and refusal to obey a lawful order or instruction given by an immediate superior”  after Appellant had refused to accept and consent to the unilateral ‘transfer’ and variation of the contract.</w:t>
      </w:r>
    </w:p>
    <w:p w:rsidR="009E0C6C" w:rsidRDefault="009E0C6C" w:rsidP="009E0C6C">
      <w:pPr>
        <w:pStyle w:val="ListParagraph"/>
        <w:numPr>
          <w:ilvl w:val="0"/>
          <w:numId w:val="1"/>
        </w:numPr>
        <w:spacing w:line="360" w:lineRule="auto"/>
        <w:jc w:val="both"/>
        <w:rPr>
          <w:sz w:val="28"/>
          <w:szCs w:val="28"/>
        </w:rPr>
      </w:pPr>
      <w:r>
        <w:rPr>
          <w:sz w:val="28"/>
          <w:szCs w:val="28"/>
        </w:rPr>
        <w:t>That Respondent erred and grossly misdirected itself by dismissing the Appellant before considering his grievance which had given rise to the proceedings.</w:t>
      </w:r>
    </w:p>
    <w:p w:rsidR="009E0C6C" w:rsidRPr="009E0C6C" w:rsidRDefault="009E0C6C" w:rsidP="009E0C6C">
      <w:pPr>
        <w:spacing w:line="360" w:lineRule="auto"/>
        <w:ind w:left="360"/>
        <w:jc w:val="both"/>
        <w:rPr>
          <w:sz w:val="28"/>
          <w:szCs w:val="28"/>
        </w:rPr>
      </w:pPr>
    </w:p>
    <w:p w:rsidR="00EE209B" w:rsidRDefault="009E0C6C" w:rsidP="006A5D9D">
      <w:pPr>
        <w:spacing w:line="360" w:lineRule="auto"/>
        <w:jc w:val="both"/>
        <w:rPr>
          <w:sz w:val="28"/>
          <w:szCs w:val="28"/>
        </w:rPr>
      </w:pPr>
      <w:r>
        <w:rPr>
          <w:sz w:val="28"/>
          <w:szCs w:val="28"/>
        </w:rPr>
        <w:t xml:space="preserve">When consideration of appeals is made, it is worth noting what Muchechetere JA said in </w:t>
      </w:r>
      <w:r>
        <w:rPr>
          <w:b/>
          <w:sz w:val="28"/>
          <w:szCs w:val="28"/>
        </w:rPr>
        <w:t xml:space="preserve">RBZ v Corrine Granger and Anor </w:t>
      </w:r>
      <w:r>
        <w:rPr>
          <w:sz w:val="28"/>
          <w:szCs w:val="28"/>
        </w:rPr>
        <w:t>SC 34/2001.  He had this to say:</w:t>
      </w:r>
    </w:p>
    <w:p w:rsidR="009E0C6C" w:rsidRDefault="009E0C6C" w:rsidP="009E0C6C">
      <w:pPr>
        <w:spacing w:line="360" w:lineRule="auto"/>
        <w:ind w:left="1440"/>
        <w:jc w:val="both"/>
        <w:rPr>
          <w:i/>
          <w:sz w:val="28"/>
          <w:szCs w:val="28"/>
        </w:rPr>
      </w:pPr>
      <w:r>
        <w:rPr>
          <w:i/>
          <w:sz w:val="28"/>
          <w:szCs w:val="28"/>
        </w:rPr>
        <w:t>“An appeal to this Court is based on the record.  If it is to be related to the facts there must be an allegation that there has been a misdirection as to the facts which is so unreasonable that no sensible person who applied his mind to the facts</w:t>
      </w:r>
      <w:r w:rsidR="0078605A">
        <w:rPr>
          <w:i/>
          <w:sz w:val="28"/>
          <w:szCs w:val="28"/>
        </w:rPr>
        <w:t xml:space="preserve"> would have arrived at such a decision.”</w:t>
      </w:r>
    </w:p>
    <w:p w:rsidR="0078605A" w:rsidRDefault="0078605A" w:rsidP="0078605A">
      <w:pPr>
        <w:spacing w:line="360" w:lineRule="auto"/>
        <w:jc w:val="both"/>
        <w:rPr>
          <w:sz w:val="28"/>
          <w:szCs w:val="28"/>
        </w:rPr>
      </w:pPr>
      <w:r>
        <w:rPr>
          <w:i/>
          <w:sz w:val="28"/>
          <w:szCs w:val="28"/>
        </w:rPr>
        <w:tab/>
      </w:r>
      <w:r>
        <w:rPr>
          <w:sz w:val="28"/>
          <w:szCs w:val="28"/>
        </w:rPr>
        <w:t>A perusal of the record shows that the charge basically informs the Appellant that after being transferred by Respondent</w:t>
      </w:r>
      <w:r w:rsidR="005D2EBE">
        <w:rPr>
          <w:sz w:val="28"/>
          <w:szCs w:val="28"/>
        </w:rPr>
        <w:t xml:space="preserve">, he refused or failed to </w:t>
      </w:r>
      <w:r w:rsidR="005D2EBE">
        <w:rPr>
          <w:sz w:val="28"/>
          <w:szCs w:val="28"/>
        </w:rPr>
        <w:lastRenderedPageBreak/>
        <w:t>obey a lawful order.  It is also recorded that Appellant was informed of his transfer on 4</w:t>
      </w:r>
      <w:r w:rsidR="005D2EBE" w:rsidRPr="005D2EBE">
        <w:rPr>
          <w:sz w:val="28"/>
          <w:szCs w:val="28"/>
          <w:vertAlign w:val="superscript"/>
        </w:rPr>
        <w:t>th</w:t>
      </w:r>
      <w:r w:rsidR="005D2EBE">
        <w:rPr>
          <w:sz w:val="28"/>
          <w:szCs w:val="28"/>
        </w:rPr>
        <w:t xml:space="preserve"> September 2012 at a meeting at which two representatives of the Board were present.  The record further shows that Appellant was to conduct a handover/takeover exercise on 26</w:t>
      </w:r>
      <w:r w:rsidR="005D2EBE" w:rsidRPr="005D2EBE">
        <w:rPr>
          <w:sz w:val="28"/>
          <w:szCs w:val="28"/>
          <w:vertAlign w:val="superscript"/>
        </w:rPr>
        <w:t>th</w:t>
      </w:r>
      <w:r w:rsidR="005D2EBE">
        <w:rPr>
          <w:sz w:val="28"/>
          <w:szCs w:val="28"/>
        </w:rPr>
        <w:t xml:space="preserve"> September which he refused to do.  He was to report at his new post on 1</w:t>
      </w:r>
      <w:r w:rsidR="005D2EBE" w:rsidRPr="005D2EBE">
        <w:rPr>
          <w:sz w:val="28"/>
          <w:szCs w:val="28"/>
          <w:vertAlign w:val="superscript"/>
        </w:rPr>
        <w:t>st</w:t>
      </w:r>
      <w:r w:rsidR="005D2EBE">
        <w:rPr>
          <w:sz w:val="28"/>
          <w:szCs w:val="28"/>
        </w:rPr>
        <w:t xml:space="preserve"> October 2012 and continued to absent himself from the post for 30 days.  Appellant at the hearing before the Disciplinary Committee alleged that he had not been consulted and the employer had unilaterally varied the contract.</w:t>
      </w:r>
    </w:p>
    <w:p w:rsidR="005D2EBE" w:rsidRDefault="005D2EBE" w:rsidP="0078605A">
      <w:pPr>
        <w:spacing w:line="360" w:lineRule="auto"/>
        <w:jc w:val="both"/>
        <w:rPr>
          <w:sz w:val="28"/>
          <w:szCs w:val="28"/>
        </w:rPr>
      </w:pPr>
      <w:r>
        <w:rPr>
          <w:sz w:val="28"/>
          <w:szCs w:val="28"/>
        </w:rPr>
        <w:tab/>
      </w:r>
    </w:p>
    <w:p w:rsidR="005D2EBE" w:rsidRDefault="005D2EBE" w:rsidP="0078605A">
      <w:pPr>
        <w:spacing w:line="360" w:lineRule="auto"/>
        <w:jc w:val="both"/>
        <w:rPr>
          <w:sz w:val="28"/>
          <w:szCs w:val="28"/>
        </w:rPr>
      </w:pPr>
      <w:r>
        <w:rPr>
          <w:sz w:val="28"/>
          <w:szCs w:val="28"/>
        </w:rPr>
        <w:tab/>
        <w:t>The Hearing Committee found the Appellant guilty after considering all the evidence and recommended the penalty of dismissal.  In considering Appellant’s grounds of appeal, it is necessary to make a finding as to whether Appellant was justified in ignoring the order from Respondent because he had not been “consulted” about the transfer.  Respondent argues that an employee who undertakes</w:t>
      </w:r>
      <w:r w:rsidR="001E1505">
        <w:rPr>
          <w:sz w:val="28"/>
          <w:szCs w:val="28"/>
        </w:rPr>
        <w:t xml:space="preserve"> to work for an employer whose business is carried out at different places takes the risk of being sent to perform services for the employer wherever such services are required unless the employment contract stipulates that he is to be employed and remain at a specific place only (See </w:t>
      </w:r>
      <w:r w:rsidR="001E1505">
        <w:rPr>
          <w:b/>
          <w:sz w:val="28"/>
          <w:szCs w:val="28"/>
        </w:rPr>
        <w:t>Nqema Chaule v Minister</w:t>
      </w:r>
      <w:r w:rsidR="00DF0D9D">
        <w:rPr>
          <w:b/>
          <w:sz w:val="28"/>
          <w:szCs w:val="28"/>
        </w:rPr>
        <w:t xml:space="preserve"> of Justice : Kwazulu and Others </w:t>
      </w:r>
      <w:r w:rsidR="00DF0D9D">
        <w:rPr>
          <w:sz w:val="28"/>
          <w:szCs w:val="28"/>
        </w:rPr>
        <w:t>1992 (4) SA 349).  Appellant’s position had no written contract save for a memo dated 31</w:t>
      </w:r>
      <w:r w:rsidR="00DF0D9D" w:rsidRPr="00DF0D9D">
        <w:rPr>
          <w:sz w:val="28"/>
          <w:szCs w:val="28"/>
          <w:vertAlign w:val="superscript"/>
        </w:rPr>
        <w:t>st</w:t>
      </w:r>
      <w:r w:rsidR="00DF0D9D">
        <w:rPr>
          <w:sz w:val="28"/>
          <w:szCs w:val="28"/>
        </w:rPr>
        <w:t xml:space="preserve"> December 2007 appointing Appellant to the position of National Programmes Co-ordinator.  It is the Secretary General who appointed him that post in 2007.  The memo does not state that these were recommendations from the Board</w:t>
      </w:r>
      <w:r w:rsidR="006A5D9D">
        <w:rPr>
          <w:sz w:val="28"/>
          <w:szCs w:val="28"/>
        </w:rPr>
        <w:t>.  The</w:t>
      </w:r>
      <w:r w:rsidR="00DF0D9D">
        <w:rPr>
          <w:sz w:val="28"/>
          <w:szCs w:val="28"/>
        </w:rPr>
        <w:t xml:space="preserve"> memo does not prescribe duties but gives Appellant information that he was placed in Grade E1.  This is the name grade Appellant was to take to his new post.</w:t>
      </w:r>
    </w:p>
    <w:p w:rsidR="00DF0D9D" w:rsidRDefault="00DF0D9D" w:rsidP="0078605A">
      <w:pPr>
        <w:spacing w:line="360" w:lineRule="auto"/>
        <w:jc w:val="both"/>
        <w:rPr>
          <w:sz w:val="28"/>
          <w:szCs w:val="28"/>
        </w:rPr>
      </w:pPr>
      <w:r>
        <w:rPr>
          <w:sz w:val="28"/>
          <w:szCs w:val="28"/>
        </w:rPr>
        <w:lastRenderedPageBreak/>
        <w:tab/>
        <w:t xml:space="preserve">It is trite that the employer has a right to re-organise the work place.  </w:t>
      </w:r>
      <w:r>
        <w:rPr>
          <w:sz w:val="28"/>
          <w:szCs w:val="28"/>
          <w:u w:val="single"/>
        </w:rPr>
        <w:t>In casu</w:t>
      </w:r>
      <w:r>
        <w:rPr>
          <w:sz w:val="28"/>
          <w:szCs w:val="28"/>
        </w:rPr>
        <w:t xml:space="preserve"> the Boards of Governors resolved to do the same and the moot point is that was it supposed to consult every employee at the work place before embarking on that exercise.  The evidence shows that it was not the Appellant only who was targeted with the reshuffle.  Should the employer be incapacitated from making changes at the workplace in view of the need to hold consultation</w:t>
      </w:r>
      <w:r w:rsidR="006A5D9D">
        <w:rPr>
          <w:sz w:val="28"/>
          <w:szCs w:val="28"/>
        </w:rPr>
        <w:t>s first?</w:t>
      </w:r>
      <w:r w:rsidR="00967357">
        <w:rPr>
          <w:sz w:val="28"/>
          <w:szCs w:val="28"/>
        </w:rPr>
        <w:t xml:space="preserve">  The Court is of the view that where the fundamental changes would adversely affect the employee, there would be need to consult.  For example, where an employee would need to be re-located to the extent that he/she would be prejudiced by such transfer there would be need to make consultations.  This also applies to a situation where the employee’s benefits  would be affected.  Appellant stated that in the transfer he would lose his esteem without specifically mentioning what this meant.  Appellant referred the Court to an organogram and alleged that at the Training Centre he would be managing fewer people.  The Court failed to grasp</w:t>
      </w:r>
      <w:r w:rsidR="006A5D9D">
        <w:rPr>
          <w:sz w:val="28"/>
          <w:szCs w:val="28"/>
        </w:rPr>
        <w:t xml:space="preserve"> in</w:t>
      </w:r>
      <w:r w:rsidR="00967357">
        <w:rPr>
          <w:sz w:val="28"/>
          <w:szCs w:val="28"/>
        </w:rPr>
        <w:t xml:space="preserve"> what way this would lower his se</w:t>
      </w:r>
      <w:r w:rsidR="006A5D9D">
        <w:rPr>
          <w:sz w:val="28"/>
          <w:szCs w:val="28"/>
        </w:rPr>
        <w:t>lf</w:t>
      </w:r>
      <w:r w:rsidR="00967357">
        <w:rPr>
          <w:sz w:val="28"/>
          <w:szCs w:val="28"/>
        </w:rPr>
        <w:t xml:space="preserve"> esteem.  The Court is of the view that this transfer was not a reduction in post.  This therefore makes the case distinguishable from both the </w:t>
      </w:r>
      <w:r w:rsidR="00967357">
        <w:rPr>
          <w:b/>
          <w:sz w:val="28"/>
          <w:szCs w:val="28"/>
        </w:rPr>
        <w:t xml:space="preserve">Mutare Board Paper Mills and the Martindale </w:t>
      </w:r>
      <w:r w:rsidR="00967357">
        <w:rPr>
          <w:sz w:val="28"/>
          <w:szCs w:val="28"/>
        </w:rPr>
        <w:t>cases.</w:t>
      </w:r>
    </w:p>
    <w:p w:rsidR="00967357" w:rsidRDefault="00967357" w:rsidP="0078605A">
      <w:pPr>
        <w:spacing w:line="360" w:lineRule="auto"/>
        <w:jc w:val="both"/>
        <w:rPr>
          <w:sz w:val="28"/>
          <w:szCs w:val="28"/>
        </w:rPr>
      </w:pPr>
      <w:r>
        <w:rPr>
          <w:sz w:val="28"/>
          <w:szCs w:val="28"/>
        </w:rPr>
        <w:tab/>
      </w:r>
    </w:p>
    <w:p w:rsidR="00967357" w:rsidRDefault="00967357" w:rsidP="0078605A">
      <w:pPr>
        <w:spacing w:line="360" w:lineRule="auto"/>
        <w:jc w:val="both"/>
        <w:rPr>
          <w:sz w:val="28"/>
          <w:szCs w:val="28"/>
        </w:rPr>
      </w:pPr>
      <w:r>
        <w:rPr>
          <w:sz w:val="28"/>
          <w:szCs w:val="28"/>
        </w:rPr>
        <w:tab/>
        <w:t>The  next issue to be considered is whether Appellant refu</w:t>
      </w:r>
      <w:r w:rsidR="00CD5EB7">
        <w:rPr>
          <w:sz w:val="28"/>
          <w:szCs w:val="28"/>
        </w:rPr>
        <w:t>sed to obey a lawful order or i</w:t>
      </w:r>
      <w:r>
        <w:rPr>
          <w:sz w:val="28"/>
          <w:szCs w:val="28"/>
        </w:rPr>
        <w:t>nstruction</w:t>
      </w:r>
      <w:r w:rsidR="00CD5EB7">
        <w:rPr>
          <w:sz w:val="28"/>
          <w:szCs w:val="28"/>
        </w:rPr>
        <w:t>.  The evidence shows that a meeting was held on 4</w:t>
      </w:r>
      <w:r w:rsidR="00CD5EB7" w:rsidRPr="00CD5EB7">
        <w:rPr>
          <w:sz w:val="28"/>
          <w:szCs w:val="28"/>
          <w:vertAlign w:val="superscript"/>
        </w:rPr>
        <w:t>th</w:t>
      </w:r>
      <w:r w:rsidR="00CD5EB7">
        <w:rPr>
          <w:sz w:val="28"/>
          <w:szCs w:val="28"/>
        </w:rPr>
        <w:t xml:space="preserve"> September 2012</w:t>
      </w:r>
      <w:r w:rsidR="006A5D9D">
        <w:rPr>
          <w:sz w:val="28"/>
          <w:szCs w:val="28"/>
        </w:rPr>
        <w:t xml:space="preserve"> informing Appellant of the chan</w:t>
      </w:r>
      <w:r w:rsidR="00CD5EB7">
        <w:rPr>
          <w:sz w:val="28"/>
          <w:szCs w:val="28"/>
        </w:rPr>
        <w:t>ges.  Appellant did not conduct the handover/takeover as instructed.  On 1</w:t>
      </w:r>
      <w:r w:rsidR="00CD5EB7" w:rsidRPr="006A5D9D">
        <w:rPr>
          <w:sz w:val="28"/>
          <w:szCs w:val="28"/>
          <w:vertAlign w:val="superscript"/>
        </w:rPr>
        <w:t>s</w:t>
      </w:r>
      <w:r w:rsidR="006A5D9D" w:rsidRPr="006A5D9D">
        <w:rPr>
          <w:sz w:val="28"/>
          <w:szCs w:val="28"/>
          <w:vertAlign w:val="superscript"/>
        </w:rPr>
        <w:t>t</w:t>
      </w:r>
      <w:r w:rsidR="006A5D9D">
        <w:rPr>
          <w:sz w:val="28"/>
          <w:szCs w:val="28"/>
        </w:rPr>
        <w:t xml:space="preserve"> </w:t>
      </w:r>
      <w:r w:rsidR="00CD5EB7">
        <w:rPr>
          <w:sz w:val="28"/>
          <w:szCs w:val="28"/>
        </w:rPr>
        <w:t xml:space="preserve"> October 2012 the Acting Secretary General wrote to Appellant and urged him to “comply” with this communication by 2</w:t>
      </w:r>
      <w:r w:rsidR="00CD5EB7" w:rsidRPr="00CD5EB7">
        <w:rPr>
          <w:sz w:val="28"/>
          <w:szCs w:val="28"/>
          <w:vertAlign w:val="superscript"/>
        </w:rPr>
        <w:t>nd</w:t>
      </w:r>
      <w:r w:rsidR="00CD5EB7">
        <w:rPr>
          <w:sz w:val="28"/>
          <w:szCs w:val="28"/>
        </w:rPr>
        <w:t xml:space="preserve"> October 2012.  Appellant did not comply.  The Acting Secretary General was Appellant’s senior at the workplace.  The Court notes </w:t>
      </w:r>
      <w:r w:rsidR="00CD5EB7">
        <w:rPr>
          <w:sz w:val="28"/>
          <w:szCs w:val="28"/>
        </w:rPr>
        <w:lastRenderedPageBreak/>
        <w:t>that the letter from the Acting Secretary General was a lawful order which Appellant refused/failed to comply with.  This disobedience continued for a full mo</w:t>
      </w:r>
      <w:r w:rsidR="000104C0">
        <w:rPr>
          <w:sz w:val="28"/>
          <w:szCs w:val="28"/>
        </w:rPr>
        <w:t>nth</w:t>
      </w:r>
      <w:r w:rsidR="00CD5EB7">
        <w:rPr>
          <w:sz w:val="28"/>
          <w:szCs w:val="28"/>
        </w:rPr>
        <w:t xml:space="preserve"> until the end of October 2012, meaning that Appellant was not rendering any service to the Respondent.  A failure to provide service constitutes a repudiation of the contract between an employer and an employee.  The Oxford English Dictionary defines repudiation as:</w:t>
      </w:r>
    </w:p>
    <w:p w:rsidR="00CD5EB7" w:rsidRDefault="00CD5EB7" w:rsidP="0078605A">
      <w:pPr>
        <w:spacing w:line="360" w:lineRule="auto"/>
        <w:jc w:val="both"/>
        <w:rPr>
          <w:i/>
          <w:sz w:val="28"/>
          <w:szCs w:val="28"/>
        </w:rPr>
      </w:pPr>
      <w:r>
        <w:rPr>
          <w:sz w:val="28"/>
          <w:szCs w:val="28"/>
        </w:rPr>
        <w:tab/>
      </w:r>
      <w:r>
        <w:rPr>
          <w:sz w:val="28"/>
          <w:szCs w:val="28"/>
        </w:rPr>
        <w:tab/>
      </w:r>
      <w:r>
        <w:rPr>
          <w:i/>
          <w:sz w:val="28"/>
          <w:szCs w:val="28"/>
        </w:rPr>
        <w:t>“Refuse to fulfil or discharge”</w:t>
      </w:r>
    </w:p>
    <w:p w:rsidR="00CD5EB7" w:rsidRPr="000104C0" w:rsidRDefault="00CD5EB7" w:rsidP="0078605A">
      <w:pPr>
        <w:spacing w:line="360" w:lineRule="auto"/>
        <w:jc w:val="both"/>
        <w:rPr>
          <w:sz w:val="28"/>
          <w:szCs w:val="28"/>
        </w:rPr>
      </w:pPr>
      <w:r>
        <w:rPr>
          <w:sz w:val="28"/>
          <w:szCs w:val="28"/>
        </w:rPr>
        <w:tab/>
        <w:t xml:space="preserve">Where an employee commits a repudiating </w:t>
      </w:r>
      <w:r w:rsidR="006A5D9D">
        <w:rPr>
          <w:sz w:val="28"/>
          <w:szCs w:val="28"/>
        </w:rPr>
        <w:t xml:space="preserve">act, he/she is taken to be resiling </w:t>
      </w:r>
      <w:r>
        <w:rPr>
          <w:sz w:val="28"/>
          <w:szCs w:val="28"/>
        </w:rPr>
        <w:t>from the contract of employment and th</w:t>
      </w:r>
      <w:r w:rsidR="006A5D9D">
        <w:rPr>
          <w:sz w:val="28"/>
          <w:szCs w:val="28"/>
        </w:rPr>
        <w:t>is gives the employer the infett</w:t>
      </w:r>
      <w:r>
        <w:rPr>
          <w:sz w:val="28"/>
          <w:szCs w:val="28"/>
        </w:rPr>
        <w:t>ered right</w:t>
      </w:r>
      <w:r w:rsidR="000104C0">
        <w:rPr>
          <w:sz w:val="28"/>
          <w:szCs w:val="28"/>
        </w:rPr>
        <w:t xml:space="preserve"> to dismiss the employee.  It is trite that employees are  duty bound to render service and any failure by </w:t>
      </w:r>
      <w:r w:rsidR="006A5D9D">
        <w:rPr>
          <w:sz w:val="28"/>
          <w:szCs w:val="28"/>
        </w:rPr>
        <w:t>an employee to do so undermines</w:t>
      </w:r>
      <w:r w:rsidR="000104C0">
        <w:rPr>
          <w:sz w:val="28"/>
          <w:szCs w:val="28"/>
        </w:rPr>
        <w:t xml:space="preserve"> the relationship between the two.  (See </w:t>
      </w:r>
      <w:r w:rsidR="000104C0">
        <w:rPr>
          <w:b/>
          <w:sz w:val="28"/>
          <w:szCs w:val="28"/>
        </w:rPr>
        <w:t xml:space="preserve">Girjac Services (Pvt) Ltd v Mudzingwa </w:t>
      </w:r>
      <w:r w:rsidR="000104C0">
        <w:rPr>
          <w:sz w:val="28"/>
          <w:szCs w:val="28"/>
        </w:rPr>
        <w:t>1999 (1) ZLR 243 (S)  ).</w:t>
      </w:r>
    </w:p>
    <w:p w:rsidR="003120E3" w:rsidRDefault="000104C0" w:rsidP="00AA781F">
      <w:pPr>
        <w:spacing w:line="360" w:lineRule="auto"/>
        <w:jc w:val="both"/>
        <w:rPr>
          <w:sz w:val="28"/>
          <w:szCs w:val="28"/>
        </w:rPr>
      </w:pPr>
      <w:r>
        <w:rPr>
          <w:sz w:val="28"/>
          <w:szCs w:val="28"/>
        </w:rPr>
        <w:tab/>
        <w:t xml:space="preserve">In </w:t>
      </w:r>
      <w:r>
        <w:rPr>
          <w:b/>
          <w:sz w:val="28"/>
          <w:szCs w:val="28"/>
        </w:rPr>
        <w:t xml:space="preserve">James Kandome v Shades of Black Cosmetics (Pvt) Ltd </w:t>
      </w:r>
      <w:r>
        <w:rPr>
          <w:sz w:val="28"/>
          <w:szCs w:val="28"/>
        </w:rPr>
        <w:t>SC 115/2004 Sandura JA had this to say:</w:t>
      </w:r>
    </w:p>
    <w:p w:rsidR="000104C0" w:rsidRDefault="000104C0" w:rsidP="000104C0">
      <w:pPr>
        <w:spacing w:line="360" w:lineRule="auto"/>
        <w:ind w:left="1440"/>
        <w:jc w:val="both"/>
        <w:rPr>
          <w:i/>
          <w:sz w:val="28"/>
          <w:szCs w:val="28"/>
        </w:rPr>
      </w:pPr>
      <w:r>
        <w:rPr>
          <w:i/>
          <w:sz w:val="28"/>
          <w:szCs w:val="28"/>
        </w:rPr>
        <w:t xml:space="preserve">“It must be borne in mind that by entering into a contract of employment the employee subjects himself to the employer’s contract and should behave accordingly.  Any behaviour on the part of the </w:t>
      </w:r>
      <w:r w:rsidR="006A5D9D">
        <w:rPr>
          <w:i/>
          <w:sz w:val="28"/>
          <w:szCs w:val="28"/>
        </w:rPr>
        <w:t xml:space="preserve">employee </w:t>
      </w:r>
      <w:r>
        <w:rPr>
          <w:i/>
          <w:sz w:val="28"/>
          <w:szCs w:val="28"/>
        </w:rPr>
        <w:t xml:space="preserve">which is wholly </w:t>
      </w:r>
      <w:r w:rsidR="006A5D9D">
        <w:rPr>
          <w:i/>
          <w:sz w:val="28"/>
          <w:szCs w:val="28"/>
        </w:rPr>
        <w:t>inconsistent</w:t>
      </w:r>
      <w:r>
        <w:rPr>
          <w:i/>
          <w:sz w:val="28"/>
          <w:szCs w:val="28"/>
        </w:rPr>
        <w:t xml:space="preserve"> with that relationship would render the continuation of that relationship untenable and would undoubtedly constitute a repudiation of the contract of employment.”</w:t>
      </w:r>
    </w:p>
    <w:p w:rsidR="000104C0" w:rsidRDefault="000104C0" w:rsidP="000104C0">
      <w:pPr>
        <w:spacing w:line="360" w:lineRule="auto"/>
        <w:jc w:val="both"/>
        <w:rPr>
          <w:sz w:val="28"/>
          <w:szCs w:val="28"/>
        </w:rPr>
      </w:pPr>
      <w:r>
        <w:rPr>
          <w:i/>
          <w:sz w:val="28"/>
          <w:szCs w:val="28"/>
        </w:rPr>
        <w:tab/>
      </w:r>
      <w:r>
        <w:rPr>
          <w:sz w:val="28"/>
          <w:szCs w:val="28"/>
        </w:rPr>
        <w:t>It is the Court’s view that Appellant’s conduct undoubtedly falls into the category described above and that the Hearing Committee’s decision was consistent with the evidence placed before it</w:t>
      </w:r>
      <w:r w:rsidR="00C85DF9">
        <w:rPr>
          <w:sz w:val="28"/>
          <w:szCs w:val="28"/>
        </w:rPr>
        <w:t>.</w:t>
      </w:r>
    </w:p>
    <w:p w:rsidR="00C85DF9" w:rsidRDefault="00C85DF9" w:rsidP="000104C0">
      <w:pPr>
        <w:spacing w:line="360" w:lineRule="auto"/>
        <w:jc w:val="both"/>
        <w:rPr>
          <w:sz w:val="28"/>
          <w:szCs w:val="28"/>
        </w:rPr>
      </w:pPr>
      <w:r>
        <w:rPr>
          <w:sz w:val="28"/>
          <w:szCs w:val="28"/>
        </w:rPr>
        <w:lastRenderedPageBreak/>
        <w:tab/>
        <w:t xml:space="preserve">The last issue the Appellant raises is the failure by the Disciplinary Committee to deal with his grievances.  The Court pointed out to Appellant’s Counsel that it was at pains to understand the nature of the ground of appeal.  The record does not show that this was part of the proceedings in the tribunal </w:t>
      </w:r>
      <w:r w:rsidRPr="00C85DF9">
        <w:rPr>
          <w:sz w:val="28"/>
          <w:szCs w:val="28"/>
          <w:u w:val="single"/>
        </w:rPr>
        <w:t>a</w:t>
      </w:r>
      <w:r>
        <w:rPr>
          <w:sz w:val="28"/>
          <w:szCs w:val="28"/>
          <w:u w:val="single"/>
        </w:rPr>
        <w:t xml:space="preserve"> </w:t>
      </w:r>
      <w:r w:rsidRPr="00C85DF9">
        <w:rPr>
          <w:sz w:val="28"/>
          <w:szCs w:val="28"/>
          <w:u w:val="single"/>
        </w:rPr>
        <w:t>quo</w:t>
      </w:r>
      <w:r>
        <w:rPr>
          <w:sz w:val="28"/>
          <w:szCs w:val="28"/>
        </w:rPr>
        <w:t>.  The Labour Court is a creature of statute and any hearings that are brought to its attention should be in terms of the Act or other enactment.  This ground of appeal does not fall within the ambit of the provisions of the Act or other enactment.</w:t>
      </w:r>
    </w:p>
    <w:p w:rsidR="00C85DF9" w:rsidRDefault="00C85DF9" w:rsidP="000104C0">
      <w:pPr>
        <w:spacing w:line="360" w:lineRule="auto"/>
        <w:jc w:val="both"/>
        <w:rPr>
          <w:sz w:val="28"/>
          <w:szCs w:val="28"/>
        </w:rPr>
      </w:pPr>
    </w:p>
    <w:p w:rsidR="00C85DF9" w:rsidRDefault="00C85DF9" w:rsidP="000104C0">
      <w:pPr>
        <w:spacing w:line="360" w:lineRule="auto"/>
        <w:jc w:val="both"/>
        <w:rPr>
          <w:sz w:val="28"/>
          <w:szCs w:val="28"/>
        </w:rPr>
      </w:pPr>
      <w:r>
        <w:rPr>
          <w:sz w:val="28"/>
          <w:szCs w:val="28"/>
        </w:rPr>
        <w:t>In the result, the Court finds that the appeal lacks merit and is accordingly dismissed.</w:t>
      </w:r>
    </w:p>
    <w:p w:rsidR="00C85DF9" w:rsidRDefault="00C85DF9" w:rsidP="000104C0">
      <w:pPr>
        <w:spacing w:line="360" w:lineRule="auto"/>
        <w:jc w:val="both"/>
        <w:rPr>
          <w:sz w:val="28"/>
          <w:szCs w:val="28"/>
        </w:rPr>
      </w:pPr>
      <w:r>
        <w:rPr>
          <w:sz w:val="28"/>
          <w:szCs w:val="28"/>
        </w:rPr>
        <w:t>There is no order as to costs.</w:t>
      </w:r>
    </w:p>
    <w:p w:rsidR="009A6E8D" w:rsidRDefault="009A6E8D" w:rsidP="000104C0">
      <w:pPr>
        <w:spacing w:line="360" w:lineRule="auto"/>
        <w:jc w:val="both"/>
        <w:rPr>
          <w:sz w:val="28"/>
          <w:szCs w:val="28"/>
        </w:rPr>
      </w:pPr>
    </w:p>
    <w:p w:rsidR="00C85DF9" w:rsidRDefault="00C85DF9" w:rsidP="000104C0">
      <w:pPr>
        <w:spacing w:line="360" w:lineRule="auto"/>
        <w:jc w:val="both"/>
        <w:rPr>
          <w:b/>
          <w:i/>
          <w:sz w:val="28"/>
          <w:szCs w:val="28"/>
        </w:rPr>
      </w:pPr>
      <w:r>
        <w:rPr>
          <w:b/>
          <w:i/>
          <w:sz w:val="28"/>
          <w:szCs w:val="28"/>
        </w:rPr>
        <w:t>Chambati &amp; Matika, Appellant’s Legal Practitioners</w:t>
      </w:r>
    </w:p>
    <w:p w:rsidR="00C85DF9" w:rsidRPr="00C85DF9" w:rsidRDefault="00C85DF9" w:rsidP="000104C0">
      <w:pPr>
        <w:spacing w:line="360" w:lineRule="auto"/>
        <w:jc w:val="both"/>
        <w:rPr>
          <w:b/>
          <w:i/>
          <w:sz w:val="28"/>
          <w:szCs w:val="28"/>
        </w:rPr>
      </w:pPr>
      <w:r>
        <w:rPr>
          <w:b/>
          <w:i/>
          <w:sz w:val="28"/>
          <w:szCs w:val="28"/>
        </w:rPr>
        <w:t>Coghlan, Welsh &amp; Guest, Respondent’s Legal Practitioners</w:t>
      </w:r>
    </w:p>
    <w:p w:rsidR="00C85DF9" w:rsidRPr="000104C0" w:rsidRDefault="00C85DF9" w:rsidP="000104C0">
      <w:pPr>
        <w:spacing w:line="360" w:lineRule="auto"/>
        <w:jc w:val="both"/>
        <w:rPr>
          <w:sz w:val="28"/>
          <w:szCs w:val="28"/>
        </w:rPr>
      </w:pPr>
      <w:r>
        <w:rPr>
          <w:sz w:val="28"/>
          <w:szCs w:val="28"/>
        </w:rPr>
        <w:tab/>
      </w:r>
    </w:p>
    <w:p w:rsidR="00AA781F" w:rsidRPr="00AA781F" w:rsidRDefault="00AA781F" w:rsidP="00AA781F">
      <w:pPr>
        <w:spacing w:line="360" w:lineRule="auto"/>
        <w:jc w:val="both"/>
        <w:rPr>
          <w:b/>
          <w:sz w:val="28"/>
          <w:szCs w:val="28"/>
        </w:rPr>
      </w:pPr>
    </w:p>
    <w:p w:rsidR="00AA781F" w:rsidRPr="00AA781F" w:rsidRDefault="00AA781F">
      <w:pPr>
        <w:rPr>
          <w:b/>
          <w:sz w:val="28"/>
          <w:szCs w:val="28"/>
        </w:rPr>
      </w:pPr>
    </w:p>
    <w:sectPr w:rsidR="00AA781F" w:rsidRPr="00AA781F" w:rsidSect="00EE209B">
      <w:headerReference w:type="default" r:id="rId7"/>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4302" w:rsidRDefault="00214302" w:rsidP="00EE209B">
      <w:pPr>
        <w:spacing w:after="0" w:line="240" w:lineRule="auto"/>
      </w:pPr>
      <w:r>
        <w:separator/>
      </w:r>
    </w:p>
  </w:endnote>
  <w:endnote w:type="continuationSeparator" w:id="1">
    <w:p w:rsidR="00214302" w:rsidRDefault="00214302" w:rsidP="00EE20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10719"/>
      <w:docPartObj>
        <w:docPartGallery w:val="Page Numbers (Bottom of Page)"/>
        <w:docPartUnique/>
      </w:docPartObj>
    </w:sdtPr>
    <w:sdtContent>
      <w:p w:rsidR="00FD207C" w:rsidRDefault="00FD207C">
        <w:pPr>
          <w:pStyle w:val="Footer"/>
          <w:jc w:val="right"/>
        </w:pPr>
        <w:fldSimple w:instr=" PAGE   \* MERGEFORMAT ">
          <w:r>
            <w:rPr>
              <w:noProof/>
            </w:rPr>
            <w:t>5</w:t>
          </w:r>
        </w:fldSimple>
      </w:p>
    </w:sdtContent>
  </w:sdt>
  <w:p w:rsidR="00FD207C" w:rsidRDefault="00FD20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4302" w:rsidRDefault="00214302" w:rsidP="00EE209B">
      <w:pPr>
        <w:spacing w:after="0" w:line="240" w:lineRule="auto"/>
      </w:pPr>
      <w:r>
        <w:separator/>
      </w:r>
    </w:p>
  </w:footnote>
  <w:footnote w:type="continuationSeparator" w:id="1">
    <w:p w:rsidR="00214302" w:rsidRDefault="00214302" w:rsidP="00EE20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09B" w:rsidRDefault="00EE209B" w:rsidP="00EE209B">
    <w:pPr>
      <w:spacing w:line="360" w:lineRule="auto"/>
      <w:ind w:left="5040"/>
      <w:jc w:val="both"/>
      <w:rPr>
        <w:b/>
        <w:sz w:val="28"/>
        <w:szCs w:val="28"/>
      </w:rPr>
    </w:pPr>
    <w:r>
      <w:rPr>
        <w:b/>
        <w:sz w:val="28"/>
        <w:szCs w:val="28"/>
      </w:rPr>
      <w:t>JUDGMENT NO LC/H/644/13</w:t>
    </w:r>
  </w:p>
  <w:p w:rsidR="00EE209B" w:rsidRDefault="00EE209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E37BB9"/>
    <w:multiLevelType w:val="hybridMultilevel"/>
    <w:tmpl w:val="56D0D8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A781F"/>
    <w:rsid w:val="000104C0"/>
    <w:rsid w:val="00073B99"/>
    <w:rsid w:val="001E1505"/>
    <w:rsid w:val="001E59E3"/>
    <w:rsid w:val="00214302"/>
    <w:rsid w:val="002A4EA4"/>
    <w:rsid w:val="002D0332"/>
    <w:rsid w:val="002E1FE1"/>
    <w:rsid w:val="003120E3"/>
    <w:rsid w:val="003E7494"/>
    <w:rsid w:val="0042198E"/>
    <w:rsid w:val="004D288A"/>
    <w:rsid w:val="005B6B07"/>
    <w:rsid w:val="005D2EBE"/>
    <w:rsid w:val="005E4CBF"/>
    <w:rsid w:val="006A5D9D"/>
    <w:rsid w:val="0078605A"/>
    <w:rsid w:val="00824733"/>
    <w:rsid w:val="008C57F8"/>
    <w:rsid w:val="00967357"/>
    <w:rsid w:val="00975066"/>
    <w:rsid w:val="009A6E8D"/>
    <w:rsid w:val="009E0C6C"/>
    <w:rsid w:val="00AA1557"/>
    <w:rsid w:val="00AA452E"/>
    <w:rsid w:val="00AA781F"/>
    <w:rsid w:val="00B2519C"/>
    <w:rsid w:val="00B819ED"/>
    <w:rsid w:val="00C85DF9"/>
    <w:rsid w:val="00CD5EB7"/>
    <w:rsid w:val="00CE61E0"/>
    <w:rsid w:val="00D13C45"/>
    <w:rsid w:val="00DF0D9D"/>
    <w:rsid w:val="00E61499"/>
    <w:rsid w:val="00E870DF"/>
    <w:rsid w:val="00ED3B87"/>
    <w:rsid w:val="00EE209B"/>
    <w:rsid w:val="00FD207C"/>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B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E209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E209B"/>
  </w:style>
  <w:style w:type="paragraph" w:styleId="Footer">
    <w:name w:val="footer"/>
    <w:basedOn w:val="Normal"/>
    <w:link w:val="FooterChar"/>
    <w:uiPriority w:val="99"/>
    <w:unhideWhenUsed/>
    <w:rsid w:val="00EE2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209B"/>
  </w:style>
  <w:style w:type="paragraph" w:styleId="ListParagraph">
    <w:name w:val="List Paragraph"/>
    <w:basedOn w:val="Normal"/>
    <w:uiPriority w:val="34"/>
    <w:qFormat/>
    <w:rsid w:val="009E0C6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1</Pages>
  <Words>1258</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2013-11-18T09:25:00Z</cp:lastPrinted>
  <dcterms:created xsi:type="dcterms:W3CDTF">2013-11-15T08:13:00Z</dcterms:created>
  <dcterms:modified xsi:type="dcterms:W3CDTF">2013-11-18T09:35:00Z</dcterms:modified>
</cp:coreProperties>
</file>