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8B1A9" w14:textId="5974A803" w:rsidR="003956D8" w:rsidRDefault="00432A9C">
      <w:pPr>
        <w:tabs>
          <w:tab w:val="center" w:pos="6314"/>
        </w:tabs>
        <w:spacing w:after="5" w:line="264" w:lineRule="auto"/>
        <w:ind w:left="0" w:firstLine="0"/>
      </w:pPr>
      <w:r>
        <w:rPr>
          <w:rFonts w:cs="Tahoma"/>
          <w:b/>
        </w:rPr>
        <w:t xml:space="preserve">LABOUR COURT OF </w:t>
      </w:r>
      <w:r w:rsidR="00C866E2">
        <w:rPr>
          <w:rFonts w:cs="Tahoma"/>
          <w:b/>
        </w:rPr>
        <w:t xml:space="preserve">ZIMBABWE </w:t>
      </w:r>
      <w:r w:rsidR="00C866E2">
        <w:rPr>
          <w:rFonts w:cs="Tahoma"/>
          <w:b/>
        </w:rPr>
        <w:tab/>
      </w:r>
      <w:r>
        <w:rPr>
          <w:rFonts w:cs="Tahoma"/>
          <w:b/>
        </w:rPr>
        <w:t xml:space="preserve">                              JUDGMENT No:   </w:t>
      </w:r>
      <w:r>
        <w:rPr>
          <w:rFonts w:cs="Tahoma"/>
        </w:rPr>
        <w:t xml:space="preserve"> </w:t>
      </w:r>
    </w:p>
    <w:p w14:paraId="63049701" w14:textId="77777777" w:rsidR="003956D8" w:rsidRDefault="00432A9C">
      <w:pPr>
        <w:spacing w:after="0" w:line="259" w:lineRule="auto"/>
        <w:ind w:left="17" w:firstLine="0"/>
      </w:pPr>
      <w:r>
        <w:rPr>
          <w:rFonts w:cs="Tahoma"/>
          <w:b/>
        </w:rPr>
        <w:t xml:space="preserve"> </w:t>
      </w:r>
      <w:r>
        <w:rPr>
          <w:rFonts w:cs="Tahoma"/>
        </w:rPr>
        <w:t xml:space="preserve"> </w:t>
      </w:r>
    </w:p>
    <w:p w14:paraId="4221EFCF" w14:textId="77777777" w:rsidR="003956D8" w:rsidRDefault="00432A9C">
      <w:pPr>
        <w:spacing w:after="5" w:line="264" w:lineRule="auto"/>
        <w:ind w:left="12"/>
      </w:pPr>
      <w:r>
        <w:rPr>
          <w:rFonts w:cs="Tahoma"/>
          <w:b/>
        </w:rPr>
        <w:t xml:space="preserve">HELD AT HARARE,  </w:t>
      </w:r>
      <w:r>
        <w:rPr>
          <w:rFonts w:cs="Tahoma"/>
        </w:rPr>
        <w:t xml:space="preserve"> </w:t>
      </w:r>
    </w:p>
    <w:p w14:paraId="2AF9A800" w14:textId="77777777" w:rsidR="003956D8" w:rsidRDefault="00432A9C">
      <w:pPr>
        <w:spacing w:after="0" w:line="259" w:lineRule="auto"/>
        <w:ind w:left="17" w:firstLine="0"/>
      </w:pPr>
      <w:r>
        <w:rPr>
          <w:rFonts w:cs="Tahoma"/>
          <w:b/>
        </w:rPr>
        <w:t xml:space="preserve"> </w:t>
      </w:r>
      <w:r>
        <w:rPr>
          <w:rFonts w:cs="Tahoma"/>
        </w:rPr>
        <w:t xml:space="preserve"> </w:t>
      </w:r>
    </w:p>
    <w:p w14:paraId="46AECCA2" w14:textId="77777777" w:rsidR="003956D8" w:rsidRDefault="00432A9C">
      <w:pPr>
        <w:spacing w:after="5" w:line="264" w:lineRule="auto"/>
        <w:ind w:left="12" w:right="1127"/>
      </w:pPr>
      <w:r>
        <w:rPr>
          <w:rFonts w:cs="Tahoma"/>
          <w:b/>
        </w:rPr>
        <w:t>29 JANUARY 2026 &amp;                                                          CASE No: LC/H/1246/</w:t>
      </w:r>
      <w:proofErr w:type="gramStart"/>
      <w:r>
        <w:rPr>
          <w:rFonts w:cs="Tahoma"/>
          <w:b/>
        </w:rPr>
        <w:t xml:space="preserve">25 </w:t>
      </w:r>
      <w:r>
        <w:rPr>
          <w:rFonts w:cs="Tahoma"/>
        </w:rPr>
        <w:t xml:space="preserve"> </w:t>
      </w:r>
      <w:r>
        <w:rPr>
          <w:rFonts w:cs="Tahoma"/>
          <w:b/>
        </w:rPr>
        <w:t>3</w:t>
      </w:r>
      <w:proofErr w:type="gramEnd"/>
      <w:r>
        <w:rPr>
          <w:rFonts w:cs="Tahoma"/>
          <w:b/>
        </w:rPr>
        <w:t xml:space="preserve"> FEBRUARY 2026                            </w:t>
      </w:r>
      <w:r>
        <w:rPr>
          <w:rFonts w:cs="Tahoma"/>
        </w:rPr>
        <w:t xml:space="preserve"> </w:t>
      </w:r>
    </w:p>
    <w:p w14:paraId="3AED4B61" w14:textId="77777777" w:rsidR="003956D8" w:rsidRDefault="00432A9C">
      <w:pPr>
        <w:spacing w:after="0" w:line="259" w:lineRule="auto"/>
        <w:ind w:left="17" w:firstLine="0"/>
      </w:pPr>
      <w:r>
        <w:rPr>
          <w:rFonts w:cs="Tahoma"/>
          <w:b/>
        </w:rPr>
        <w:t xml:space="preserve">                                </w:t>
      </w:r>
      <w:r>
        <w:rPr>
          <w:rFonts w:cs="Tahoma"/>
        </w:rPr>
        <w:t xml:space="preserve"> </w:t>
      </w:r>
    </w:p>
    <w:p w14:paraId="3C718AA0" w14:textId="77777777" w:rsidR="003956D8" w:rsidRDefault="00432A9C">
      <w:pPr>
        <w:spacing w:after="0" w:line="259" w:lineRule="auto"/>
        <w:ind w:left="17" w:firstLine="0"/>
      </w:pPr>
      <w:r>
        <w:rPr>
          <w:rFonts w:cs="Tahoma"/>
          <w:b/>
        </w:rPr>
        <w:t xml:space="preserve"> </w:t>
      </w:r>
      <w:r>
        <w:rPr>
          <w:rFonts w:cs="Tahoma"/>
        </w:rPr>
        <w:t xml:space="preserve"> </w:t>
      </w:r>
    </w:p>
    <w:p w14:paraId="6ADFF36A" w14:textId="77777777" w:rsidR="003956D8" w:rsidRDefault="00432A9C">
      <w:pPr>
        <w:spacing w:after="8" w:line="259" w:lineRule="auto"/>
        <w:ind w:left="17" w:firstLine="0"/>
      </w:pPr>
      <w:r>
        <w:rPr>
          <w:rFonts w:cs="Tahoma"/>
          <w:b/>
        </w:rPr>
        <w:t xml:space="preserve"> </w:t>
      </w:r>
      <w:r>
        <w:rPr>
          <w:rFonts w:cs="Tahoma"/>
        </w:rPr>
        <w:t xml:space="preserve"> </w:t>
      </w:r>
    </w:p>
    <w:p w14:paraId="2C8A1ACD" w14:textId="77777777" w:rsidR="003956D8" w:rsidRDefault="00432A9C">
      <w:pPr>
        <w:spacing w:after="4" w:line="251" w:lineRule="auto"/>
        <w:ind w:left="7" w:right="197" w:firstLine="7"/>
      </w:pPr>
      <w:r>
        <w:rPr>
          <w:sz w:val="25"/>
        </w:rPr>
        <w:t xml:space="preserve">In the matter between: - </w:t>
      </w:r>
      <w:r>
        <w:rPr>
          <w:rFonts w:cs="Tahoma"/>
        </w:rPr>
        <w:t xml:space="preserve"> </w:t>
      </w:r>
    </w:p>
    <w:p w14:paraId="4932F686" w14:textId="77777777" w:rsidR="003956D8" w:rsidRDefault="00432A9C">
      <w:pPr>
        <w:spacing w:after="0" w:line="259" w:lineRule="auto"/>
        <w:ind w:left="17" w:right="-28" w:firstLine="0"/>
        <w:jc w:val="both"/>
      </w:pPr>
      <w:r>
        <w:rPr>
          <w:rFonts w:cs="Tahoma"/>
          <w:b/>
        </w:rPr>
        <w:t xml:space="preserve">                                                                                                                                                          </w:t>
      </w:r>
    </w:p>
    <w:p w14:paraId="43285A88" w14:textId="11939B05" w:rsidR="003956D8" w:rsidRDefault="00432A9C">
      <w:pPr>
        <w:spacing w:after="5" w:line="264" w:lineRule="auto"/>
        <w:ind w:left="12" w:right="596"/>
      </w:pPr>
      <w:r>
        <w:rPr>
          <w:rFonts w:cs="Tahoma"/>
          <w:b/>
        </w:rPr>
        <w:t xml:space="preserve">BAOBAB PAPERS TECHNOLOGY                                                             APPLICANT </w:t>
      </w:r>
      <w:r>
        <w:rPr>
          <w:rFonts w:cs="Tahoma"/>
        </w:rPr>
        <w:t xml:space="preserve"> </w:t>
      </w:r>
      <w:r>
        <w:rPr>
          <w:rFonts w:cs="Tahoma"/>
          <w:b/>
        </w:rPr>
        <w:t xml:space="preserve">(PVT) LTD </w:t>
      </w:r>
      <w:r>
        <w:rPr>
          <w:rFonts w:cs="Tahoma"/>
        </w:rPr>
        <w:t xml:space="preserve"> </w:t>
      </w:r>
    </w:p>
    <w:p w14:paraId="7E25E3CD" w14:textId="77777777" w:rsidR="003956D8" w:rsidRDefault="00432A9C">
      <w:pPr>
        <w:spacing w:after="0" w:line="259" w:lineRule="auto"/>
        <w:ind w:left="17" w:firstLine="0"/>
      </w:pPr>
      <w:r>
        <w:rPr>
          <w:rFonts w:cs="Tahoma"/>
          <w:b/>
        </w:rPr>
        <w:t xml:space="preserve">  </w:t>
      </w:r>
    </w:p>
    <w:p w14:paraId="5BF47FD6" w14:textId="77777777" w:rsidR="00C866E2" w:rsidRDefault="00432A9C">
      <w:pPr>
        <w:pStyle w:val="Heading1"/>
        <w:ind w:left="12"/>
        <w:rPr>
          <w:b w:val="0"/>
        </w:rP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85738D7" wp14:editId="152C495B">
                <wp:simplePos x="0" y="0"/>
                <wp:positionH relativeFrom="page">
                  <wp:posOffset>7762494</wp:posOffset>
                </wp:positionH>
                <wp:positionV relativeFrom="page">
                  <wp:posOffset>3986330</wp:posOffset>
                </wp:positionV>
                <wp:extent cx="44653" cy="148010"/>
                <wp:effectExtent l="0" t="0" r="0" b="0"/>
                <wp:wrapSquare wrapText="bothSides"/>
                <wp:docPr id="8081" name="Group 8081"/>
                <wp:cNvGraphicFramePr/>
                <a:graphic xmlns:a="http://schemas.openxmlformats.org/drawingml/2006/main">
                  <a:graphicData uri="http://schemas.microsoft.com/office/word/2010/wordprocessingGroup">
                    <wpg:wgp>
                      <wpg:cNvGrpSpPr/>
                      <wpg:grpSpPr>
                        <a:xfrm>
                          <a:off x="0" y="0"/>
                          <a:ext cx="44653" cy="148010"/>
                          <a:chOff x="0" y="0"/>
                          <a:chExt cx="44653" cy="148010"/>
                        </a:xfrm>
                      </wpg:grpSpPr>
                      <wps:wsp>
                        <wps:cNvPr id="318" name="Rectangle 318"/>
                        <wps:cNvSpPr/>
                        <wps:spPr>
                          <a:xfrm>
                            <a:off x="0" y="0"/>
                            <a:ext cx="59389" cy="196853"/>
                          </a:xfrm>
                          <a:prstGeom prst="rect">
                            <a:avLst/>
                          </a:prstGeom>
                          <a:ln>
                            <a:noFill/>
                          </a:ln>
                        </wps:spPr>
                        <wps:txbx>
                          <w:txbxContent>
                            <w:p w14:paraId="0678A0EA" w14:textId="77777777" w:rsidR="003956D8" w:rsidRDefault="00432A9C">
                              <w:pPr>
                                <w:spacing w:after="160" w:line="259" w:lineRule="auto"/>
                                <w:ind w:left="0" w:firstLine="0"/>
                              </w:pPr>
                              <w:r>
                                <w:rPr>
                                  <w:rFonts w:cs="Tahoma"/>
                                  <w:b/>
                                </w:rPr>
                                <w:t xml:space="preserve"> </w:t>
                              </w:r>
                            </w:p>
                          </w:txbxContent>
                        </wps:txbx>
                        <wps:bodyPr horzOverflow="overflow" vert="horz" lIns="0" tIns="0" rIns="0" bIns="0" rtlCol="0">
                          <a:noAutofit/>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8081" style="width:3.51599pt;height:11.6543pt;position:absolute;mso-position-horizontal-relative:page;mso-position-horizontal:absolute;margin-left:611.22pt;mso-position-vertical-relative:page;margin-top:313.884pt;" coordsize="446,1480">
                <v:rect id="Rectangle 318" style="position:absolute;width:593;height:1968;left:0;top:0;" filled="f" stroked="f">
                  <v:textbox inset="0,0,0,0">
                    <w:txbxContent>
                      <w:p>
                        <w:pPr>
                          <w:spacing w:before="0" w:after="160" w:line="259" w:lineRule="auto"/>
                          <w:ind w:left="0" w:firstLine="0"/>
                        </w:pPr>
                        <w:r>
                          <w:rPr>
                            <w:rFonts w:cs="Tahoma" w:hAnsi="Tahoma" w:eastAsia="Tahoma" w:ascii="Tahoma"/>
                            <w:b w:val="1"/>
                          </w:rPr>
                          <w:t xml:space="preserve"> </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F06D2D7" wp14:editId="23D37772">
                <wp:simplePos x="0" y="0"/>
                <wp:positionH relativeFrom="page">
                  <wp:posOffset>7762494</wp:posOffset>
                </wp:positionH>
                <wp:positionV relativeFrom="page">
                  <wp:posOffset>4184450</wp:posOffset>
                </wp:positionV>
                <wp:extent cx="44653" cy="148010"/>
                <wp:effectExtent l="0" t="0" r="0" b="0"/>
                <wp:wrapSquare wrapText="bothSides"/>
                <wp:docPr id="8082" name="Group 8082"/>
                <wp:cNvGraphicFramePr/>
                <a:graphic xmlns:a="http://schemas.openxmlformats.org/drawingml/2006/main">
                  <a:graphicData uri="http://schemas.microsoft.com/office/word/2010/wordprocessingGroup">
                    <wpg:wgp>
                      <wpg:cNvGrpSpPr/>
                      <wpg:grpSpPr>
                        <a:xfrm>
                          <a:off x="0" y="0"/>
                          <a:ext cx="44653" cy="148010"/>
                          <a:chOff x="0" y="0"/>
                          <a:chExt cx="44653" cy="148010"/>
                        </a:xfrm>
                      </wpg:grpSpPr>
                      <wps:wsp>
                        <wps:cNvPr id="324" name="Rectangle 324"/>
                        <wps:cNvSpPr/>
                        <wps:spPr>
                          <a:xfrm>
                            <a:off x="0" y="0"/>
                            <a:ext cx="59389" cy="196853"/>
                          </a:xfrm>
                          <a:prstGeom prst="rect">
                            <a:avLst/>
                          </a:prstGeom>
                          <a:ln>
                            <a:noFill/>
                          </a:ln>
                        </wps:spPr>
                        <wps:txbx>
                          <w:txbxContent>
                            <w:p w14:paraId="166CCEF4" w14:textId="77777777" w:rsidR="003956D8" w:rsidRDefault="00432A9C">
                              <w:pPr>
                                <w:spacing w:after="160" w:line="259" w:lineRule="auto"/>
                                <w:ind w:left="0" w:firstLine="0"/>
                              </w:pPr>
                              <w:r>
                                <w:rPr>
                                  <w:rFonts w:cs="Tahoma"/>
                                  <w:b/>
                                </w:rPr>
                                <w:t xml:space="preserve"> </w:t>
                              </w:r>
                            </w:p>
                          </w:txbxContent>
                        </wps:txbx>
                        <wps:bodyPr horzOverflow="overflow" vert="horz" lIns="0" tIns="0" rIns="0" bIns="0" rtlCol="0">
                          <a:noAutofit/>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8082" style="width:3.51599pt;height:11.6543pt;position:absolute;mso-position-horizontal-relative:page;mso-position-horizontal:absolute;margin-left:611.22pt;mso-position-vertical-relative:page;margin-top:329.484pt;" coordsize="446,1480">
                <v:rect id="Rectangle 324" style="position:absolute;width:593;height:1968;left:0;top:0;" filled="f" stroked="f">
                  <v:textbox inset="0,0,0,0">
                    <w:txbxContent>
                      <w:p>
                        <w:pPr>
                          <w:spacing w:before="0" w:after="160" w:line="259" w:lineRule="auto"/>
                          <w:ind w:left="0" w:firstLine="0"/>
                        </w:pPr>
                        <w:r>
                          <w:rPr>
                            <w:rFonts w:cs="Tahoma" w:hAnsi="Tahoma" w:eastAsia="Tahoma" w:ascii="Tahoma"/>
                            <w:b w:val="1"/>
                          </w:rPr>
                          <w:t xml:space="preserve"> </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29A1521" wp14:editId="6C2935C1">
                <wp:simplePos x="0" y="0"/>
                <wp:positionH relativeFrom="page">
                  <wp:posOffset>7762494</wp:posOffset>
                </wp:positionH>
                <wp:positionV relativeFrom="page">
                  <wp:posOffset>4383332</wp:posOffset>
                </wp:positionV>
                <wp:extent cx="44653" cy="148010"/>
                <wp:effectExtent l="0" t="0" r="0" b="0"/>
                <wp:wrapSquare wrapText="bothSides"/>
                <wp:docPr id="8083" name="Group 8083"/>
                <wp:cNvGraphicFramePr/>
                <a:graphic xmlns:a="http://schemas.openxmlformats.org/drawingml/2006/main">
                  <a:graphicData uri="http://schemas.microsoft.com/office/word/2010/wordprocessingGroup">
                    <wpg:wgp>
                      <wpg:cNvGrpSpPr/>
                      <wpg:grpSpPr>
                        <a:xfrm>
                          <a:off x="0" y="0"/>
                          <a:ext cx="44653" cy="148010"/>
                          <a:chOff x="0" y="0"/>
                          <a:chExt cx="44653" cy="148010"/>
                        </a:xfrm>
                      </wpg:grpSpPr>
                      <wps:wsp>
                        <wps:cNvPr id="330" name="Rectangle 330"/>
                        <wps:cNvSpPr/>
                        <wps:spPr>
                          <a:xfrm>
                            <a:off x="0" y="0"/>
                            <a:ext cx="59389" cy="196853"/>
                          </a:xfrm>
                          <a:prstGeom prst="rect">
                            <a:avLst/>
                          </a:prstGeom>
                          <a:ln>
                            <a:noFill/>
                          </a:ln>
                        </wps:spPr>
                        <wps:txbx>
                          <w:txbxContent>
                            <w:p w14:paraId="6ECC1479" w14:textId="77777777" w:rsidR="003956D8" w:rsidRDefault="00432A9C">
                              <w:pPr>
                                <w:spacing w:after="160" w:line="259" w:lineRule="auto"/>
                                <w:ind w:left="0" w:firstLine="0"/>
                              </w:pPr>
                              <w:r>
                                <w:rPr>
                                  <w:rFonts w:cs="Tahoma"/>
                                  <w:b/>
                                </w:rPr>
                                <w:t xml:space="preserve"> </w:t>
                              </w:r>
                            </w:p>
                          </w:txbxContent>
                        </wps:txbx>
                        <wps:bodyPr horzOverflow="overflow" vert="horz" lIns="0" tIns="0" rIns="0" bIns="0" rtlCol="0">
                          <a:noAutofit/>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8083" style="width:3.51599pt;height:11.6543pt;position:absolute;mso-position-horizontal-relative:page;mso-position-horizontal:absolute;margin-left:611.22pt;mso-position-vertical-relative:page;margin-top:345.144pt;" coordsize="446,1480">
                <v:rect id="Rectangle 330" style="position:absolute;width:593;height:1968;left:0;top:0;" filled="f" stroked="f">
                  <v:textbox inset="0,0,0,0">
                    <w:txbxContent>
                      <w:p>
                        <w:pPr>
                          <w:spacing w:before="0" w:after="160" w:line="259" w:lineRule="auto"/>
                          <w:ind w:left="0" w:firstLine="0"/>
                        </w:pPr>
                        <w:r>
                          <w:rPr>
                            <w:rFonts w:cs="Tahoma" w:hAnsi="Tahoma" w:eastAsia="Tahoma" w:ascii="Tahoma"/>
                            <w:b w:val="1"/>
                          </w:rPr>
                          <w:t xml:space="preserve"> </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040011C0" wp14:editId="11B594B2">
                <wp:simplePos x="0" y="0"/>
                <wp:positionH relativeFrom="page">
                  <wp:posOffset>7762494</wp:posOffset>
                </wp:positionH>
                <wp:positionV relativeFrom="page">
                  <wp:posOffset>4581452</wp:posOffset>
                </wp:positionV>
                <wp:extent cx="44653" cy="148010"/>
                <wp:effectExtent l="0" t="0" r="0" b="0"/>
                <wp:wrapSquare wrapText="bothSides"/>
                <wp:docPr id="8084" name="Group 8084"/>
                <wp:cNvGraphicFramePr/>
                <a:graphic xmlns:a="http://schemas.openxmlformats.org/drawingml/2006/main">
                  <a:graphicData uri="http://schemas.microsoft.com/office/word/2010/wordprocessingGroup">
                    <wpg:wgp>
                      <wpg:cNvGrpSpPr/>
                      <wpg:grpSpPr>
                        <a:xfrm>
                          <a:off x="0" y="0"/>
                          <a:ext cx="44653" cy="148010"/>
                          <a:chOff x="0" y="0"/>
                          <a:chExt cx="44653" cy="148010"/>
                        </a:xfrm>
                      </wpg:grpSpPr>
                      <wps:wsp>
                        <wps:cNvPr id="336" name="Rectangle 336"/>
                        <wps:cNvSpPr/>
                        <wps:spPr>
                          <a:xfrm>
                            <a:off x="0" y="0"/>
                            <a:ext cx="59389" cy="196853"/>
                          </a:xfrm>
                          <a:prstGeom prst="rect">
                            <a:avLst/>
                          </a:prstGeom>
                          <a:ln>
                            <a:noFill/>
                          </a:ln>
                        </wps:spPr>
                        <wps:txbx>
                          <w:txbxContent>
                            <w:p w14:paraId="2549544A" w14:textId="77777777" w:rsidR="003956D8" w:rsidRDefault="00432A9C">
                              <w:pPr>
                                <w:spacing w:after="160" w:line="259" w:lineRule="auto"/>
                                <w:ind w:left="0" w:firstLine="0"/>
                              </w:pPr>
                              <w:r>
                                <w:rPr>
                                  <w:rFonts w:cs="Tahoma"/>
                                  <w:b/>
                                </w:rPr>
                                <w:t xml:space="preserve"> </w:t>
                              </w:r>
                            </w:p>
                          </w:txbxContent>
                        </wps:txbx>
                        <wps:bodyPr horzOverflow="overflow" vert="horz" lIns="0" tIns="0" rIns="0" bIns="0" rtlCol="0">
                          <a:noAutofit/>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8084" style="width:3.51599pt;height:11.6543pt;position:absolute;mso-position-horizontal-relative:page;mso-position-horizontal:absolute;margin-left:611.22pt;mso-position-vertical-relative:page;margin-top:360.744pt;" coordsize="446,1480">
                <v:rect id="Rectangle 336" style="position:absolute;width:593;height:1968;left:0;top:0;" filled="f" stroked="f">
                  <v:textbox inset="0,0,0,0">
                    <w:txbxContent>
                      <w:p>
                        <w:pPr>
                          <w:spacing w:before="0" w:after="160" w:line="259" w:lineRule="auto"/>
                          <w:ind w:left="0" w:firstLine="0"/>
                        </w:pPr>
                        <w:r>
                          <w:rPr>
                            <w:rFonts w:cs="Tahoma" w:hAnsi="Tahoma" w:eastAsia="Tahoma" w:ascii="Tahoma"/>
                            <w:b w:val="1"/>
                          </w:rPr>
                          <w:t xml:space="preserve"> </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7E162F00" wp14:editId="34161800">
                <wp:simplePos x="0" y="0"/>
                <wp:positionH relativeFrom="page">
                  <wp:posOffset>7762494</wp:posOffset>
                </wp:positionH>
                <wp:positionV relativeFrom="page">
                  <wp:posOffset>4780334</wp:posOffset>
                </wp:positionV>
                <wp:extent cx="44653" cy="148010"/>
                <wp:effectExtent l="0" t="0" r="0" b="0"/>
                <wp:wrapSquare wrapText="bothSides"/>
                <wp:docPr id="8085" name="Group 8085"/>
                <wp:cNvGraphicFramePr/>
                <a:graphic xmlns:a="http://schemas.openxmlformats.org/drawingml/2006/main">
                  <a:graphicData uri="http://schemas.microsoft.com/office/word/2010/wordprocessingGroup">
                    <wpg:wgp>
                      <wpg:cNvGrpSpPr/>
                      <wpg:grpSpPr>
                        <a:xfrm>
                          <a:off x="0" y="0"/>
                          <a:ext cx="44653" cy="148010"/>
                          <a:chOff x="0" y="0"/>
                          <a:chExt cx="44653" cy="148010"/>
                        </a:xfrm>
                      </wpg:grpSpPr>
                      <wps:wsp>
                        <wps:cNvPr id="344" name="Rectangle 344"/>
                        <wps:cNvSpPr/>
                        <wps:spPr>
                          <a:xfrm>
                            <a:off x="0" y="0"/>
                            <a:ext cx="59389" cy="196853"/>
                          </a:xfrm>
                          <a:prstGeom prst="rect">
                            <a:avLst/>
                          </a:prstGeom>
                          <a:ln>
                            <a:noFill/>
                          </a:ln>
                        </wps:spPr>
                        <wps:txbx>
                          <w:txbxContent>
                            <w:p w14:paraId="13ECA795" w14:textId="77777777" w:rsidR="003956D8" w:rsidRDefault="00432A9C">
                              <w:pPr>
                                <w:spacing w:after="160" w:line="259" w:lineRule="auto"/>
                                <w:ind w:left="0" w:firstLine="0"/>
                              </w:pPr>
                              <w:r>
                                <w:rPr>
                                  <w:rFonts w:cs="Tahoma"/>
                                  <w:b/>
                                </w:rPr>
                                <w:t xml:space="preserve"> </w:t>
                              </w:r>
                            </w:p>
                          </w:txbxContent>
                        </wps:txbx>
                        <wps:bodyPr horzOverflow="overflow" vert="horz" lIns="0" tIns="0" rIns="0" bIns="0" rtlCol="0">
                          <a:noAutofit/>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8085" style="width:3.51599pt;height:11.6543pt;position:absolute;mso-position-horizontal-relative:page;mso-position-horizontal:absolute;margin-left:611.22pt;mso-position-vertical-relative:page;margin-top:376.404pt;" coordsize="446,1480">
                <v:rect id="Rectangle 344" style="position:absolute;width:593;height:1968;left:0;top:0;" filled="f" stroked="f">
                  <v:textbox inset="0,0,0,0">
                    <w:txbxContent>
                      <w:p>
                        <w:pPr>
                          <w:spacing w:before="0" w:after="160" w:line="259" w:lineRule="auto"/>
                          <w:ind w:left="0" w:firstLine="0"/>
                        </w:pPr>
                        <w:r>
                          <w:rPr>
                            <w:rFonts w:cs="Tahoma" w:hAnsi="Tahoma" w:eastAsia="Tahoma" w:ascii="Tahoma"/>
                            <w:b w:val="1"/>
                          </w:rPr>
                          <w:t xml:space="preserve"> </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4EA37B5C" wp14:editId="70C05D93">
                <wp:simplePos x="0" y="0"/>
                <wp:positionH relativeFrom="page">
                  <wp:posOffset>7762494</wp:posOffset>
                </wp:positionH>
                <wp:positionV relativeFrom="page">
                  <wp:posOffset>4978454</wp:posOffset>
                </wp:positionV>
                <wp:extent cx="44653" cy="148010"/>
                <wp:effectExtent l="0" t="0" r="0" b="0"/>
                <wp:wrapSquare wrapText="bothSides"/>
                <wp:docPr id="8086" name="Group 8086"/>
                <wp:cNvGraphicFramePr/>
                <a:graphic xmlns:a="http://schemas.openxmlformats.org/drawingml/2006/main">
                  <a:graphicData uri="http://schemas.microsoft.com/office/word/2010/wordprocessingGroup">
                    <wpg:wgp>
                      <wpg:cNvGrpSpPr/>
                      <wpg:grpSpPr>
                        <a:xfrm>
                          <a:off x="0" y="0"/>
                          <a:ext cx="44653" cy="148010"/>
                          <a:chOff x="0" y="0"/>
                          <a:chExt cx="44653" cy="148010"/>
                        </a:xfrm>
                      </wpg:grpSpPr>
                      <wps:wsp>
                        <wps:cNvPr id="354" name="Rectangle 354"/>
                        <wps:cNvSpPr/>
                        <wps:spPr>
                          <a:xfrm>
                            <a:off x="0" y="0"/>
                            <a:ext cx="59389" cy="196853"/>
                          </a:xfrm>
                          <a:prstGeom prst="rect">
                            <a:avLst/>
                          </a:prstGeom>
                          <a:ln>
                            <a:noFill/>
                          </a:ln>
                        </wps:spPr>
                        <wps:txbx>
                          <w:txbxContent>
                            <w:p w14:paraId="21EA347D" w14:textId="77777777" w:rsidR="003956D8" w:rsidRDefault="00432A9C">
                              <w:pPr>
                                <w:spacing w:after="160" w:line="259" w:lineRule="auto"/>
                                <w:ind w:left="0" w:firstLine="0"/>
                              </w:pPr>
                              <w:r>
                                <w:rPr>
                                  <w:rFonts w:cs="Tahoma"/>
                                  <w:b/>
                                </w:rPr>
                                <w:t xml:space="preserve"> </w:t>
                              </w:r>
                            </w:p>
                          </w:txbxContent>
                        </wps:txbx>
                        <wps:bodyPr horzOverflow="overflow" vert="horz" lIns="0" tIns="0" rIns="0" bIns="0" rtlCol="0">
                          <a:noAutofit/>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8086" style="width:3.51599pt;height:11.6543pt;position:absolute;mso-position-horizontal-relative:page;mso-position-horizontal:absolute;margin-left:611.22pt;mso-position-vertical-relative:page;margin-top:392.004pt;" coordsize="446,1480">
                <v:rect id="Rectangle 354" style="position:absolute;width:593;height:1968;left:0;top:0;" filled="f" stroked="f">
                  <v:textbox inset="0,0,0,0">
                    <w:txbxContent>
                      <w:p>
                        <w:pPr>
                          <w:spacing w:before="0" w:after="160" w:line="259" w:lineRule="auto"/>
                          <w:ind w:left="0" w:firstLine="0"/>
                        </w:pPr>
                        <w:r>
                          <w:rPr>
                            <w:rFonts w:cs="Tahoma" w:hAnsi="Tahoma" w:eastAsia="Tahoma" w:ascii="Tahoma"/>
                            <w:b w:val="1"/>
                          </w:rPr>
                          <w:t xml:space="preserve"> </w:t>
                        </w:r>
                      </w:p>
                    </w:txbxContent>
                  </v:textbox>
                </v:rect>
                <w10:wrap type="square"/>
              </v:group>
            </w:pict>
          </mc:Fallback>
        </mc:AlternateContent>
      </w:r>
      <w:r>
        <w:t xml:space="preserve">AND  </w:t>
      </w:r>
      <w:r>
        <w:rPr>
          <w:b w:val="0"/>
        </w:rPr>
        <w:t xml:space="preserve"> </w:t>
      </w:r>
    </w:p>
    <w:p w14:paraId="1F1C0D3F" w14:textId="77777777" w:rsidR="00C866E2" w:rsidRDefault="00C866E2">
      <w:pPr>
        <w:pStyle w:val="Heading1"/>
        <w:ind w:left="12"/>
        <w:rPr>
          <w:b w:val="0"/>
        </w:rPr>
      </w:pPr>
    </w:p>
    <w:p w14:paraId="0178ED8C" w14:textId="6AB6062E" w:rsidR="00C866E2" w:rsidRDefault="00432A9C">
      <w:pPr>
        <w:pStyle w:val="Heading1"/>
        <w:ind w:left="12"/>
      </w:pPr>
      <w:r>
        <w:t xml:space="preserve">MOFFAT     SAIDI                                                           </w:t>
      </w:r>
      <w:r w:rsidR="00C866E2">
        <w:tab/>
      </w:r>
      <w:r w:rsidR="00C866E2">
        <w:tab/>
      </w:r>
      <w:r w:rsidR="00C866E2">
        <w:tab/>
      </w:r>
      <w:r>
        <w:t xml:space="preserve"> 1</w:t>
      </w:r>
      <w:r>
        <w:rPr>
          <w:vertAlign w:val="superscript"/>
        </w:rPr>
        <w:t>ST</w:t>
      </w:r>
      <w:r>
        <w:t xml:space="preserve"> RESPONDENT </w:t>
      </w:r>
    </w:p>
    <w:p w14:paraId="3970D044" w14:textId="3F789FB4" w:rsidR="00C866E2" w:rsidRDefault="00432A9C">
      <w:pPr>
        <w:pStyle w:val="Heading1"/>
        <w:ind w:left="12"/>
      </w:pPr>
      <w:r>
        <w:t xml:space="preserve">TAMBURAI MAMBANE                                                    </w:t>
      </w:r>
      <w:r w:rsidR="00C866E2">
        <w:tab/>
      </w:r>
      <w:r w:rsidR="00C866E2">
        <w:tab/>
      </w:r>
      <w:r w:rsidR="00C866E2">
        <w:tab/>
      </w:r>
      <w:r>
        <w:t>2</w:t>
      </w:r>
      <w:r>
        <w:rPr>
          <w:vertAlign w:val="superscript"/>
        </w:rPr>
        <w:t>ND</w:t>
      </w:r>
      <w:r>
        <w:t xml:space="preserve"> RESPONDENT </w:t>
      </w:r>
    </w:p>
    <w:p w14:paraId="0EA12BDB" w14:textId="173DD067" w:rsidR="003956D8" w:rsidRDefault="00432A9C">
      <w:pPr>
        <w:pStyle w:val="Heading1"/>
        <w:ind w:left="12"/>
      </w:pPr>
      <w:r>
        <w:t>PETER JAMESON                                                                                      3</w:t>
      </w:r>
      <w:r>
        <w:rPr>
          <w:vertAlign w:val="superscript"/>
        </w:rPr>
        <w:t>RD</w:t>
      </w:r>
      <w:r>
        <w:t xml:space="preserve"> RESPONDENT TONY PATA                                                                                               4</w:t>
      </w:r>
      <w:r>
        <w:rPr>
          <w:vertAlign w:val="superscript"/>
        </w:rPr>
        <w:t>TH</w:t>
      </w:r>
      <w:r>
        <w:t xml:space="preserve"> RESPONDENT SAM SPANERA                                                                                          5</w:t>
      </w:r>
      <w:r>
        <w:rPr>
          <w:vertAlign w:val="superscript"/>
        </w:rPr>
        <w:t>TH</w:t>
      </w:r>
      <w:r>
        <w:t xml:space="preserve"> RESPONDENT SIMBARASHE GUTURA                                                                            6</w:t>
      </w:r>
      <w:r>
        <w:rPr>
          <w:vertAlign w:val="superscript"/>
        </w:rPr>
        <w:t>TH</w:t>
      </w:r>
      <w:r>
        <w:t xml:space="preserve"> RESPONDENT   ALECK CHIMBARE                                                                                    7</w:t>
      </w:r>
      <w:r>
        <w:rPr>
          <w:vertAlign w:val="superscript"/>
        </w:rPr>
        <w:t>TH</w:t>
      </w:r>
      <w:r>
        <w:t xml:space="preserve"> RESPONDENT</w:t>
      </w:r>
      <w:r>
        <w:rPr>
          <w:b w:val="0"/>
        </w:rPr>
        <w:t xml:space="preserve">  </w:t>
      </w:r>
    </w:p>
    <w:p w14:paraId="581C381D" w14:textId="77777777" w:rsidR="003956D8" w:rsidRDefault="00432A9C">
      <w:r>
        <w:t xml:space="preserve">Before </w:t>
      </w:r>
      <w:proofErr w:type="spellStart"/>
      <w:r>
        <w:t>Honourable</w:t>
      </w:r>
      <w:proofErr w:type="spellEnd"/>
      <w:r>
        <w:t xml:space="preserve"> Justice </w:t>
      </w:r>
      <w:proofErr w:type="spellStart"/>
      <w:r>
        <w:t>Tsikwa</w:t>
      </w:r>
      <w:proofErr w:type="spellEnd"/>
      <w:r>
        <w:t xml:space="preserve"> J </w:t>
      </w:r>
      <w:r>
        <w:rPr>
          <w:rFonts w:cs="Tahoma"/>
        </w:rPr>
        <w:t xml:space="preserve"> </w:t>
      </w:r>
    </w:p>
    <w:p w14:paraId="4DA19C48" w14:textId="77777777" w:rsidR="003956D8" w:rsidRDefault="00432A9C">
      <w:pPr>
        <w:spacing w:after="0" w:line="259" w:lineRule="auto"/>
        <w:ind w:left="17" w:firstLine="0"/>
      </w:pPr>
      <w:r>
        <w:t xml:space="preserve"> </w:t>
      </w:r>
      <w:r>
        <w:rPr>
          <w:rFonts w:cs="Tahoma"/>
        </w:rPr>
        <w:t xml:space="preserve"> </w:t>
      </w:r>
    </w:p>
    <w:p w14:paraId="4BF557A3" w14:textId="77777777" w:rsidR="003956D8" w:rsidRDefault="00432A9C">
      <w:pPr>
        <w:ind w:right="6987"/>
      </w:pPr>
      <w:r>
        <w:t xml:space="preserve">For the Appellant: A </w:t>
      </w:r>
      <w:proofErr w:type="spellStart"/>
      <w:proofErr w:type="gramStart"/>
      <w:r>
        <w:t>Chinganga</w:t>
      </w:r>
      <w:proofErr w:type="spellEnd"/>
      <w:r>
        <w:t xml:space="preserve"> </w:t>
      </w:r>
      <w:r>
        <w:rPr>
          <w:rFonts w:cs="Tahoma"/>
        </w:rPr>
        <w:t xml:space="preserve"> </w:t>
      </w:r>
      <w:r>
        <w:t>For</w:t>
      </w:r>
      <w:proofErr w:type="gramEnd"/>
      <w:r>
        <w:t xml:space="preserve"> the Respondent: L.C Ndoro </w:t>
      </w:r>
      <w:r>
        <w:rPr>
          <w:rFonts w:cs="Tahoma"/>
        </w:rPr>
        <w:t xml:space="preserve"> </w:t>
      </w:r>
    </w:p>
    <w:p w14:paraId="1E2FEE1F" w14:textId="77777777" w:rsidR="003956D8" w:rsidRDefault="00432A9C">
      <w:pPr>
        <w:spacing w:after="0" w:line="259" w:lineRule="auto"/>
        <w:ind w:left="0" w:firstLine="0"/>
      </w:pPr>
      <w:r>
        <w:rPr>
          <w:sz w:val="25"/>
        </w:rPr>
        <w:t xml:space="preserve"> </w:t>
      </w:r>
      <w:r>
        <w:rPr>
          <w:rFonts w:cs="Tahoma"/>
        </w:rPr>
        <w:t xml:space="preserve"> </w:t>
      </w:r>
    </w:p>
    <w:p w14:paraId="2FCECFF0" w14:textId="77777777" w:rsidR="003956D8" w:rsidRDefault="00432A9C">
      <w:pPr>
        <w:spacing w:after="0" w:line="259" w:lineRule="auto"/>
        <w:ind w:left="17" w:firstLine="0"/>
      </w:pPr>
      <w:r>
        <w:rPr>
          <w:rFonts w:cs="Tahoma"/>
          <w:b/>
        </w:rPr>
        <w:t xml:space="preserve"> </w:t>
      </w:r>
      <w:r>
        <w:rPr>
          <w:rFonts w:cs="Tahoma"/>
        </w:rPr>
        <w:t xml:space="preserve"> </w:t>
      </w:r>
    </w:p>
    <w:p w14:paraId="2C0BF844" w14:textId="77777777" w:rsidR="003956D8" w:rsidRDefault="00432A9C">
      <w:pPr>
        <w:spacing w:after="5" w:line="264" w:lineRule="auto"/>
        <w:ind w:left="12"/>
      </w:pPr>
      <w:r>
        <w:rPr>
          <w:rFonts w:cs="Tahoma"/>
          <w:b/>
        </w:rPr>
        <w:t xml:space="preserve">TSIKWA J: </w:t>
      </w:r>
      <w:r>
        <w:rPr>
          <w:rFonts w:cs="Tahoma"/>
        </w:rPr>
        <w:t xml:space="preserve"> </w:t>
      </w:r>
    </w:p>
    <w:p w14:paraId="62400684" w14:textId="77777777" w:rsidR="003956D8" w:rsidRDefault="00432A9C">
      <w:pPr>
        <w:spacing w:after="0" w:line="259" w:lineRule="auto"/>
        <w:ind w:left="17" w:firstLine="0"/>
      </w:pPr>
      <w:r>
        <w:rPr>
          <w:rFonts w:cs="Tahoma"/>
          <w:b/>
        </w:rPr>
        <w:t xml:space="preserve"> </w:t>
      </w:r>
      <w:r>
        <w:rPr>
          <w:rFonts w:cs="Tahoma"/>
        </w:rPr>
        <w:t xml:space="preserve"> </w:t>
      </w:r>
    </w:p>
    <w:p w14:paraId="4D46F089" w14:textId="77777777" w:rsidR="003956D8" w:rsidRDefault="00432A9C">
      <w:pPr>
        <w:ind w:left="10"/>
      </w:pPr>
      <w:r>
        <w:t xml:space="preserve">This is an application for condonation for late noting of an appeal and extension of time within which to note an appeal in terms of Rule 22 of the Labour Court Rules, 2017. </w:t>
      </w:r>
      <w:r>
        <w:rPr>
          <w:rFonts w:cs="Tahoma"/>
        </w:rPr>
        <w:t xml:space="preserve"> </w:t>
      </w:r>
    </w:p>
    <w:p w14:paraId="358697E7" w14:textId="77777777" w:rsidR="003956D8" w:rsidRDefault="00432A9C">
      <w:pPr>
        <w:spacing w:after="0" w:line="259" w:lineRule="auto"/>
        <w:ind w:left="17" w:firstLine="0"/>
      </w:pPr>
      <w:r>
        <w:t xml:space="preserve"> </w:t>
      </w:r>
      <w:r>
        <w:rPr>
          <w:rFonts w:cs="Tahoma"/>
        </w:rPr>
        <w:t xml:space="preserve"> </w:t>
      </w:r>
    </w:p>
    <w:p w14:paraId="077E547C" w14:textId="77777777" w:rsidR="003956D8" w:rsidRDefault="00432A9C">
      <w:pPr>
        <w:pStyle w:val="Heading1"/>
        <w:ind w:left="12"/>
      </w:pPr>
      <w:r>
        <w:t xml:space="preserve">FACTUAL BACKGROUND </w:t>
      </w:r>
    </w:p>
    <w:p w14:paraId="147BCB2D" w14:textId="77777777" w:rsidR="003956D8" w:rsidRDefault="00432A9C">
      <w:pPr>
        <w:spacing w:after="0" w:line="259" w:lineRule="auto"/>
        <w:ind w:left="17" w:firstLine="0"/>
      </w:pPr>
      <w:r>
        <w:rPr>
          <w:rFonts w:cs="Tahoma"/>
        </w:rPr>
        <w:t xml:space="preserve"> </w:t>
      </w:r>
    </w:p>
    <w:p w14:paraId="6C2E44AD" w14:textId="77777777" w:rsidR="003956D8" w:rsidRDefault="00432A9C">
      <w:pPr>
        <w:spacing w:after="0" w:line="259" w:lineRule="auto"/>
        <w:ind w:left="17" w:firstLine="0"/>
      </w:pPr>
      <w:r>
        <w:rPr>
          <w:rFonts w:cs="Tahoma"/>
        </w:rPr>
        <w:t xml:space="preserve"> </w:t>
      </w:r>
    </w:p>
    <w:p w14:paraId="460D9E0E" w14:textId="77777777" w:rsidR="003956D8" w:rsidRDefault="00432A9C">
      <w:pPr>
        <w:ind w:left="27"/>
      </w:pPr>
      <w:r>
        <w:t xml:space="preserve">According to the applicant, the 7 respondents were employed by a company known as </w:t>
      </w:r>
      <w:r>
        <w:rPr>
          <w:rFonts w:cs="Tahoma"/>
        </w:rPr>
        <w:t xml:space="preserve"> </w:t>
      </w:r>
    </w:p>
    <w:p w14:paraId="137546A5" w14:textId="77777777" w:rsidR="003956D8" w:rsidRDefault="00432A9C">
      <w:pPr>
        <w:ind w:left="27"/>
      </w:pPr>
      <w:r>
        <w:t xml:space="preserve">Togetherness </w:t>
      </w:r>
      <w:proofErr w:type="spellStart"/>
      <w:r>
        <w:t>Mukutse</w:t>
      </w:r>
      <w:proofErr w:type="spellEnd"/>
      <w:r>
        <w:t xml:space="preserve"> (Pvt) Ltd a company it had contracted to provide security services </w:t>
      </w:r>
      <w:r>
        <w:rPr>
          <w:rFonts w:cs="Tahoma"/>
        </w:rPr>
        <w:t xml:space="preserve"> </w:t>
      </w:r>
    </w:p>
    <w:p w14:paraId="1523ED54" w14:textId="77777777" w:rsidR="003956D8" w:rsidRDefault="00432A9C">
      <w:pPr>
        <w:ind w:left="27"/>
      </w:pPr>
      <w:r>
        <w:t xml:space="preserve">The respondents were then deployed to the applicant premises to render security services </w:t>
      </w:r>
      <w:r>
        <w:rPr>
          <w:rFonts w:cs="Tahoma"/>
        </w:rPr>
        <w:t xml:space="preserve"> </w:t>
      </w:r>
    </w:p>
    <w:p w14:paraId="1E546AA3" w14:textId="77777777" w:rsidR="003956D8" w:rsidRDefault="00432A9C">
      <w:pPr>
        <w:ind w:left="27"/>
      </w:pPr>
      <w:r>
        <w:lastRenderedPageBreak/>
        <w:t xml:space="preserve">The applicant submitted that there was theft of some steal beams at its premises and a report was made to police. The respondents were prime suspects. The applicant said the situation was untenable and resultantly it terminated the security services contract with Togetherness </w:t>
      </w:r>
      <w:proofErr w:type="spellStart"/>
      <w:r>
        <w:t>Mukutse</w:t>
      </w:r>
      <w:proofErr w:type="spellEnd"/>
      <w:r>
        <w:t xml:space="preserve"> (Pvt) Ltd which in turn dismissed the respondents from employment. It was submitted further that the respondents then alleged that they had transferred to employ of the applicant and later dismissed without reason. The respondents then lodged a complaint with the NEC for the Pulp and Paper Manufacturing Industry. There was no amicable agreement and the matter was referred for compulsory arbitration. The arbitration ruled in favor of the respondents holding that they were </w:t>
      </w:r>
      <w:proofErr w:type="spellStart"/>
      <w:r>
        <w:t>employes</w:t>
      </w:r>
      <w:proofErr w:type="spellEnd"/>
      <w:r>
        <w:t xml:space="preserve"> of the applicant. The applicant aggrieved by the decision, intended to note an appeal in this court. However, it was out of time hence the filing of the present application for condonation.</w:t>
      </w:r>
      <w:r>
        <w:rPr>
          <w:rFonts w:cs="Tahoma"/>
        </w:rPr>
        <w:t xml:space="preserve"> </w:t>
      </w:r>
    </w:p>
    <w:p w14:paraId="278BAEC1" w14:textId="77777777" w:rsidR="003956D8" w:rsidRDefault="00432A9C">
      <w:pPr>
        <w:spacing w:after="0" w:line="259" w:lineRule="auto"/>
        <w:ind w:left="17" w:firstLine="0"/>
      </w:pPr>
      <w:r>
        <w:rPr>
          <w:rFonts w:cs="Tahoma"/>
        </w:rPr>
        <w:t xml:space="preserve"> </w:t>
      </w:r>
    </w:p>
    <w:p w14:paraId="34BBFD27" w14:textId="77777777" w:rsidR="003956D8" w:rsidRDefault="00432A9C">
      <w:pPr>
        <w:pStyle w:val="Heading1"/>
        <w:ind w:left="12"/>
      </w:pPr>
      <w:r>
        <w:t xml:space="preserve">The Relief Sought </w:t>
      </w:r>
    </w:p>
    <w:p w14:paraId="2AEB8F3F" w14:textId="77777777" w:rsidR="003956D8" w:rsidRDefault="00432A9C">
      <w:pPr>
        <w:spacing w:after="0" w:line="259" w:lineRule="auto"/>
        <w:ind w:left="17" w:firstLine="0"/>
      </w:pPr>
      <w:r>
        <w:rPr>
          <w:rFonts w:cs="Tahoma"/>
          <w:b/>
        </w:rPr>
        <w:t xml:space="preserve"> </w:t>
      </w:r>
    </w:p>
    <w:p w14:paraId="29E321B4" w14:textId="77777777" w:rsidR="003956D8" w:rsidRDefault="00432A9C">
      <w:pPr>
        <w:spacing w:after="0" w:line="259" w:lineRule="auto"/>
        <w:ind w:left="17" w:firstLine="0"/>
      </w:pPr>
      <w:r>
        <w:rPr>
          <w:rFonts w:cs="Tahoma"/>
        </w:rPr>
        <w:t xml:space="preserve"> </w:t>
      </w:r>
    </w:p>
    <w:p w14:paraId="0990CA9D" w14:textId="77777777" w:rsidR="003956D8" w:rsidRDefault="00432A9C">
      <w:pPr>
        <w:numPr>
          <w:ilvl w:val="0"/>
          <w:numId w:val="1"/>
        </w:numPr>
        <w:ind w:hanging="360"/>
      </w:pPr>
      <w:r>
        <w:t xml:space="preserve">That the application for condonation for late noting of appeal against the arbitral award dated 15 August 2025 be and is here by granted. </w:t>
      </w:r>
      <w:r>
        <w:rPr>
          <w:rFonts w:cs="Tahoma"/>
        </w:rPr>
        <w:t xml:space="preserve"> </w:t>
      </w:r>
    </w:p>
    <w:p w14:paraId="12B9A2CF" w14:textId="77777777" w:rsidR="003956D8" w:rsidRDefault="00432A9C">
      <w:pPr>
        <w:spacing w:after="0" w:line="259" w:lineRule="auto"/>
        <w:ind w:left="24" w:firstLine="0"/>
      </w:pPr>
      <w:r>
        <w:rPr>
          <w:rFonts w:cs="Tahoma"/>
        </w:rPr>
        <w:t xml:space="preserve"> </w:t>
      </w:r>
    </w:p>
    <w:p w14:paraId="76A79465" w14:textId="77777777" w:rsidR="003956D8" w:rsidRDefault="00432A9C">
      <w:pPr>
        <w:numPr>
          <w:ilvl w:val="0"/>
          <w:numId w:val="1"/>
        </w:numPr>
        <w:ind w:hanging="360"/>
      </w:pPr>
      <w:r>
        <w:t xml:space="preserve">The applicant is given leave to file its notice and grounds of appeal within 7 days of this order </w:t>
      </w:r>
      <w:r>
        <w:rPr>
          <w:rFonts w:cs="Tahoma"/>
        </w:rPr>
        <w:t xml:space="preserve"> </w:t>
      </w:r>
    </w:p>
    <w:p w14:paraId="15F4E58C" w14:textId="77777777" w:rsidR="003956D8" w:rsidRDefault="00432A9C">
      <w:pPr>
        <w:spacing w:after="114" w:line="259" w:lineRule="auto"/>
        <w:ind w:left="728" w:firstLine="0"/>
      </w:pPr>
      <w:r>
        <w:rPr>
          <w:rFonts w:cs="Tahoma"/>
        </w:rPr>
        <w:t xml:space="preserve"> </w:t>
      </w:r>
    </w:p>
    <w:p w14:paraId="6F16F343" w14:textId="77777777" w:rsidR="003956D8" w:rsidRDefault="00432A9C">
      <w:pPr>
        <w:pStyle w:val="Heading1"/>
        <w:ind w:left="387"/>
      </w:pPr>
      <w:r>
        <w:t xml:space="preserve">Submissions by the parties </w:t>
      </w:r>
      <w:r>
        <w:rPr>
          <w:b w:val="0"/>
        </w:rPr>
        <w:t xml:space="preserve"> </w:t>
      </w:r>
    </w:p>
    <w:p w14:paraId="5E7F5583" w14:textId="77777777" w:rsidR="003956D8" w:rsidRDefault="00432A9C">
      <w:pPr>
        <w:ind w:left="372"/>
      </w:pPr>
      <w:r>
        <w:t xml:space="preserve">Applicant’s counsel submitted that this application meets the requirements for the granting of an application for condonation. This court was urged to apply the principles of fairness and justice especially where the reasons for non – compliance with the rules have been satisfactorily explained. Reference was made to the case of </w:t>
      </w:r>
      <w:r>
        <w:rPr>
          <w:rFonts w:cs="Tahoma"/>
          <w:b/>
        </w:rPr>
        <w:t xml:space="preserve">Friendship v cargo carries Limited and Anor Sc / 13 </w:t>
      </w:r>
      <w:r>
        <w:rPr>
          <w:rFonts w:cs="Tahoma"/>
        </w:rPr>
        <w:t xml:space="preserve"> </w:t>
      </w:r>
    </w:p>
    <w:p w14:paraId="56006C50" w14:textId="77777777" w:rsidR="003956D8" w:rsidRDefault="00432A9C">
      <w:pPr>
        <w:spacing w:after="0" w:line="259" w:lineRule="auto"/>
        <w:ind w:left="377" w:firstLine="0"/>
      </w:pPr>
      <w:r>
        <w:rPr>
          <w:rFonts w:cs="Tahoma"/>
          <w:b/>
        </w:rPr>
        <w:t xml:space="preserve"> </w:t>
      </w:r>
    </w:p>
    <w:p w14:paraId="69481E37" w14:textId="77777777" w:rsidR="003956D8" w:rsidRDefault="00432A9C">
      <w:pPr>
        <w:ind w:left="372"/>
      </w:pPr>
      <w:r>
        <w:t xml:space="preserve">The applicant’ s counsel also made reference to the case of </w:t>
      </w:r>
      <w:r>
        <w:rPr>
          <w:rFonts w:cs="Tahoma"/>
          <w:b/>
        </w:rPr>
        <w:t>United plant Hire (PVT) Ltd v Hills and</w:t>
      </w:r>
      <w:r>
        <w:t xml:space="preserve"> </w:t>
      </w:r>
      <w:r>
        <w:rPr>
          <w:rFonts w:cs="Tahoma"/>
          <w:b/>
        </w:rPr>
        <w:t>Others 1976 (1) SA 717 (A)</w:t>
      </w:r>
      <w:r>
        <w:t xml:space="preserve"> where it was held that in essence the inquiry is one of fairness to both sides. in that case the requirements for an application for condonation were listed as here under:  </w:t>
      </w:r>
      <w:r>
        <w:rPr>
          <w:rFonts w:cs="Tahoma"/>
        </w:rPr>
        <w:t xml:space="preserve"> </w:t>
      </w:r>
    </w:p>
    <w:p w14:paraId="0EBC0611" w14:textId="77777777" w:rsidR="003956D8" w:rsidRDefault="00432A9C">
      <w:pPr>
        <w:numPr>
          <w:ilvl w:val="0"/>
          <w:numId w:val="2"/>
        </w:numPr>
        <w:ind w:hanging="392"/>
      </w:pPr>
      <w:r>
        <w:t>the extend of the delay</w:t>
      </w:r>
      <w:r>
        <w:rPr>
          <w:rFonts w:cs="Tahoma"/>
        </w:rPr>
        <w:t xml:space="preserve"> </w:t>
      </w:r>
    </w:p>
    <w:p w14:paraId="5E4164BC" w14:textId="77777777" w:rsidR="003956D8" w:rsidRDefault="00432A9C">
      <w:pPr>
        <w:numPr>
          <w:ilvl w:val="0"/>
          <w:numId w:val="2"/>
        </w:numPr>
        <w:ind w:hanging="392"/>
      </w:pPr>
      <w:r>
        <w:t xml:space="preserve">the reasonableness of the explanation tendered therefore  </w:t>
      </w:r>
      <w:r>
        <w:rPr>
          <w:rFonts w:cs="Tahoma"/>
        </w:rPr>
        <w:t xml:space="preserve"> </w:t>
      </w:r>
    </w:p>
    <w:p w14:paraId="0DC260BC" w14:textId="77777777" w:rsidR="003956D8" w:rsidRDefault="00432A9C">
      <w:pPr>
        <w:numPr>
          <w:ilvl w:val="0"/>
          <w:numId w:val="2"/>
        </w:numPr>
        <w:ind w:hanging="392"/>
      </w:pPr>
      <w:r>
        <w:t xml:space="preserve">the prospects of success on appeal </w:t>
      </w:r>
      <w:r>
        <w:rPr>
          <w:rFonts w:cs="Tahoma"/>
        </w:rPr>
        <w:t xml:space="preserve"> </w:t>
      </w:r>
    </w:p>
    <w:p w14:paraId="7505B701" w14:textId="77777777" w:rsidR="003956D8" w:rsidRDefault="00432A9C">
      <w:pPr>
        <w:numPr>
          <w:ilvl w:val="0"/>
          <w:numId w:val="2"/>
        </w:numPr>
        <w:ind w:hanging="392"/>
      </w:pPr>
      <w:r>
        <w:t xml:space="preserve">the importance of the case </w:t>
      </w:r>
      <w:r>
        <w:rPr>
          <w:rFonts w:cs="Tahoma"/>
        </w:rPr>
        <w:t xml:space="preserve"> </w:t>
      </w:r>
    </w:p>
    <w:p w14:paraId="774A8FBB" w14:textId="77777777" w:rsidR="003956D8" w:rsidRDefault="00432A9C">
      <w:pPr>
        <w:numPr>
          <w:ilvl w:val="0"/>
          <w:numId w:val="2"/>
        </w:numPr>
        <w:ind w:hanging="392"/>
      </w:pPr>
      <w:r>
        <w:t xml:space="preserve">the prejudice if army likely to be suffered by the respondents if the application be granted. </w:t>
      </w:r>
      <w:r>
        <w:rPr>
          <w:rFonts w:cs="Tahoma"/>
        </w:rPr>
        <w:t xml:space="preserve"> </w:t>
      </w:r>
    </w:p>
    <w:p w14:paraId="0278E835" w14:textId="77777777" w:rsidR="003956D8" w:rsidRDefault="00432A9C">
      <w:pPr>
        <w:numPr>
          <w:ilvl w:val="0"/>
          <w:numId w:val="2"/>
        </w:numPr>
        <w:ind w:hanging="392"/>
      </w:pPr>
      <w:r>
        <w:t xml:space="preserve">the need to bring finality to the proceedings. </w:t>
      </w:r>
      <w:r>
        <w:rPr>
          <w:rFonts w:cs="Tahoma"/>
        </w:rPr>
        <w:t xml:space="preserve"> </w:t>
      </w:r>
    </w:p>
    <w:p w14:paraId="7370E2B0" w14:textId="77777777" w:rsidR="003956D8" w:rsidRDefault="00432A9C">
      <w:pPr>
        <w:ind w:left="372"/>
      </w:pPr>
      <w:r>
        <w:t xml:space="preserve">It was further submitted that the above factors must be weighed against each other. The existence of good prospects of success on appeal may compensate for an inadequate explanation for delay. Reference was made to the case of </w:t>
      </w:r>
      <w:r>
        <w:rPr>
          <w:rFonts w:cs="Tahoma"/>
          <w:b/>
        </w:rPr>
        <w:t>Adrian Paul Hay land Read v John Stewart Mathews Gardiner and Another SC70 / 19</w:t>
      </w:r>
      <w:r>
        <w:t xml:space="preserve">   </w:t>
      </w:r>
      <w:r>
        <w:rPr>
          <w:rFonts w:cs="Tahoma"/>
        </w:rPr>
        <w:t xml:space="preserve"> </w:t>
      </w:r>
    </w:p>
    <w:p w14:paraId="4CB564F0" w14:textId="77777777" w:rsidR="003956D8" w:rsidRDefault="00432A9C">
      <w:pPr>
        <w:spacing w:after="0" w:line="259" w:lineRule="auto"/>
        <w:ind w:left="377" w:firstLine="0"/>
      </w:pPr>
      <w:r>
        <w:rPr>
          <w:rFonts w:cs="Tahoma"/>
        </w:rPr>
        <w:lastRenderedPageBreak/>
        <w:t xml:space="preserve"> </w:t>
      </w:r>
    </w:p>
    <w:p w14:paraId="65EE2446" w14:textId="77777777" w:rsidR="003956D8" w:rsidRDefault="00432A9C">
      <w:pPr>
        <w:pStyle w:val="Heading1"/>
        <w:ind w:left="387"/>
      </w:pPr>
      <w:r>
        <w:t xml:space="preserve">Extent of The Delay </w:t>
      </w:r>
      <w:r>
        <w:rPr>
          <w:b w:val="0"/>
        </w:rPr>
        <w:t xml:space="preserve"> </w:t>
      </w:r>
    </w:p>
    <w:p w14:paraId="7BF29081" w14:textId="77777777" w:rsidR="003956D8" w:rsidRDefault="00432A9C">
      <w:pPr>
        <w:spacing w:after="0" w:line="259" w:lineRule="auto"/>
        <w:ind w:left="377" w:firstLine="0"/>
      </w:pPr>
      <w:r>
        <w:rPr>
          <w:rFonts w:cs="Tahoma"/>
          <w:b/>
        </w:rPr>
        <w:t xml:space="preserve"> </w:t>
      </w:r>
    </w:p>
    <w:p w14:paraId="239EA777" w14:textId="77777777" w:rsidR="003956D8" w:rsidRDefault="00432A9C">
      <w:pPr>
        <w:spacing w:after="1" w:line="257" w:lineRule="auto"/>
        <w:ind w:left="377" w:right="282" w:firstLine="0"/>
        <w:jc w:val="both"/>
      </w:pPr>
      <w:r>
        <w:t>The applicant submitted that though there was a delay of 2 months which can be considered as inordinate delay, this court was urged to take into account that litigants do not live for the sole purpose filing court process because they have other obligations to be attended. The court was referred to the case of The</w:t>
      </w:r>
      <w:r>
        <w:rPr>
          <w:rFonts w:cs="Tahoma"/>
          <w:b/>
        </w:rPr>
        <w:t xml:space="preserve"> National Prosecuting Authority v Sangamaya and   Anor HH 42/15. </w:t>
      </w:r>
    </w:p>
    <w:p w14:paraId="188B4AC9" w14:textId="77777777" w:rsidR="003956D8" w:rsidRDefault="00432A9C">
      <w:pPr>
        <w:ind w:left="372"/>
      </w:pPr>
      <w:r>
        <w:t>The respondents on the other hand argued that a delay of 52 days</w:t>
      </w:r>
      <w:r>
        <w:rPr>
          <w:rFonts w:cs="Tahoma"/>
          <w:b/>
        </w:rPr>
        <w:t xml:space="preserve"> </w:t>
      </w:r>
      <w:r>
        <w:t xml:space="preserve">is just unreasonable. It was submitted that the award was collected on behalf of the applicant by one Brandon </w:t>
      </w:r>
      <w:proofErr w:type="spellStart"/>
      <w:r>
        <w:t>Mugwazi</w:t>
      </w:r>
      <w:proofErr w:type="spellEnd"/>
      <w:r>
        <w:t xml:space="preserve"> on 24 September 2024.  It was therefore argued that the applicant had ample time to act but chose not to and therefore not entitled to the relief sought.</w:t>
      </w:r>
      <w:r>
        <w:rPr>
          <w:rFonts w:cs="Tahoma"/>
        </w:rPr>
        <w:t xml:space="preserve"> </w:t>
      </w:r>
    </w:p>
    <w:p w14:paraId="32C0D098" w14:textId="77777777" w:rsidR="003956D8" w:rsidRDefault="00432A9C">
      <w:pPr>
        <w:spacing w:after="0" w:line="259" w:lineRule="auto"/>
        <w:ind w:left="377" w:firstLine="0"/>
      </w:pPr>
      <w:r>
        <w:rPr>
          <w:rFonts w:cs="Tahoma"/>
          <w:b/>
        </w:rPr>
        <w:t xml:space="preserve"> </w:t>
      </w:r>
    </w:p>
    <w:p w14:paraId="2A0F2D50" w14:textId="77777777" w:rsidR="003956D8" w:rsidRDefault="00432A9C">
      <w:pPr>
        <w:pStyle w:val="Heading1"/>
        <w:ind w:left="387"/>
      </w:pPr>
      <w:r>
        <w:t xml:space="preserve">ANALYSIS </w:t>
      </w:r>
    </w:p>
    <w:p w14:paraId="234A2497" w14:textId="77777777" w:rsidR="003956D8" w:rsidRDefault="00432A9C">
      <w:pPr>
        <w:spacing w:after="0" w:line="259" w:lineRule="auto"/>
        <w:ind w:left="377" w:firstLine="0"/>
      </w:pPr>
      <w:r>
        <w:rPr>
          <w:rFonts w:cs="Tahoma"/>
        </w:rPr>
        <w:t xml:space="preserve"> </w:t>
      </w:r>
    </w:p>
    <w:p w14:paraId="6E6A761E" w14:textId="77777777" w:rsidR="003956D8" w:rsidRDefault="00432A9C">
      <w:pPr>
        <w:ind w:left="372"/>
      </w:pPr>
      <w:r>
        <w:t>A careful analysis of these facts shows that the delay was prolonged and unreasonable. Such a delay needs to be accompanied by a reasonable explanation for such delay which I now consider hereunder.</w:t>
      </w:r>
      <w:r>
        <w:rPr>
          <w:rFonts w:cs="Tahoma"/>
        </w:rPr>
        <w:t xml:space="preserve"> </w:t>
      </w:r>
    </w:p>
    <w:p w14:paraId="05423EC2" w14:textId="77777777" w:rsidR="003956D8" w:rsidRDefault="00432A9C">
      <w:pPr>
        <w:spacing w:after="0" w:line="259" w:lineRule="auto"/>
        <w:ind w:left="377" w:firstLine="0"/>
      </w:pPr>
      <w:r>
        <w:rPr>
          <w:rFonts w:cs="Tahoma"/>
          <w:b/>
        </w:rPr>
        <w:t xml:space="preserve"> </w:t>
      </w:r>
    </w:p>
    <w:p w14:paraId="596E547E" w14:textId="77777777" w:rsidR="003956D8" w:rsidRDefault="00432A9C">
      <w:pPr>
        <w:spacing w:after="0" w:line="259" w:lineRule="auto"/>
        <w:ind w:left="377" w:firstLine="0"/>
      </w:pPr>
      <w:r>
        <w:rPr>
          <w:rFonts w:cs="Tahoma"/>
          <w:b/>
        </w:rPr>
        <w:t xml:space="preserve"> </w:t>
      </w:r>
    </w:p>
    <w:p w14:paraId="78AC5291" w14:textId="77777777" w:rsidR="003956D8" w:rsidRDefault="00432A9C">
      <w:pPr>
        <w:pStyle w:val="Heading1"/>
        <w:ind w:left="387"/>
      </w:pPr>
      <w:r>
        <w:t xml:space="preserve">Reasonableness of the Explanation for the Delay  </w:t>
      </w:r>
    </w:p>
    <w:p w14:paraId="05E87AFE" w14:textId="77777777" w:rsidR="003956D8" w:rsidRDefault="00432A9C">
      <w:pPr>
        <w:spacing w:after="0" w:line="259" w:lineRule="auto"/>
        <w:ind w:left="377" w:firstLine="0"/>
      </w:pPr>
      <w:r>
        <w:rPr>
          <w:rFonts w:cs="Tahoma"/>
          <w:b/>
        </w:rPr>
        <w:t xml:space="preserve"> </w:t>
      </w:r>
    </w:p>
    <w:p w14:paraId="42C30E8E" w14:textId="77777777" w:rsidR="003956D8" w:rsidRDefault="00432A9C">
      <w:pPr>
        <w:ind w:left="372"/>
      </w:pPr>
      <w:r>
        <w:t>The applicant also submitted that it was only served with the arbitral award on 24 September 2025, 28 days after it had been handed down. It was indicated that the award was only availed</w:t>
      </w:r>
      <w:r>
        <w:rPr>
          <w:rFonts w:cs="Tahoma"/>
        </w:rPr>
        <w:t xml:space="preserve"> </w:t>
      </w:r>
      <w:r>
        <w:t xml:space="preserve">to them by the respondents after some enquiries. There after the applicant began to seek legal advice so as to access the implications of the determination given the financial implications there from. The applicant submitted it encountered genuine practical difficulties in obtaining key documents necessary consider in formulating the appeal some of the documents were in the possession of third parties who were not available.  Applicants counsel submitted that the delay was not willful reckless or intended to deference course of justice.  </w:t>
      </w:r>
      <w:r>
        <w:rPr>
          <w:rFonts w:cs="Tahoma"/>
        </w:rPr>
        <w:t xml:space="preserve"> </w:t>
      </w:r>
    </w:p>
    <w:p w14:paraId="501244D6" w14:textId="77777777" w:rsidR="003956D8" w:rsidRDefault="00432A9C">
      <w:pPr>
        <w:ind w:left="372"/>
      </w:pPr>
      <w:r>
        <w:t xml:space="preserve">The respondent’s counsel on the other hand submitted that the applicant has not been candid with court due the different explanations given for the delay. In one breath the applicants indicted that they got to know of the award after making follow ups with the arbitrator yet it also submitted that the award was served on them on 24 September 2024.It is also alleged that the applicant got know of the award after it served on them by the respondents. </w:t>
      </w:r>
      <w:r>
        <w:rPr>
          <w:rFonts w:cs="Tahoma"/>
        </w:rPr>
        <w:t xml:space="preserve"> </w:t>
      </w:r>
    </w:p>
    <w:p w14:paraId="67E7AB1E" w14:textId="77777777" w:rsidR="003956D8" w:rsidRDefault="00432A9C">
      <w:pPr>
        <w:spacing w:after="0" w:line="259" w:lineRule="auto"/>
        <w:ind w:left="377" w:firstLine="0"/>
      </w:pPr>
      <w:r>
        <w:rPr>
          <w:rFonts w:cs="Tahoma"/>
        </w:rPr>
        <w:t xml:space="preserve"> </w:t>
      </w:r>
    </w:p>
    <w:p w14:paraId="3D9C94E3" w14:textId="77777777" w:rsidR="003956D8" w:rsidRDefault="00432A9C">
      <w:pPr>
        <w:pStyle w:val="Heading1"/>
        <w:ind w:left="387"/>
      </w:pPr>
      <w:r>
        <w:t xml:space="preserve">ANALYSIS </w:t>
      </w:r>
    </w:p>
    <w:p w14:paraId="3B088D06" w14:textId="77777777" w:rsidR="003956D8" w:rsidRDefault="00432A9C">
      <w:pPr>
        <w:spacing w:after="0" w:line="259" w:lineRule="auto"/>
        <w:ind w:left="377" w:firstLine="0"/>
      </w:pPr>
      <w:r>
        <w:rPr>
          <w:rFonts w:cs="Tahoma"/>
        </w:rPr>
        <w:t xml:space="preserve"> </w:t>
      </w:r>
    </w:p>
    <w:p w14:paraId="521700BC" w14:textId="77777777" w:rsidR="003956D8" w:rsidRDefault="00432A9C">
      <w:pPr>
        <w:ind w:left="372"/>
      </w:pPr>
      <w:r>
        <w:lastRenderedPageBreak/>
        <w:t>The above explanations are contradictory which shows lack of seriousness on the part of the applicant. All it shows is the applicant was struggling to come with valid reasons for the delay because all what was submitted is based on falsehoods.</w:t>
      </w:r>
      <w:r>
        <w:rPr>
          <w:rFonts w:cs="Tahoma"/>
        </w:rPr>
        <w:t xml:space="preserve"> </w:t>
      </w:r>
    </w:p>
    <w:p w14:paraId="5784192B" w14:textId="77777777" w:rsidR="003956D8" w:rsidRDefault="00432A9C">
      <w:pPr>
        <w:ind w:left="372"/>
      </w:pPr>
      <w:r>
        <w:t>The applicant also indicated the other cause for the delay was that it was looking for documents that would enable it to formulate grounds of appeal. These documents were not mentioned. One also wonders which other documents were required because they had gone through the arbitration process and tendered documents. If anything, these documents were readily available from the arbitrator if it had changed lawyers. There has not been a valid explanation proffered for lengthy delay.</w:t>
      </w:r>
      <w:r>
        <w:rPr>
          <w:rFonts w:cs="Tahoma"/>
        </w:rPr>
        <w:t xml:space="preserve"> </w:t>
      </w:r>
    </w:p>
    <w:p w14:paraId="01C65D8B" w14:textId="77777777" w:rsidR="003956D8" w:rsidRDefault="00432A9C">
      <w:pPr>
        <w:spacing w:after="0" w:line="259" w:lineRule="auto"/>
        <w:ind w:left="377" w:firstLine="0"/>
      </w:pPr>
      <w:r>
        <w:rPr>
          <w:rFonts w:cs="Tahoma"/>
        </w:rPr>
        <w:t xml:space="preserve"> </w:t>
      </w:r>
    </w:p>
    <w:p w14:paraId="31FF4595" w14:textId="77777777" w:rsidR="003956D8" w:rsidRDefault="00432A9C">
      <w:pPr>
        <w:pStyle w:val="Heading1"/>
        <w:ind w:left="387"/>
      </w:pPr>
      <w:r>
        <w:t xml:space="preserve">Prospects of success on appeal </w:t>
      </w:r>
    </w:p>
    <w:p w14:paraId="291D45CA" w14:textId="77777777" w:rsidR="003956D8" w:rsidRDefault="00432A9C">
      <w:pPr>
        <w:spacing w:after="0" w:line="259" w:lineRule="auto"/>
        <w:ind w:left="377" w:firstLine="0"/>
      </w:pPr>
      <w:r>
        <w:rPr>
          <w:rFonts w:cs="Tahoma"/>
        </w:rPr>
        <w:t xml:space="preserve"> </w:t>
      </w:r>
    </w:p>
    <w:p w14:paraId="630B2D00" w14:textId="77777777" w:rsidR="003956D8" w:rsidRDefault="00432A9C">
      <w:pPr>
        <w:ind w:left="372"/>
      </w:pPr>
      <w:r>
        <w:t xml:space="preserve">It was submitted by applicant’s counsel that there </w:t>
      </w:r>
      <w:proofErr w:type="gramStart"/>
      <w:r>
        <w:t>are  prospects</w:t>
      </w:r>
      <w:proofErr w:type="gramEnd"/>
      <w:r>
        <w:t xml:space="preserve"> of success on appeal because the arbitral award is vitiated by material errors of law and fact which renders it susceptible to being set aside on appeal. It was submitted that the first error was classifying the respondents as grade 4 </w:t>
      </w:r>
      <w:proofErr w:type="spellStart"/>
      <w:r>
        <w:t>employes</w:t>
      </w:r>
      <w:proofErr w:type="spellEnd"/>
      <w:r>
        <w:t xml:space="preserve"> in terms of CBA for Pulp and Paper Manufacturing Industry, SI 28 of 2017 which does not make provision of grading of security guards. This wrong classification is said to have resulted in wrong computations of salary arrears. </w:t>
      </w:r>
      <w:r>
        <w:rPr>
          <w:rFonts w:cs="Tahoma"/>
        </w:rPr>
        <w:t xml:space="preserve"> </w:t>
      </w:r>
    </w:p>
    <w:p w14:paraId="3ECA31F1" w14:textId="77777777" w:rsidR="003956D8" w:rsidRDefault="00432A9C">
      <w:pPr>
        <w:ind w:left="372"/>
      </w:pPr>
      <w:r>
        <w:t xml:space="preserve">The arbitrator was also accused of wrongly considering that there was an employment relationship between applicant and respondents. The applicant argued that the respondents were employees of Togetherness </w:t>
      </w:r>
      <w:proofErr w:type="spellStart"/>
      <w:r>
        <w:t>Mukutse</w:t>
      </w:r>
      <w:proofErr w:type="spellEnd"/>
      <w:r>
        <w:t xml:space="preserve"> (Pvt) Ltd   who was contracted to provide security services at its premises and deployed the respondents. It was submitted further that applicant terminated the security services with the respondents’ employers after theft incident which was reported to the police. </w:t>
      </w:r>
      <w:r>
        <w:rPr>
          <w:rFonts w:cs="Tahoma"/>
        </w:rPr>
        <w:t xml:space="preserve"> </w:t>
      </w:r>
    </w:p>
    <w:p w14:paraId="6DEAB554" w14:textId="77777777" w:rsidR="003956D8" w:rsidRDefault="00432A9C">
      <w:pPr>
        <w:spacing w:after="1" w:line="246" w:lineRule="auto"/>
        <w:ind w:left="345" w:right="-72" w:firstLine="7"/>
        <w:jc w:val="both"/>
      </w:pPr>
      <w:r>
        <w:t>Counsel made a submission that even if the court were to find the explanation less satisfactory, the strength of the prospects of success on appeal is such as to justify the granting of condonation. Reference was made to the case of</w:t>
      </w:r>
      <w:r>
        <w:rPr>
          <w:rFonts w:cs="Tahoma"/>
          <w:b/>
        </w:rPr>
        <w:t xml:space="preserve"> Jongwe v National Foods Limited and Anor HB 147/ 18 </w:t>
      </w:r>
      <w:r>
        <w:t>where it was held that “</w:t>
      </w:r>
      <w:r>
        <w:rPr>
          <w:sz w:val="25"/>
        </w:rPr>
        <w:t xml:space="preserve">if that finding appears harsh to the applicant, then l </w:t>
      </w:r>
      <w:proofErr w:type="gramStart"/>
      <w:r>
        <w:rPr>
          <w:sz w:val="25"/>
        </w:rPr>
        <w:t>have</w:t>
      </w:r>
      <w:proofErr w:type="gramEnd"/>
      <w:r>
        <w:rPr>
          <w:sz w:val="25"/>
        </w:rPr>
        <w:t xml:space="preserve"> to consider whether there is any merit in the proposed application itself. This is because it is settled in our jurisdiction that where the explanation for the delay is unsatisfactory, then the prospects of success of the</w:t>
      </w:r>
      <w:r>
        <w:rPr>
          <w:rFonts w:cs="Tahoma"/>
          <w:b/>
        </w:rPr>
        <w:t xml:space="preserve"> </w:t>
      </w:r>
      <w:r>
        <w:rPr>
          <w:sz w:val="25"/>
        </w:rPr>
        <w:t>application have to be very high before the court can exercise its discretion to condone non-compliance</w:t>
      </w:r>
      <w:proofErr w:type="gramStart"/>
      <w:r>
        <w:rPr>
          <w:sz w:val="25"/>
        </w:rPr>
        <w:t>. ”</w:t>
      </w:r>
      <w:proofErr w:type="gramEnd"/>
      <w:r>
        <w:rPr>
          <w:rFonts w:cs="Tahoma"/>
          <w:sz w:val="25"/>
        </w:rPr>
        <w:t xml:space="preserve"> </w:t>
      </w:r>
    </w:p>
    <w:p w14:paraId="603B3BFE" w14:textId="77777777" w:rsidR="003956D8" w:rsidRDefault="00432A9C">
      <w:pPr>
        <w:spacing w:after="1" w:line="246" w:lineRule="auto"/>
        <w:ind w:left="345" w:right="-72" w:firstLine="7"/>
        <w:jc w:val="both"/>
      </w:pPr>
      <w:r>
        <w:rPr>
          <w:sz w:val="25"/>
        </w:rPr>
        <w:t xml:space="preserve"> </w:t>
      </w:r>
      <w:r>
        <w:t>It was submitted that the judge in the above case also cited the case</w:t>
      </w:r>
      <w:r>
        <w:rPr>
          <w:sz w:val="25"/>
        </w:rPr>
        <w:t xml:space="preserve"> </w:t>
      </w:r>
      <w:r>
        <w:t>of</w:t>
      </w:r>
      <w:r>
        <w:rPr>
          <w:sz w:val="25"/>
        </w:rPr>
        <w:t xml:space="preserve"> </w:t>
      </w:r>
      <w:r>
        <w:rPr>
          <w:rFonts w:cs="Tahoma"/>
          <w:b/>
          <w:sz w:val="25"/>
        </w:rPr>
        <w:t>Kaszuba Dabrowski et uxor N.O 1966 RLR 60 AD @ 64</w:t>
      </w:r>
      <w:r>
        <w:rPr>
          <w:sz w:val="25"/>
        </w:rPr>
        <w:t xml:space="preserve"> if the move unsatisfactory the explanation for the delay , so much greater must be the prospects of success of the appeal be before the delay will be condoned and the converse must of  course be equally true , the more satisfactory are the explanations for the delay , the more easily will the court be inclined to condone the delay provided  it thinks there is prospects of appeal succeeding</w:t>
      </w:r>
      <w:r>
        <w:t xml:space="preserve"> .” </w:t>
      </w:r>
      <w:r>
        <w:rPr>
          <w:rFonts w:cs="Tahoma"/>
        </w:rPr>
        <w:t xml:space="preserve"> </w:t>
      </w:r>
    </w:p>
    <w:p w14:paraId="5B796F71" w14:textId="77777777" w:rsidR="003956D8" w:rsidRDefault="00432A9C">
      <w:pPr>
        <w:ind w:left="372" w:right="81"/>
      </w:pPr>
      <w:r>
        <w:t xml:space="preserve"> It was thus submitted that the cumulative effect of arbitrator’ s misdirection of falling to properly classify the respondents, finding that there was an employment relationship and the incorrect treatment of fixed term contracts renders the appeal not only arguable but compelling.</w:t>
      </w:r>
      <w:r>
        <w:rPr>
          <w:rFonts w:cs="Tahoma"/>
        </w:rPr>
        <w:t xml:space="preserve"> </w:t>
      </w:r>
      <w:r>
        <w:t xml:space="preserve">The </w:t>
      </w:r>
      <w:r>
        <w:lastRenderedPageBreak/>
        <w:t xml:space="preserve">respondent’s counsel on the other hand argued that there are no prospects of success on appeal because the draft notice of appeal is defective because it lacks clarity on should happen to arbitration proceedings should the appeal be allowed. Reference was made to the case of </w:t>
      </w:r>
      <w:r>
        <w:rPr>
          <w:rFonts w:cs="Tahoma"/>
          <w:b/>
        </w:rPr>
        <w:t>ZACC v Mangwiro and Anor SC11/12</w:t>
      </w:r>
      <w:r>
        <w:t xml:space="preserve"> where it was stated as follows:</w:t>
      </w:r>
      <w:r>
        <w:rPr>
          <w:rFonts w:cs="Tahoma"/>
        </w:rPr>
        <w:t xml:space="preserve"> </w:t>
      </w:r>
    </w:p>
    <w:p w14:paraId="5CB518AB" w14:textId="77777777" w:rsidR="003956D8" w:rsidRDefault="00432A9C">
      <w:pPr>
        <w:spacing w:after="4" w:line="251" w:lineRule="auto"/>
        <w:ind w:left="345" w:right="-50" w:firstLine="7"/>
      </w:pPr>
      <w:r>
        <w:t>“</w:t>
      </w:r>
      <w:r>
        <w:rPr>
          <w:sz w:val="25"/>
        </w:rPr>
        <w:t>The defective ground of appeal renders the application before me a nullity. It is trite that a nullity cannot be condoned or amended-------The composite application that seeks condonation and leave to appeal would have been properly before me but for the defective and irredeemable ground of appeal embodied in the draft notice of appeal renders the application a nullity. In the circumstances I cannot delve into the merits of the composite application. The application therefore ought to be struck off the roll.</w:t>
      </w:r>
      <w:r>
        <w:t>”</w:t>
      </w:r>
      <w:r>
        <w:rPr>
          <w:rFonts w:cs="Tahoma"/>
        </w:rPr>
        <w:t xml:space="preserve"> </w:t>
      </w:r>
    </w:p>
    <w:p w14:paraId="2A803110" w14:textId="77777777" w:rsidR="003956D8" w:rsidRDefault="00432A9C">
      <w:pPr>
        <w:ind w:left="372"/>
      </w:pPr>
      <w:r>
        <w:t>The respondents submitted that this application must fail because contrary to submissions by applicant before arbitrator evidence of the contracts of employment was tendered and these contracts show that the applicant was the respondents’ employer. It is again the respondents’ submission that they were employed as security guards and rendering services equivalent to those watchmen who were in grade B4 of the CBA for the Pulp and Paper Manufacturing Industry.</w:t>
      </w:r>
    </w:p>
    <w:p w14:paraId="12E6FD98" w14:textId="77777777" w:rsidR="003956D8" w:rsidRDefault="00432A9C">
      <w:pPr>
        <w:spacing w:after="0" w:line="259" w:lineRule="auto"/>
        <w:ind w:left="377" w:firstLine="0"/>
      </w:pPr>
      <w:r>
        <w:rPr>
          <w:rFonts w:cs="Tahoma"/>
        </w:rPr>
        <w:t xml:space="preserve"> </w:t>
      </w:r>
    </w:p>
    <w:p w14:paraId="429B6E56" w14:textId="77777777" w:rsidR="003956D8" w:rsidRDefault="00432A9C">
      <w:pPr>
        <w:pStyle w:val="Heading1"/>
        <w:ind w:left="387"/>
      </w:pPr>
      <w:r>
        <w:t xml:space="preserve">ANALYSIS </w:t>
      </w:r>
    </w:p>
    <w:p w14:paraId="5FE4A2F8" w14:textId="77777777" w:rsidR="003956D8" w:rsidRDefault="00432A9C">
      <w:pPr>
        <w:ind w:left="372"/>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1ED2B27C" wp14:editId="1416100C">
                <wp:simplePos x="0" y="0"/>
                <wp:positionH relativeFrom="page">
                  <wp:posOffset>7755636</wp:posOffset>
                </wp:positionH>
                <wp:positionV relativeFrom="page">
                  <wp:posOffset>986844</wp:posOffset>
                </wp:positionV>
                <wp:extent cx="47701" cy="148010"/>
                <wp:effectExtent l="0" t="0" r="0" b="0"/>
                <wp:wrapSquare wrapText="bothSides"/>
                <wp:docPr id="8151" name="Group 8151"/>
                <wp:cNvGraphicFramePr/>
                <a:graphic xmlns:a="http://schemas.openxmlformats.org/drawingml/2006/main">
                  <a:graphicData uri="http://schemas.microsoft.com/office/word/2010/wordprocessingGroup">
                    <wpg:wgp>
                      <wpg:cNvGrpSpPr/>
                      <wpg:grpSpPr>
                        <a:xfrm>
                          <a:off x="0" y="0"/>
                          <a:ext cx="47701" cy="148010"/>
                          <a:chOff x="0" y="0"/>
                          <a:chExt cx="47701" cy="148010"/>
                        </a:xfrm>
                      </wpg:grpSpPr>
                      <wps:wsp>
                        <wps:cNvPr id="1105" name="Rectangle 1105"/>
                        <wps:cNvSpPr/>
                        <wps:spPr>
                          <a:xfrm>
                            <a:off x="0" y="0"/>
                            <a:ext cx="63442" cy="196853"/>
                          </a:xfrm>
                          <a:prstGeom prst="rect">
                            <a:avLst/>
                          </a:prstGeom>
                          <a:ln>
                            <a:noFill/>
                          </a:ln>
                        </wps:spPr>
                        <wps:txbx>
                          <w:txbxContent>
                            <w:p w14:paraId="762BD503" w14:textId="77777777" w:rsidR="003956D8" w:rsidRDefault="00432A9C">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8151" style="width:3.75598pt;height:11.6543pt;position:absolute;mso-position-horizontal-relative:page;mso-position-horizontal:absolute;margin-left:610.68pt;mso-position-vertical-relative:page;margin-top:77.7042pt;" coordsize="477,1480">
                <v:rect id="Rectangle 1105" style="position:absolute;width:634;height:1968;left:0;top:0;" filled="f" stroked="f">
                  <v:textbox inset="0,0,0,0">
                    <w:txbxContent>
                      <w:p>
                        <w:pPr>
                          <w:spacing w:before="0" w:after="160" w:line="259" w:lineRule="auto"/>
                          <w:ind w:left="0" w:firstLine="0"/>
                        </w:pPr>
                        <w:r>
                          <w:rPr/>
                          <w:t xml:space="preserve"> </w:t>
                        </w:r>
                      </w:p>
                    </w:txbxContent>
                  </v:textbox>
                </v:rect>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2D725D66" wp14:editId="1775DF02">
                <wp:simplePos x="0" y="0"/>
                <wp:positionH relativeFrom="page">
                  <wp:posOffset>7762494</wp:posOffset>
                </wp:positionH>
                <wp:positionV relativeFrom="page">
                  <wp:posOffset>3369110</wp:posOffset>
                </wp:positionV>
                <wp:extent cx="47701" cy="148010"/>
                <wp:effectExtent l="0" t="0" r="0" b="0"/>
                <wp:wrapSquare wrapText="bothSides"/>
                <wp:docPr id="8152" name="Group 8152"/>
                <wp:cNvGraphicFramePr/>
                <a:graphic xmlns:a="http://schemas.openxmlformats.org/drawingml/2006/main">
                  <a:graphicData uri="http://schemas.microsoft.com/office/word/2010/wordprocessingGroup">
                    <wpg:wgp>
                      <wpg:cNvGrpSpPr/>
                      <wpg:grpSpPr>
                        <a:xfrm>
                          <a:off x="0" y="0"/>
                          <a:ext cx="47701" cy="148010"/>
                          <a:chOff x="0" y="0"/>
                          <a:chExt cx="47701" cy="148010"/>
                        </a:xfrm>
                      </wpg:grpSpPr>
                      <wps:wsp>
                        <wps:cNvPr id="1132" name="Rectangle 1132"/>
                        <wps:cNvSpPr/>
                        <wps:spPr>
                          <a:xfrm>
                            <a:off x="0" y="0"/>
                            <a:ext cx="63442" cy="196853"/>
                          </a:xfrm>
                          <a:prstGeom prst="rect">
                            <a:avLst/>
                          </a:prstGeom>
                          <a:ln>
                            <a:noFill/>
                          </a:ln>
                        </wps:spPr>
                        <wps:txbx>
                          <w:txbxContent>
                            <w:p w14:paraId="7C48238B" w14:textId="77777777" w:rsidR="003956D8" w:rsidRDefault="00432A9C">
                              <w:pPr>
                                <w:spacing w:after="160" w:line="259" w:lineRule="auto"/>
                                <w:ind w:left="0" w:firstLine="0"/>
                              </w:pPr>
                              <w:r>
                                <w:rPr>
                                  <w:rFonts w:cs="Tahoma"/>
                                </w:rPr>
                                <w:t xml:space="preserve"> </w:t>
                              </w:r>
                            </w:p>
                          </w:txbxContent>
                        </wps:txbx>
                        <wps:bodyPr horzOverflow="overflow" vert="horz" lIns="0" tIns="0" rIns="0" bIns="0" rtlCol="0">
                          <a:noAutofit/>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8152" style="width:3.75598pt;height:11.6543pt;position:absolute;mso-position-horizontal-relative:page;mso-position-horizontal:absolute;margin-left:611.22pt;mso-position-vertical-relative:page;margin-top:265.284pt;" coordsize="477,1480">
                <v:rect id="Rectangle 1132" style="position:absolute;width:634;height:1968;left:0;top:0;" filled="f" stroked="f">
                  <v:textbox inset="0,0,0,0">
                    <w:txbxContent>
                      <w:p>
                        <w:pPr>
                          <w:spacing w:before="0" w:after="160" w:line="259" w:lineRule="auto"/>
                          <w:ind w:left="0" w:firstLine="0"/>
                        </w:pPr>
                        <w:r>
                          <w:rPr>
                            <w:rFonts w:cs="Tahoma" w:hAnsi="Tahoma" w:eastAsia="Tahoma" w:ascii="Tahoma"/>
                          </w:rPr>
                          <w:t xml:space="preserve"> </w:t>
                        </w:r>
                      </w:p>
                    </w:txbxContent>
                  </v:textbox>
                </v:rect>
                <w10:wrap type="square"/>
              </v:group>
            </w:pict>
          </mc:Fallback>
        </mc:AlternateContent>
      </w:r>
      <w:r>
        <w:t xml:space="preserve">Despite a bare denial by the applicant that the respondents were not its employees, contracts of employment tendered before the arbitrator prove otherwise. These contracts though expired show that there was an employer/employee relationship between the two parties. Even after their expiry the respondents continued to render services to the applicant. It therefore follows that it is a misrepresentation of facts to submit that they were employed by the Togetherness </w:t>
      </w:r>
      <w:proofErr w:type="spellStart"/>
      <w:r>
        <w:t>Mukute</w:t>
      </w:r>
      <w:proofErr w:type="spellEnd"/>
      <w:r>
        <w:t xml:space="preserve"> (Pvt)Ltd. They may have been employed by that company but applicant subsequently took over giving rise to the contracts of employment tendered as exhibits. It is not enough for the applicant say the arbitrator mischaracterized the fixed term contracts without explaining how they came to be and why it can </w:t>
      </w:r>
      <w:proofErr w:type="gramStart"/>
      <w:r>
        <w:t>said</w:t>
      </w:r>
      <w:proofErr w:type="gramEnd"/>
      <w:r>
        <w:t xml:space="preserve"> the respondents were not applicant’s employees. One of the signatures on the contracts is being attributed to applicant’s Human Resources Manager, Nancy </w:t>
      </w:r>
      <w:proofErr w:type="spellStart"/>
      <w:r>
        <w:t>Gwenhamo</w:t>
      </w:r>
      <w:proofErr w:type="spellEnd"/>
      <w:r>
        <w:t xml:space="preserve"> and this has not been disputed. Since the arbitrator made a finding that the respondents were employed by applicant it follows therefore the CBA for the Pulp and Paper Manufacturing Industry was applicable and such computation of the salary arrears cannot be faulted. This is a factual finding which cannot be said is tainted with gross misdirection.</w:t>
      </w:r>
      <w:r>
        <w:rPr>
          <w:rFonts w:cs="Tahoma"/>
        </w:rPr>
        <w:t xml:space="preserve"> </w:t>
      </w:r>
    </w:p>
    <w:p w14:paraId="614CFA1B" w14:textId="77777777" w:rsidR="003956D8" w:rsidRDefault="00432A9C">
      <w:pPr>
        <w:ind w:left="372"/>
      </w:pPr>
      <w:r>
        <w:t xml:space="preserve">The applicant on this issue blows hot and cold. In one breath he seems to admit that there was employment contract though not permanent employment. This is confirmed in the applicant’s heads of argument at page 78 paragraph 19. In this paragraph the applicant stated that the arbitrator erred by considering the continued rendering of services by the respondents after expiration of the fixed term contracts to have automatically converted them into permanent employees. This is an acknowledgement of the fact that there was a contract of employment between the two parties contrary to the earlier submission that the respondents were employed by a third party. In the same heads the applicant submitted that the mere continuation with services without more does not create a permanent employment status. This argument is </w:t>
      </w:r>
      <w:r>
        <w:lastRenderedPageBreak/>
        <w:t xml:space="preserve">different from the one presented before the arbitrator that there was no contract of employment at between the parties. The argument was that the respondents were employed by Togetherness </w:t>
      </w:r>
      <w:proofErr w:type="spellStart"/>
      <w:proofErr w:type="gramStart"/>
      <w:r>
        <w:t>Mukutse</w:t>
      </w:r>
      <w:proofErr w:type="spellEnd"/>
      <w:r>
        <w:t xml:space="preserve">  (</w:t>
      </w:r>
      <w:proofErr w:type="gramEnd"/>
      <w:r>
        <w:t>Pvt) Ltd. This shows a high degree of dishonesty by the applicant. There is no way it can be said the arbitrator grossly misdirected himself in making a finding that the respondents were applicant’s employees. Facts support such a finding.</w:t>
      </w:r>
      <w:r>
        <w:rPr>
          <w:rFonts w:cs="Tahoma"/>
        </w:rPr>
        <w:t xml:space="preserve"> </w:t>
      </w:r>
    </w:p>
    <w:p w14:paraId="6123BADE" w14:textId="77777777" w:rsidR="003956D8" w:rsidRDefault="00432A9C">
      <w:pPr>
        <w:ind w:left="372"/>
      </w:pPr>
      <w:r>
        <w:t>The issue of the police report made by applicant on 20 June 2024 has got no relevance to this case because by then respondents had been dismissed from employment. According to the statement of claim before the arbitrator the claim was for the period 1 June 2023 to 27 May 2024.There is no link between the two. A police report was made after termination of respondents’ employment.</w:t>
      </w:r>
      <w:r>
        <w:rPr>
          <w:rFonts w:cs="Tahoma"/>
        </w:rPr>
        <w:t xml:space="preserve"> </w:t>
      </w:r>
    </w:p>
    <w:p w14:paraId="32C4C76B" w14:textId="77777777" w:rsidR="003956D8" w:rsidRDefault="00432A9C">
      <w:pPr>
        <w:ind w:left="372"/>
      </w:pPr>
      <w:r>
        <w:t>From the above it is apparent that there are no prospects of success on appeal.</w:t>
      </w:r>
      <w:r>
        <w:rPr>
          <w:rFonts w:cs="Tahoma"/>
        </w:rPr>
        <w:t xml:space="preserve"> </w:t>
      </w:r>
    </w:p>
    <w:p w14:paraId="42231582" w14:textId="77777777" w:rsidR="003956D8" w:rsidRDefault="00432A9C">
      <w:pPr>
        <w:spacing w:after="4" w:line="251" w:lineRule="auto"/>
        <w:ind w:left="345" w:right="197" w:firstLine="7"/>
      </w:pPr>
      <w:r>
        <w:t xml:space="preserve">In the case of </w:t>
      </w:r>
      <w:r>
        <w:rPr>
          <w:rFonts w:cs="Tahoma"/>
          <w:b/>
        </w:rPr>
        <w:t>Kombayi v Berkhout 1988 (1) ZLR 53 (SC</w:t>
      </w:r>
      <w:r>
        <w:t>) it was stated as follows:</w:t>
      </w:r>
      <w:r>
        <w:rPr>
          <w:rFonts w:cs="Tahoma"/>
        </w:rPr>
        <w:t xml:space="preserve"> </w:t>
      </w:r>
      <w:r>
        <w:t>“</w:t>
      </w:r>
      <w:r>
        <w:rPr>
          <w:sz w:val="25"/>
        </w:rPr>
        <w:t>All rules prescribing the time within which a procedural step is to be done are made for the purposes of the expeditious dispatch of cases. If the tardiness of a party in complying with such rules is extreme, his application for condonation will be granted only upon showing grounds of success of his appeal.”</w:t>
      </w:r>
      <w:r>
        <w:rPr>
          <w:rFonts w:cs="Tahoma"/>
        </w:rPr>
        <w:t xml:space="preserve"> </w:t>
      </w:r>
    </w:p>
    <w:p w14:paraId="56FCFA8F" w14:textId="77777777" w:rsidR="003956D8" w:rsidRDefault="00432A9C">
      <w:pPr>
        <w:ind w:left="372"/>
      </w:pPr>
      <w:r>
        <w:t xml:space="preserve">The applicant was found wanting on this aspect. The applicant’s tardiness in complying with the rules coupled with lack of prospects of success means the application is bound to fail. In the case of </w:t>
      </w:r>
      <w:r>
        <w:rPr>
          <w:rFonts w:cs="Tahoma"/>
          <w:b/>
        </w:rPr>
        <w:t>Ndebele v Ncube 1992 (1) ZLR 288 (S</w:t>
      </w:r>
      <w:r>
        <w:t>) the Supreme Court expressed displeasure over litigants who do not take rules of court serious and instead take a lackadaisical approach and expect condonation to be granted. It commented as follows:</w:t>
      </w:r>
      <w:r>
        <w:rPr>
          <w:rFonts w:cs="Tahoma"/>
        </w:rPr>
        <w:t xml:space="preserve"> </w:t>
      </w:r>
    </w:p>
    <w:p w14:paraId="42253417" w14:textId="77777777" w:rsidR="003956D8" w:rsidRDefault="00432A9C">
      <w:pPr>
        <w:spacing w:after="4" w:line="251" w:lineRule="auto"/>
        <w:ind w:left="345" w:right="-28" w:firstLine="7"/>
      </w:pPr>
      <w:r>
        <w:rPr>
          <w:sz w:val="25"/>
        </w:rPr>
        <w:t>“It is a policy of the law that there should be finality to litigation. On the other hand, one does not want to do injustice to litigants. But it must be observed that in recent years, applications for rescission, for condonation for leave to apply or appeal out of time and for relief arising out of delays either by the individual or his lawyer have rocketed in numbers. We are bombarded with excuses for failure act. We are beginning to hear more appeals for charity than justice------”</w:t>
      </w:r>
      <w:r>
        <w:rPr>
          <w:rFonts w:cs="Tahoma"/>
          <w:sz w:val="25"/>
        </w:rPr>
        <w:t xml:space="preserve"> </w:t>
      </w:r>
      <w:r>
        <w:t>The above quotation represents the scenario in this case and same cannot be condoned.</w:t>
      </w:r>
      <w:r>
        <w:rPr>
          <w:rFonts w:cs="Tahoma"/>
        </w:rPr>
        <w:t xml:space="preserve"> </w:t>
      </w:r>
    </w:p>
    <w:p w14:paraId="284C1EAA" w14:textId="77777777" w:rsidR="003956D8" w:rsidRDefault="00432A9C">
      <w:pPr>
        <w:spacing w:after="0" w:line="259" w:lineRule="auto"/>
        <w:ind w:left="377" w:firstLine="0"/>
      </w:pPr>
      <w:r>
        <w:rPr>
          <w:rFonts w:cs="Tahoma"/>
        </w:rPr>
        <w:t xml:space="preserve"> </w:t>
      </w:r>
    </w:p>
    <w:p w14:paraId="0B411E1A" w14:textId="77777777" w:rsidR="003956D8" w:rsidRDefault="00432A9C">
      <w:pPr>
        <w:pStyle w:val="Heading1"/>
        <w:ind w:left="387"/>
      </w:pPr>
      <w:r>
        <w:t xml:space="preserve">DISPOSITION </w:t>
      </w:r>
    </w:p>
    <w:p w14:paraId="5C2C83B7" w14:textId="77777777" w:rsidR="003956D8" w:rsidRDefault="00432A9C">
      <w:pPr>
        <w:ind w:left="372"/>
      </w:pPr>
      <w:r>
        <w:t>The application for condonation for condonation for late noting of appeal and extension of time within which to note an appeal having proved to be meritless, the court grants the following order.</w:t>
      </w:r>
      <w:r>
        <w:rPr>
          <w:rFonts w:cs="Tahoma"/>
        </w:rPr>
        <w:t xml:space="preserve"> </w:t>
      </w:r>
    </w:p>
    <w:p w14:paraId="32C5ED21" w14:textId="77777777" w:rsidR="003956D8" w:rsidRDefault="00432A9C">
      <w:pPr>
        <w:ind w:left="372"/>
      </w:pPr>
      <w:r>
        <w:rPr>
          <w:rFonts w:cs="Tahoma"/>
          <w:b/>
        </w:rPr>
        <w:t>WHEREFORE</w:t>
      </w:r>
      <w:r>
        <w:t>, it is ordered as follows:</w:t>
      </w:r>
      <w:r>
        <w:rPr>
          <w:rFonts w:cs="Tahoma"/>
        </w:rPr>
        <w:t xml:space="preserve"> </w:t>
      </w:r>
    </w:p>
    <w:p w14:paraId="6E26E92C" w14:textId="77777777" w:rsidR="003956D8" w:rsidRDefault="00432A9C">
      <w:pPr>
        <w:spacing w:after="0" w:line="259" w:lineRule="auto"/>
        <w:ind w:left="737" w:firstLine="0"/>
      </w:pPr>
      <w:r>
        <w:rPr>
          <w:rFonts w:cs="Tahoma"/>
        </w:rPr>
        <w:t xml:space="preserve"> </w:t>
      </w:r>
    </w:p>
    <w:p w14:paraId="65CC232F" w14:textId="77777777" w:rsidR="003956D8" w:rsidRDefault="00432A9C">
      <w:pPr>
        <w:ind w:left="372"/>
      </w:pPr>
      <w:r>
        <w:t>The application be and is hereby dismissed with costs.</w:t>
      </w:r>
      <w:r>
        <w:rPr>
          <w:rFonts w:cs="Tahoma"/>
        </w:rPr>
        <w:t xml:space="preserve"> </w:t>
      </w:r>
    </w:p>
    <w:p w14:paraId="636EB8FC" w14:textId="77777777" w:rsidR="003956D8" w:rsidRDefault="00432A9C">
      <w:pPr>
        <w:spacing w:after="0" w:line="259" w:lineRule="auto"/>
        <w:ind w:left="377" w:firstLine="0"/>
      </w:pPr>
      <w:r>
        <w:rPr>
          <w:rFonts w:cs="Tahoma"/>
        </w:rPr>
        <w:t xml:space="preserve"> </w:t>
      </w:r>
    </w:p>
    <w:p w14:paraId="29BB7F81" w14:textId="77777777" w:rsidR="003956D8" w:rsidRDefault="00432A9C">
      <w:pPr>
        <w:spacing w:after="0" w:line="259" w:lineRule="auto"/>
        <w:ind w:left="377" w:firstLine="0"/>
      </w:pPr>
      <w:r>
        <w:rPr>
          <w:rFonts w:cs="Tahoma"/>
        </w:rPr>
        <w:t xml:space="preserve"> </w:t>
      </w:r>
    </w:p>
    <w:p w14:paraId="1917372E" w14:textId="77777777" w:rsidR="003956D8" w:rsidRDefault="00432A9C">
      <w:pPr>
        <w:spacing w:after="0" w:line="259" w:lineRule="auto"/>
        <w:ind w:left="377" w:firstLine="0"/>
      </w:pPr>
      <w:r>
        <w:rPr>
          <w:rFonts w:cs="Tahoma"/>
        </w:rPr>
        <w:t xml:space="preserve"> </w:t>
      </w:r>
    </w:p>
    <w:p w14:paraId="2AACA5D8" w14:textId="77777777" w:rsidR="003956D8" w:rsidRDefault="00432A9C">
      <w:pPr>
        <w:ind w:left="372"/>
      </w:pPr>
      <w:r>
        <w:t>Philips Law, Applicant’s Legal Practitioners</w:t>
      </w:r>
      <w:r>
        <w:rPr>
          <w:rFonts w:cs="Tahoma"/>
        </w:rPr>
        <w:t xml:space="preserve"> </w:t>
      </w:r>
    </w:p>
    <w:p w14:paraId="3C6329E8" w14:textId="77777777" w:rsidR="003956D8" w:rsidRDefault="00432A9C">
      <w:pPr>
        <w:ind w:left="372"/>
      </w:pPr>
      <w:proofErr w:type="spellStart"/>
      <w:r>
        <w:t>Thondhlanga</w:t>
      </w:r>
      <w:proofErr w:type="spellEnd"/>
      <w:r>
        <w:t xml:space="preserve"> and Associates, Respondents’ Legal Practitioners</w:t>
      </w:r>
      <w:r>
        <w:rPr>
          <w:rFonts w:cs="Tahoma"/>
        </w:rPr>
        <w:t xml:space="preserve"> </w:t>
      </w:r>
    </w:p>
    <w:p w14:paraId="434B8C56" w14:textId="77777777" w:rsidR="003956D8" w:rsidRDefault="00432A9C">
      <w:pPr>
        <w:spacing w:after="0" w:line="259" w:lineRule="auto"/>
        <w:ind w:left="377" w:firstLine="0"/>
      </w:pPr>
      <w:r>
        <w:rPr>
          <w:rFonts w:cs="Tahoma"/>
        </w:rPr>
        <w:lastRenderedPageBreak/>
        <w:t xml:space="preserve"> </w:t>
      </w:r>
    </w:p>
    <w:p w14:paraId="44539E07" w14:textId="77777777" w:rsidR="003956D8" w:rsidRDefault="00432A9C">
      <w:pPr>
        <w:spacing w:after="0" w:line="259" w:lineRule="auto"/>
        <w:ind w:left="377" w:firstLine="0"/>
      </w:pPr>
      <w:r>
        <w:rPr>
          <w:rFonts w:cs="Tahoma"/>
        </w:rPr>
        <w:t xml:space="preserve"> </w:t>
      </w:r>
    </w:p>
    <w:p w14:paraId="56E243C4" w14:textId="77777777" w:rsidR="003956D8" w:rsidRDefault="00432A9C">
      <w:pPr>
        <w:spacing w:after="0" w:line="259" w:lineRule="auto"/>
        <w:ind w:left="377" w:firstLine="0"/>
      </w:pPr>
      <w:r>
        <w:rPr>
          <w:rFonts w:cs="Tahoma"/>
        </w:rPr>
        <w:t xml:space="preserve"> </w:t>
      </w:r>
    </w:p>
    <w:p w14:paraId="414E8C25" w14:textId="77777777" w:rsidR="003956D8" w:rsidRDefault="00432A9C">
      <w:pPr>
        <w:spacing w:after="0" w:line="259" w:lineRule="auto"/>
        <w:ind w:left="377" w:firstLine="0"/>
      </w:pPr>
      <w:r>
        <w:rPr>
          <w:rFonts w:cs="Tahoma"/>
        </w:rPr>
        <w:t xml:space="preserve"> </w:t>
      </w:r>
    </w:p>
    <w:p w14:paraId="7D634E64" w14:textId="77777777" w:rsidR="003956D8" w:rsidRDefault="00432A9C">
      <w:pPr>
        <w:ind w:left="372"/>
      </w:pPr>
      <w:r>
        <w:t xml:space="preserve">                                        TSIKWA J</w:t>
      </w:r>
      <w:r>
        <w:rPr>
          <w:rFonts w:cs="Tahoma"/>
        </w:rPr>
        <w:t xml:space="preserve"> </w:t>
      </w:r>
    </w:p>
    <w:p w14:paraId="65C34232" w14:textId="77777777" w:rsidR="003956D8" w:rsidRDefault="00432A9C">
      <w:pPr>
        <w:spacing w:after="0" w:line="259" w:lineRule="auto"/>
        <w:ind w:left="0" w:firstLine="0"/>
      </w:pPr>
      <w:r>
        <w:rPr>
          <w:rFonts w:cs="Tahoma"/>
        </w:rPr>
        <w:t xml:space="preserve"> </w:t>
      </w:r>
    </w:p>
    <w:p w14:paraId="0ECF5959" w14:textId="77777777" w:rsidR="003956D8" w:rsidRDefault="00432A9C">
      <w:pPr>
        <w:spacing w:after="0" w:line="259" w:lineRule="auto"/>
        <w:ind w:left="377" w:firstLine="0"/>
      </w:pPr>
      <w:r>
        <w:rPr>
          <w:rFonts w:cs="Tahoma"/>
        </w:rPr>
        <w:t xml:space="preserve"> </w:t>
      </w:r>
    </w:p>
    <w:p w14:paraId="43A3755C" w14:textId="77777777" w:rsidR="003956D8" w:rsidRDefault="00432A9C">
      <w:pPr>
        <w:spacing w:after="0" w:line="259" w:lineRule="auto"/>
        <w:ind w:left="377" w:firstLine="0"/>
      </w:pPr>
      <w:r>
        <w:rPr>
          <w:rFonts w:cs="Tahoma"/>
        </w:rPr>
        <w:t xml:space="preserve"> </w:t>
      </w:r>
    </w:p>
    <w:p w14:paraId="70DA35F1" w14:textId="77777777" w:rsidR="003956D8" w:rsidRDefault="00432A9C">
      <w:pPr>
        <w:spacing w:after="0" w:line="259" w:lineRule="auto"/>
        <w:ind w:left="377" w:firstLine="0"/>
      </w:pPr>
      <w:r>
        <w:t xml:space="preserve">      </w:t>
      </w:r>
      <w:r>
        <w:rPr>
          <w:rFonts w:cs="Tahoma"/>
        </w:rPr>
        <w:t xml:space="preserve"> </w:t>
      </w:r>
    </w:p>
    <w:p w14:paraId="7E54517D" w14:textId="77777777" w:rsidR="003956D8" w:rsidRDefault="00432A9C">
      <w:pPr>
        <w:spacing w:after="0" w:line="259" w:lineRule="auto"/>
        <w:ind w:left="377" w:firstLine="0"/>
      </w:pPr>
      <w:r>
        <w:rPr>
          <w:rFonts w:cs="Tahoma"/>
        </w:rPr>
        <w:t xml:space="preserve"> </w:t>
      </w:r>
    </w:p>
    <w:p w14:paraId="03C71AAE" w14:textId="77777777" w:rsidR="003956D8" w:rsidRDefault="00432A9C">
      <w:pPr>
        <w:spacing w:after="0" w:line="259" w:lineRule="auto"/>
        <w:ind w:left="377" w:firstLine="0"/>
      </w:pPr>
      <w:r>
        <w:rPr>
          <w:rFonts w:cs="Tahoma"/>
        </w:rPr>
        <w:t xml:space="preserve"> </w:t>
      </w:r>
    </w:p>
    <w:sectPr w:rsidR="003956D8">
      <w:footerReference w:type="even" r:id="rId7"/>
      <w:footerReference w:type="default" r:id="rId8"/>
      <w:footerReference w:type="first" r:id="rId9"/>
      <w:pgSz w:w="12240" w:h="15840"/>
      <w:pgMar w:top="1553" w:right="0" w:bottom="1548" w:left="1423" w:header="72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BF70C" w14:textId="77777777" w:rsidR="00DA5BF9" w:rsidRDefault="00DA5BF9">
      <w:pPr>
        <w:spacing w:after="0" w:line="240" w:lineRule="auto"/>
      </w:pPr>
      <w:r>
        <w:separator/>
      </w:r>
    </w:p>
  </w:endnote>
  <w:endnote w:type="continuationSeparator" w:id="0">
    <w:p w14:paraId="1E3F6561" w14:textId="77777777" w:rsidR="00DA5BF9" w:rsidRDefault="00DA5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39DB4" w14:textId="77777777" w:rsidR="003956D8" w:rsidRDefault="00432A9C">
    <w:pPr>
      <w:spacing w:after="15" w:line="259" w:lineRule="auto"/>
      <w:ind w:left="0" w:right="142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rPr>
        <w:rFonts w:cs="Tahoma"/>
      </w:rPr>
      <w:t xml:space="preserve"> </w:t>
    </w:r>
  </w:p>
  <w:p w14:paraId="23A5F7E1" w14:textId="77777777" w:rsidR="003956D8" w:rsidRDefault="00432A9C">
    <w:pPr>
      <w:spacing w:after="0" w:line="259" w:lineRule="auto"/>
      <w:ind w:left="17" w:firstLine="0"/>
    </w:pPr>
    <w:r>
      <w:rPr>
        <w:rFonts w:ascii="Calibri" w:eastAsia="Calibri" w:hAnsi="Calibri" w:cs="Calibri"/>
        <w:sz w:val="22"/>
      </w:rPr>
      <w:t xml:space="preserve"> </w:t>
    </w:r>
    <w:r>
      <w:rPr>
        <w:rFonts w:cs="Tahom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9A7DB" w14:textId="77777777" w:rsidR="003956D8" w:rsidRDefault="00432A9C">
    <w:pPr>
      <w:spacing w:after="15" w:line="259" w:lineRule="auto"/>
      <w:ind w:left="0" w:right="142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rPr>
        <w:rFonts w:cs="Tahoma"/>
      </w:rPr>
      <w:t xml:space="preserve"> </w:t>
    </w:r>
  </w:p>
  <w:p w14:paraId="26193B93" w14:textId="77777777" w:rsidR="003956D8" w:rsidRDefault="00432A9C">
    <w:pPr>
      <w:spacing w:after="0" w:line="259" w:lineRule="auto"/>
      <w:ind w:left="17" w:firstLine="0"/>
    </w:pPr>
    <w:r>
      <w:rPr>
        <w:rFonts w:ascii="Calibri" w:eastAsia="Calibri" w:hAnsi="Calibri" w:cs="Calibri"/>
        <w:sz w:val="22"/>
      </w:rPr>
      <w:t xml:space="preserve"> </w:t>
    </w:r>
    <w:r>
      <w:rPr>
        <w:rFonts w:cs="Tahom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49C1B" w14:textId="77777777" w:rsidR="003956D8" w:rsidRDefault="00432A9C">
    <w:pPr>
      <w:spacing w:after="15" w:line="259" w:lineRule="auto"/>
      <w:ind w:left="0" w:right="142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rPr>
        <w:rFonts w:cs="Tahoma"/>
      </w:rPr>
      <w:t xml:space="preserve"> </w:t>
    </w:r>
  </w:p>
  <w:p w14:paraId="41857301" w14:textId="77777777" w:rsidR="003956D8" w:rsidRDefault="00432A9C">
    <w:pPr>
      <w:spacing w:after="0" w:line="259" w:lineRule="auto"/>
      <w:ind w:left="17" w:firstLine="0"/>
    </w:pPr>
    <w:r>
      <w:rPr>
        <w:rFonts w:ascii="Calibri" w:eastAsia="Calibri" w:hAnsi="Calibri" w:cs="Calibri"/>
        <w:sz w:val="22"/>
      </w:rPr>
      <w:t xml:space="preserve"> </w:t>
    </w:r>
    <w:r>
      <w:rPr>
        <w:rFonts w:cs="Tahom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F0FAF" w14:textId="77777777" w:rsidR="00DA5BF9" w:rsidRDefault="00DA5BF9">
      <w:pPr>
        <w:spacing w:after="0" w:line="240" w:lineRule="auto"/>
      </w:pPr>
      <w:r>
        <w:separator/>
      </w:r>
    </w:p>
  </w:footnote>
  <w:footnote w:type="continuationSeparator" w:id="0">
    <w:p w14:paraId="315A70B9" w14:textId="77777777" w:rsidR="00DA5BF9" w:rsidRDefault="00DA5B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14488"/>
    <w:multiLevelType w:val="hybridMultilevel"/>
    <w:tmpl w:val="FFFFFFFF"/>
    <w:lvl w:ilvl="0" w:tplc="8E8025DC">
      <w:start w:val="1"/>
      <w:numFmt w:val="decimal"/>
      <w:lvlText w:val="%1."/>
      <w:lvlJc w:val="left"/>
      <w:pPr>
        <w:ind w:left="377"/>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1" w:tplc="F2068598">
      <w:start w:val="1"/>
      <w:numFmt w:val="lowerLetter"/>
      <w:lvlText w:val="%2"/>
      <w:lvlJc w:val="left"/>
      <w:pPr>
        <w:ind w:left="108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A68263CA">
      <w:start w:val="1"/>
      <w:numFmt w:val="lowerRoman"/>
      <w:lvlText w:val="%3"/>
      <w:lvlJc w:val="left"/>
      <w:pPr>
        <w:ind w:left="180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D7929CC6">
      <w:start w:val="1"/>
      <w:numFmt w:val="decimal"/>
      <w:lvlText w:val="%4"/>
      <w:lvlJc w:val="left"/>
      <w:pPr>
        <w:ind w:left="252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F2927D1E">
      <w:start w:val="1"/>
      <w:numFmt w:val="lowerLetter"/>
      <w:lvlText w:val="%5"/>
      <w:lvlJc w:val="left"/>
      <w:pPr>
        <w:ind w:left="324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439AF34C">
      <w:start w:val="1"/>
      <w:numFmt w:val="lowerRoman"/>
      <w:lvlText w:val="%6"/>
      <w:lvlJc w:val="left"/>
      <w:pPr>
        <w:ind w:left="396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6A92EE20">
      <w:start w:val="1"/>
      <w:numFmt w:val="decimal"/>
      <w:lvlText w:val="%7"/>
      <w:lvlJc w:val="left"/>
      <w:pPr>
        <w:ind w:left="468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00E492CE">
      <w:start w:val="1"/>
      <w:numFmt w:val="lowerLetter"/>
      <w:lvlText w:val="%8"/>
      <w:lvlJc w:val="left"/>
      <w:pPr>
        <w:ind w:left="540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83E684E8">
      <w:start w:val="1"/>
      <w:numFmt w:val="lowerRoman"/>
      <w:lvlText w:val="%9"/>
      <w:lvlJc w:val="left"/>
      <w:pPr>
        <w:ind w:left="612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44A14E8"/>
    <w:multiLevelType w:val="hybridMultilevel"/>
    <w:tmpl w:val="FFFFFFFF"/>
    <w:lvl w:ilvl="0" w:tplc="56186AB4">
      <w:start w:val="1"/>
      <w:numFmt w:val="lowerLetter"/>
      <w:lvlText w:val="(%1)"/>
      <w:lvlJc w:val="left"/>
      <w:pPr>
        <w:ind w:left="754"/>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1" w:tplc="0A7EDC64">
      <w:start w:val="1"/>
      <w:numFmt w:val="lowerLetter"/>
      <w:lvlText w:val="%2"/>
      <w:lvlJc w:val="left"/>
      <w:pPr>
        <w:ind w:left="144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9528BEB4">
      <w:start w:val="1"/>
      <w:numFmt w:val="lowerRoman"/>
      <w:lvlText w:val="%3"/>
      <w:lvlJc w:val="left"/>
      <w:pPr>
        <w:ind w:left="216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991E93B2">
      <w:start w:val="1"/>
      <w:numFmt w:val="decimal"/>
      <w:lvlText w:val="%4"/>
      <w:lvlJc w:val="left"/>
      <w:pPr>
        <w:ind w:left="288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A4E0CE80">
      <w:start w:val="1"/>
      <w:numFmt w:val="lowerLetter"/>
      <w:lvlText w:val="%5"/>
      <w:lvlJc w:val="left"/>
      <w:pPr>
        <w:ind w:left="360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A19ED0FC">
      <w:start w:val="1"/>
      <w:numFmt w:val="lowerRoman"/>
      <w:lvlText w:val="%6"/>
      <w:lvlJc w:val="left"/>
      <w:pPr>
        <w:ind w:left="432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0E9CD274">
      <w:start w:val="1"/>
      <w:numFmt w:val="decimal"/>
      <w:lvlText w:val="%7"/>
      <w:lvlJc w:val="left"/>
      <w:pPr>
        <w:ind w:left="504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4FA03D80">
      <w:start w:val="1"/>
      <w:numFmt w:val="lowerLetter"/>
      <w:lvlText w:val="%8"/>
      <w:lvlJc w:val="left"/>
      <w:pPr>
        <w:ind w:left="576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DDE40484">
      <w:start w:val="1"/>
      <w:numFmt w:val="lowerRoman"/>
      <w:lvlText w:val="%9"/>
      <w:lvlJc w:val="left"/>
      <w:pPr>
        <w:ind w:left="648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num w:numId="1" w16cid:durableId="37895658">
    <w:abstractNumId w:val="0"/>
  </w:num>
  <w:num w:numId="2" w16cid:durableId="306713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6D8"/>
    <w:rsid w:val="003956D8"/>
    <w:rsid w:val="00422B9D"/>
    <w:rsid w:val="00432A9C"/>
    <w:rsid w:val="00C866E2"/>
    <w:rsid w:val="00DA5BF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ED5BA"/>
  <w15:docId w15:val="{5E819560-8C50-C144-8C91-B2D1D3C3A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ZW"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8" w:lineRule="auto"/>
      <w:ind w:left="34" w:hanging="10"/>
    </w:pPr>
    <w:rPr>
      <w:rFonts w:ascii="Tahoma" w:eastAsia="Tahoma" w:hAnsi="Tahoma" w:cs="Times New Roman"/>
      <w:color w:val="000000"/>
      <w:lang w:val="en" w:eastAsia="en"/>
    </w:rPr>
  </w:style>
  <w:style w:type="paragraph" w:styleId="Heading1">
    <w:name w:val="heading 1"/>
    <w:next w:val="Normal"/>
    <w:link w:val="Heading1Char"/>
    <w:uiPriority w:val="9"/>
    <w:qFormat/>
    <w:pPr>
      <w:keepNext/>
      <w:keepLines/>
      <w:spacing w:after="5" w:line="264" w:lineRule="auto"/>
      <w:ind w:left="10" w:hanging="10"/>
      <w:outlineLvl w:val="0"/>
    </w:pPr>
    <w:rPr>
      <w:rFonts w:ascii="Tahoma" w:eastAsia="Tahoma" w:hAnsi="Tahoma" w:cs="Tahom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2428</Words>
  <Characters>13840</Characters>
  <Application>Microsoft Office Word</Application>
  <DocSecurity>0</DocSecurity>
  <Lines>115</Lines>
  <Paragraphs>32</Paragraphs>
  <ScaleCrop>false</ScaleCrop>
  <Company/>
  <LinksUpToDate>false</LinksUpToDate>
  <CharactersWithSpaces>16236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RESEARCHER</cp:lastModifiedBy>
  <cp:revision>2</cp:revision>
  <dcterms:created xsi:type="dcterms:W3CDTF">2026-02-06T12:37:00Z</dcterms:created>
  <dcterms:modified xsi:type="dcterms:W3CDTF">2026-02-06T12:37:00Z</dcterms:modified>
</cp:coreProperties>
</file>