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8BF" w:rsidRDefault="001D72B2">
      <w:pPr>
        <w:spacing w:after="195" w:line="240" w:lineRule="auto"/>
        <w:ind w:left="0" w:firstLine="0"/>
        <w:jc w:val="left"/>
      </w:pPr>
      <w:bookmarkStart w:id="0" w:name="_GoBack"/>
      <w:bookmarkEnd w:id="0"/>
      <w:r>
        <w:rPr>
          <w:rFonts w:ascii="Calibri" w:eastAsia="Calibri" w:hAnsi="Calibri" w:cs="Calibri"/>
        </w:rPr>
        <w:t xml:space="preserve"> </w:t>
      </w:r>
    </w:p>
    <w:p w:rsidR="00E128BF" w:rsidRDefault="001D72B2">
      <w:pPr>
        <w:spacing w:after="47" w:line="246" w:lineRule="auto"/>
        <w:ind w:left="-5" w:right="-15" w:hanging="10"/>
        <w:jc w:val="left"/>
      </w:pPr>
      <w:r>
        <w:rPr>
          <w:b/>
        </w:rPr>
        <w:t xml:space="preserve">THE STATE </w:t>
      </w:r>
    </w:p>
    <w:p w:rsidR="00E128BF" w:rsidRDefault="001D72B2">
      <w:pPr>
        <w:spacing w:after="50" w:line="240" w:lineRule="auto"/>
        <w:ind w:left="0" w:firstLine="0"/>
        <w:jc w:val="left"/>
      </w:pPr>
      <w:r>
        <w:rPr>
          <w:b/>
        </w:rPr>
        <w:t xml:space="preserve"> </w:t>
      </w:r>
      <w:r>
        <w:t xml:space="preserve"> </w:t>
      </w:r>
    </w:p>
    <w:p w:rsidR="00E128BF" w:rsidRDefault="001D72B2">
      <w:pPr>
        <w:spacing w:after="47" w:line="246" w:lineRule="auto"/>
        <w:ind w:left="-5" w:right="-15" w:hanging="10"/>
        <w:jc w:val="left"/>
      </w:pPr>
      <w:r>
        <w:rPr>
          <w:b/>
        </w:rPr>
        <w:t xml:space="preserve">Versus  </w:t>
      </w:r>
    </w:p>
    <w:p w:rsidR="00E128BF" w:rsidRDefault="001D72B2">
      <w:pPr>
        <w:spacing w:after="50" w:line="240" w:lineRule="auto"/>
        <w:ind w:left="0" w:firstLine="0"/>
        <w:jc w:val="left"/>
      </w:pPr>
      <w:r>
        <w:t xml:space="preserve"> </w:t>
      </w:r>
    </w:p>
    <w:p w:rsidR="00E128BF" w:rsidRDefault="001D72B2">
      <w:pPr>
        <w:spacing w:after="47" w:line="246" w:lineRule="auto"/>
        <w:ind w:left="-5" w:right="-15" w:hanging="10"/>
        <w:jc w:val="left"/>
      </w:pPr>
      <w:r>
        <w:rPr>
          <w:b/>
        </w:rPr>
        <w:t xml:space="preserve">BRIGHTON CHIPWAVA  </w:t>
      </w:r>
    </w:p>
    <w:p w:rsidR="00E128BF" w:rsidRDefault="001D72B2">
      <w:pPr>
        <w:spacing w:after="46" w:line="240" w:lineRule="auto"/>
        <w:ind w:left="0" w:firstLine="0"/>
        <w:jc w:val="left"/>
      </w:pPr>
      <w:r>
        <w:t xml:space="preserve"> </w:t>
      </w:r>
    </w:p>
    <w:p w:rsidR="00E128BF" w:rsidRDefault="001D72B2">
      <w:pPr>
        <w:spacing w:after="46" w:line="240" w:lineRule="auto"/>
        <w:ind w:left="-15" w:firstLine="0"/>
      </w:pPr>
      <w:r>
        <w:t xml:space="preserve">IN THE HIGH COURT OF ZIMBABWE </w:t>
      </w:r>
      <w:r>
        <w:t xml:space="preserve"> </w:t>
      </w:r>
    </w:p>
    <w:p w:rsidR="00E128BF" w:rsidRDefault="001D72B2">
      <w:pPr>
        <w:spacing w:after="46" w:line="240" w:lineRule="auto"/>
        <w:ind w:left="-15" w:firstLine="0"/>
      </w:pPr>
      <w:r>
        <w:t>DUBE-BANDA J with Assessors Mr. E. Gweru &amp; Mr. S. Mutomba</w:t>
      </w:r>
      <w:r>
        <w:t xml:space="preserve"> </w:t>
      </w:r>
    </w:p>
    <w:p w:rsidR="00E128BF" w:rsidRDefault="001D72B2">
      <w:pPr>
        <w:spacing w:after="46" w:line="240" w:lineRule="auto"/>
        <w:ind w:left="-15" w:firstLine="0"/>
      </w:pPr>
      <w:r>
        <w:t>MASVINGO 26 February 2026</w:t>
      </w:r>
      <w:r>
        <w:t xml:space="preserve"> </w:t>
      </w:r>
    </w:p>
    <w:p w:rsidR="00E128BF" w:rsidRDefault="001D72B2">
      <w:pPr>
        <w:spacing w:after="50" w:line="240" w:lineRule="auto"/>
        <w:ind w:left="0" w:firstLine="0"/>
        <w:jc w:val="left"/>
      </w:pPr>
      <w:r>
        <w:t xml:space="preserve"> </w:t>
      </w:r>
    </w:p>
    <w:p w:rsidR="00E128BF" w:rsidRDefault="001D72B2">
      <w:pPr>
        <w:spacing w:after="47" w:line="246" w:lineRule="auto"/>
        <w:ind w:left="-5" w:right="-15" w:hanging="10"/>
        <w:jc w:val="left"/>
      </w:pPr>
      <w:r>
        <w:rPr>
          <w:b/>
        </w:rPr>
        <w:t xml:space="preserve">Criminal trial  </w:t>
      </w:r>
    </w:p>
    <w:p w:rsidR="00E128BF" w:rsidRDefault="001D72B2">
      <w:pPr>
        <w:spacing w:after="46" w:line="240" w:lineRule="auto"/>
        <w:ind w:left="0" w:firstLine="0"/>
        <w:jc w:val="left"/>
      </w:pPr>
      <w:r>
        <w:t xml:space="preserve"> </w:t>
      </w:r>
    </w:p>
    <w:p w:rsidR="00E128BF" w:rsidRDefault="001D72B2">
      <w:pPr>
        <w:spacing w:after="46" w:line="240" w:lineRule="auto"/>
        <w:ind w:left="-15" w:firstLine="0"/>
      </w:pPr>
      <w:r>
        <w:rPr>
          <w:i/>
        </w:rPr>
        <w:t xml:space="preserve">E. Mbavarira </w:t>
      </w:r>
      <w:r>
        <w:t xml:space="preserve">for the State </w:t>
      </w:r>
      <w:r>
        <w:t xml:space="preserve"> </w:t>
      </w:r>
    </w:p>
    <w:p w:rsidR="00E128BF" w:rsidRDefault="001D72B2">
      <w:pPr>
        <w:spacing w:after="46" w:line="240" w:lineRule="auto"/>
        <w:ind w:left="-15" w:firstLine="0"/>
      </w:pPr>
      <w:r>
        <w:rPr>
          <w:i/>
        </w:rPr>
        <w:t>Ms. P. Mushandu</w:t>
      </w:r>
      <w:r>
        <w:t xml:space="preserve">, for the accused </w:t>
      </w:r>
      <w:r>
        <w:t xml:space="preserve"> </w:t>
      </w:r>
    </w:p>
    <w:p w:rsidR="00E128BF" w:rsidRDefault="001D72B2">
      <w:pPr>
        <w:spacing w:after="50" w:line="240" w:lineRule="auto"/>
        <w:ind w:left="0" w:firstLine="0"/>
        <w:jc w:val="left"/>
      </w:pPr>
      <w:r>
        <w:t xml:space="preserve"> </w:t>
      </w:r>
    </w:p>
    <w:p w:rsidR="00E128BF" w:rsidRDefault="001D72B2">
      <w:pPr>
        <w:spacing w:after="250" w:line="246" w:lineRule="auto"/>
        <w:ind w:left="-5" w:right="-15" w:hanging="10"/>
        <w:jc w:val="left"/>
      </w:pPr>
      <w:r>
        <w:rPr>
          <w:b/>
        </w:rPr>
        <w:t xml:space="preserve">DUBE-BANDA J: </w:t>
      </w:r>
    </w:p>
    <w:p w:rsidR="00E128BF" w:rsidRDefault="001D72B2">
      <w:pPr>
        <w:spacing w:after="182" w:line="240" w:lineRule="auto"/>
        <w:ind w:left="360" w:firstLine="0"/>
        <w:jc w:val="left"/>
      </w:pPr>
      <w:r>
        <w:t xml:space="preserve"> </w:t>
      </w:r>
    </w:p>
    <w:p w:rsidR="00E128BF" w:rsidRDefault="001D72B2">
      <w:pPr>
        <w:numPr>
          <w:ilvl w:val="0"/>
          <w:numId w:val="1"/>
        </w:numPr>
      </w:pPr>
      <w:r>
        <w:t>The accused appears before this court on a charge of murder as defined in s 47(1) of the Criminal Law (Codification and Reform) Act [</w:t>
      </w:r>
      <w:r>
        <w:rPr>
          <w:i/>
        </w:rPr>
        <w:t>Chapter 9:23</w:t>
      </w:r>
      <w:r>
        <w:t>] (“the Criminal Law Code”). It being alleged that on 15 May 2025 and at Village Tavagadza, He</w:t>
      </w:r>
      <w:r>
        <w:t>adman Chipindu, Chivi, the accused unlawfully caused the death of Doubt Matimbe (“the deceased”) a male adult by stabbing him once on the chest with a kitchen knife intending to kill him or realising the real risk or possibility that his conduct might caus</w:t>
      </w:r>
      <w:r>
        <w:t xml:space="preserve">e death and continued to engage in that conduct despite the risk or possibility. </w:t>
      </w:r>
      <w:r>
        <w:t xml:space="preserve"> </w:t>
      </w:r>
    </w:p>
    <w:p w:rsidR="00E128BF" w:rsidRDefault="001D72B2">
      <w:pPr>
        <w:numPr>
          <w:ilvl w:val="0"/>
          <w:numId w:val="1"/>
        </w:numPr>
      </w:pPr>
      <w:r>
        <w:t>The accused pleaded not guilty to the crime of murder and offered a plea of guilty to the lesser crime of culpable homicide, which the State accepted. The State tendered int</w:t>
      </w:r>
      <w:r>
        <w:t>o the record of proceedings a statement of agreed facts, which is before the court and marked Annexure “A”. The statement reads as follows:</w:t>
      </w:r>
      <w:r>
        <w:t xml:space="preserve"> </w:t>
      </w:r>
    </w:p>
    <w:p w:rsidR="00E128BF" w:rsidRDefault="001D72B2">
      <w:pPr>
        <w:spacing w:after="46" w:line="240" w:lineRule="auto"/>
        <w:ind w:left="0" w:firstLine="0"/>
        <w:jc w:val="left"/>
      </w:pPr>
      <w:r>
        <w:t xml:space="preserve"> </w:t>
      </w:r>
    </w:p>
    <w:p w:rsidR="00E128BF" w:rsidRDefault="001D72B2">
      <w:pPr>
        <w:spacing w:after="46" w:line="240" w:lineRule="auto"/>
        <w:ind w:left="360" w:firstLine="0"/>
        <w:jc w:val="left"/>
      </w:pPr>
      <w:r>
        <w:t xml:space="preserve"> </w:t>
      </w:r>
    </w:p>
    <w:p w:rsidR="00E128BF" w:rsidRDefault="001D72B2">
      <w:pPr>
        <w:spacing w:after="46" w:line="234" w:lineRule="auto"/>
        <w:ind w:left="526" w:firstLine="67"/>
      </w:pPr>
      <w:r>
        <w:t>i.</w:t>
      </w:r>
      <w:r>
        <w:rPr>
          <w:rFonts w:ascii="Arial" w:eastAsia="Arial" w:hAnsi="Arial" w:cs="Arial"/>
        </w:rPr>
        <w:t xml:space="preserve"> </w:t>
      </w:r>
      <w:r>
        <w:t>Accused is a male aged 18 years old and residing at Village Chikore, Headman Chipindu, Chivi. Deceased Doubt</w:t>
      </w:r>
      <w:r>
        <w:t xml:space="preserve"> Matimbe was a male adult who was aged 33 years at the time of his death. He resided at Village Gwitima, Headman Chipindu, Chivi. </w:t>
      </w:r>
      <w:r>
        <w:t xml:space="preserve"> </w:t>
      </w:r>
      <w:r>
        <w:t>ii.</w:t>
      </w:r>
      <w:r>
        <w:rPr>
          <w:rFonts w:ascii="Arial" w:eastAsia="Arial" w:hAnsi="Arial" w:cs="Arial"/>
        </w:rPr>
        <w:t xml:space="preserve"> </w:t>
      </w:r>
      <w:r>
        <w:t>On the 15 May 2025 accused and deceased were among beer patrons at Mashayamhanda Bottle Store, Sese Business Centre, Chiv</w:t>
      </w:r>
      <w:r>
        <w:t xml:space="preserve">i. Deceased vomited on the bar counter which resulted in a misunderstanding between him and the bar attendant Stanford Tagarira. </w:t>
      </w:r>
      <w:r>
        <w:lastRenderedPageBreak/>
        <w:t xml:space="preserve">Deceased produced a knife and stabbed Stanford Tagarira once on the right shoulder and left the scene. </w:t>
      </w:r>
      <w:r>
        <w:t xml:space="preserve"> </w:t>
      </w:r>
    </w:p>
    <w:p w:rsidR="00E128BF" w:rsidRDefault="001D72B2">
      <w:pPr>
        <w:numPr>
          <w:ilvl w:val="1"/>
          <w:numId w:val="2"/>
        </w:numPr>
        <w:spacing w:after="0" w:line="234" w:lineRule="auto"/>
        <w:ind w:hanging="619"/>
      </w:pPr>
      <w:r>
        <w:t>Accused and Tafadzwa T</w:t>
      </w:r>
      <w:r>
        <w:t xml:space="preserve">agarira pursued deceased. Accused caught up with deceased who produced a knife intending to stab accused. Accused produced his </w:t>
      </w:r>
    </w:p>
    <w:p w:rsidR="00E128BF" w:rsidRDefault="001D72B2">
      <w:pPr>
        <w:spacing w:after="46" w:line="234" w:lineRule="auto"/>
        <w:ind w:left="1080" w:firstLine="0"/>
      </w:pPr>
      <w:r>
        <w:t>own knife and stabbed deceased once on the left side of the chest. Deceased fell down and died at the spot. Accused left decease</w:t>
      </w:r>
      <w:r>
        <w:t>d on the ground proceeding to Sese Business Centre.</w:t>
      </w:r>
      <w:r>
        <w:t xml:space="preserve"> </w:t>
      </w:r>
    </w:p>
    <w:p w:rsidR="00E128BF" w:rsidRDefault="001D72B2">
      <w:pPr>
        <w:numPr>
          <w:ilvl w:val="1"/>
          <w:numId w:val="2"/>
        </w:numPr>
        <w:spacing w:after="46" w:line="234" w:lineRule="auto"/>
        <w:ind w:hanging="619"/>
      </w:pPr>
      <w:r>
        <w:t>Deceased’s remains were ferried to Masvingo Provincial Hospital for postmortem examination. The examination was conducted by Doctor Zimbwa who concluded that death was caused by haemorrhagic shock and st</w:t>
      </w:r>
      <w:r>
        <w:t xml:space="preserve">ab wound. </w:t>
      </w:r>
      <w:r>
        <w:t xml:space="preserve"> </w:t>
      </w:r>
    </w:p>
    <w:p w:rsidR="00E128BF" w:rsidRDefault="001D72B2">
      <w:pPr>
        <w:numPr>
          <w:ilvl w:val="1"/>
          <w:numId w:val="2"/>
        </w:numPr>
        <w:spacing w:after="46" w:line="234" w:lineRule="auto"/>
        <w:ind w:hanging="619"/>
      </w:pPr>
      <w:r>
        <w:t>The death of deceased was a direct result of the stab wound inflicted by the accused person. Accused admits that he was negligent in that he overreacted and acted disproportionately under the circumstances in his conduct to ward off a perceived</w:t>
      </w:r>
      <w:r>
        <w:t xml:space="preserve"> attack from deceased.</w:t>
      </w:r>
      <w:r>
        <w:t xml:space="preserve"> </w:t>
      </w:r>
    </w:p>
    <w:p w:rsidR="00E128BF" w:rsidRDefault="001D72B2">
      <w:pPr>
        <w:numPr>
          <w:ilvl w:val="1"/>
          <w:numId w:val="2"/>
        </w:numPr>
        <w:spacing w:after="46" w:line="240" w:lineRule="auto"/>
        <w:ind w:hanging="619"/>
      </w:pPr>
      <w:r>
        <w:t xml:space="preserve">The accused person acted negligently in the manner he stabbed deceased. </w:t>
      </w:r>
      <w:r>
        <w:t xml:space="preserve"> </w:t>
      </w:r>
    </w:p>
    <w:p w:rsidR="00E128BF" w:rsidRDefault="001D72B2">
      <w:pPr>
        <w:spacing w:after="46" w:line="240" w:lineRule="auto"/>
        <w:ind w:left="0" w:firstLine="0"/>
        <w:jc w:val="left"/>
      </w:pPr>
      <w:r>
        <w:t xml:space="preserve"> </w:t>
      </w:r>
    </w:p>
    <w:p w:rsidR="00E128BF" w:rsidRDefault="001D72B2">
      <w:pPr>
        <w:spacing w:after="46" w:line="234" w:lineRule="auto"/>
        <w:ind w:left="360" w:firstLine="0"/>
      </w:pPr>
      <w:r>
        <w:t>WHEREFORE both the State and the Defence pray that the accused person be found not guilty and acquitted on the charge of murder and that he be found guilty of Culpable Homicide as defined in Section 49 of the Criminal Law (Codification and Reform) Act [Cha</w:t>
      </w:r>
      <w:r>
        <w:t>pter 9:23].</w:t>
      </w:r>
      <w:r>
        <w:t xml:space="preserve"> </w:t>
      </w:r>
    </w:p>
    <w:p w:rsidR="00E128BF" w:rsidRDefault="001D72B2">
      <w:pPr>
        <w:spacing w:after="46" w:line="240" w:lineRule="auto"/>
        <w:ind w:left="360" w:firstLine="0"/>
        <w:jc w:val="left"/>
      </w:pPr>
      <w:r>
        <w:t xml:space="preserve"> </w:t>
      </w:r>
    </w:p>
    <w:p w:rsidR="00E128BF" w:rsidRDefault="001D72B2">
      <w:pPr>
        <w:numPr>
          <w:ilvl w:val="0"/>
          <w:numId w:val="1"/>
        </w:numPr>
      </w:pPr>
      <w:r>
        <w:t xml:space="preserve">The State produced a post-mortem report compiled by Dr Zimbwa, who concluded that the cause of death was haemorrhagic shock and a stab wound. In addition, the State produced a kitchen knife measuring 18cm in length and weighing 0.48kg. </w:t>
      </w:r>
      <w:r>
        <w:t xml:space="preserve"> </w:t>
      </w:r>
    </w:p>
    <w:p w:rsidR="00E128BF" w:rsidRDefault="001D72B2">
      <w:pPr>
        <w:numPr>
          <w:ilvl w:val="0"/>
          <w:numId w:val="1"/>
        </w:numPr>
      </w:pPr>
      <w:r>
        <w:t>The</w:t>
      </w:r>
      <w:r>
        <w:t xml:space="preserve"> totality of the facts and the evidence adduced in this trial shows that the injuries suffered by the deceased were caused by the accused. The post-mortem report shows that the injuries inflicted by the accused caused the death of the deceased. </w:t>
      </w:r>
      <w:r>
        <w:t xml:space="preserve"> </w:t>
      </w:r>
    </w:p>
    <w:p w:rsidR="00E128BF" w:rsidRDefault="001D72B2">
      <w:pPr>
        <w:numPr>
          <w:ilvl w:val="0"/>
          <w:numId w:val="1"/>
        </w:numPr>
      </w:pPr>
      <w:r>
        <w:t>The facts</w:t>
      </w:r>
      <w:r>
        <w:t xml:space="preserve"> of this matter are that the deceased vomited on the bar counter, which caused a misunderstanding between him and the barman. The deceased produced a knife and stabbed the barman on the right shoulder and left the scene. The accused and the barman pursued </w:t>
      </w:r>
      <w:r>
        <w:t xml:space="preserve">him, and when they caught up with him, he produced a knife and charged towards the accused, intending to stab him. In turn, the accused produced his own knife and stabbed the deceased once on the left side of the chest. </w:t>
      </w:r>
      <w:r>
        <w:t xml:space="preserve"> </w:t>
      </w:r>
    </w:p>
    <w:p w:rsidR="00E128BF" w:rsidRDefault="001D72B2">
      <w:pPr>
        <w:numPr>
          <w:ilvl w:val="0"/>
          <w:numId w:val="1"/>
        </w:numPr>
        <w:spacing w:after="0"/>
      </w:pPr>
      <w:r>
        <w:t>The facts show that the accused wa</w:t>
      </w:r>
      <w:r>
        <w:t>s under an unlawful attack, which was imminent. However, the means he used to avert the attack were not reasonable and were disproportionate in the circumstances. He stabbed the deceased on the chest, which houses vital organs of the human body. In stabbin</w:t>
      </w:r>
      <w:r>
        <w:t xml:space="preserve">g the deceased in the manner he did, a reasonable man placed in the same circumstances as the accused would have foreseen the possibility </w:t>
      </w:r>
      <w:r>
        <w:lastRenderedPageBreak/>
        <w:t xml:space="preserve">of death and would have guarded against it. The conduct of the accused shows that he fell below the reasonable person </w:t>
      </w:r>
      <w:r>
        <w:t xml:space="preserve">standard. The accused ought, as a reasonable man, to have foreseen the death of the deceased and guarded against it. The accused was negligent, and </w:t>
      </w:r>
    </w:p>
    <w:p w:rsidR="00E128BF" w:rsidRDefault="001D72B2">
      <w:pPr>
        <w:ind w:left="360" w:firstLine="0"/>
      </w:pPr>
      <w:r>
        <w:t>it was his negligence that led to the death of the deceased. The court is satisfied that the State’s conces</w:t>
      </w:r>
      <w:r>
        <w:t>sion was pr</w:t>
      </w:r>
      <w:r>
        <w:rPr>
          <w:sz w:val="23"/>
        </w:rPr>
        <w:t xml:space="preserve">operly </w:t>
      </w:r>
      <w:r>
        <w:t>taken.</w:t>
      </w:r>
      <w:r>
        <w:t xml:space="preserve"> </w:t>
      </w:r>
    </w:p>
    <w:p w:rsidR="00E128BF" w:rsidRDefault="001D72B2">
      <w:pPr>
        <w:numPr>
          <w:ilvl w:val="0"/>
          <w:numId w:val="1"/>
        </w:numPr>
      </w:pPr>
      <w:r>
        <w:t>In the result: the accused is found not guilty of murder and found guilty of the lesser crime of culpable homicide as defined in s 49 of the Criminal Law (Codification and Reform) Act [</w:t>
      </w:r>
      <w:r>
        <w:rPr>
          <w:i/>
        </w:rPr>
        <w:t>Chapter 9:23</w:t>
      </w:r>
      <w:r>
        <w:t>].</w:t>
      </w:r>
      <w:r>
        <w:t xml:space="preserve"> </w:t>
      </w:r>
    </w:p>
    <w:p w:rsidR="00E128BF" w:rsidRDefault="001D72B2">
      <w:pPr>
        <w:spacing w:after="189" w:line="240" w:lineRule="auto"/>
        <w:ind w:left="0" w:firstLine="0"/>
        <w:jc w:val="left"/>
      </w:pPr>
      <w:r>
        <w:t xml:space="preserve"> </w:t>
      </w:r>
    </w:p>
    <w:p w:rsidR="00E128BF" w:rsidRDefault="001D72B2">
      <w:pPr>
        <w:spacing w:after="182" w:line="240" w:lineRule="auto"/>
        <w:ind w:left="0" w:firstLine="0"/>
        <w:jc w:val="left"/>
      </w:pPr>
      <w:r>
        <w:rPr>
          <w:b/>
          <w:u w:val="single" w:color="000000"/>
        </w:rPr>
        <w:t>Sentence</w:t>
      </w:r>
      <w:r>
        <w:rPr>
          <w:b/>
        </w:rPr>
        <w:t xml:space="preserve"> </w:t>
      </w:r>
    </w:p>
    <w:p w:rsidR="00E128BF" w:rsidRDefault="001D72B2">
      <w:pPr>
        <w:numPr>
          <w:ilvl w:val="0"/>
          <w:numId w:val="1"/>
        </w:numPr>
      </w:pPr>
      <w:r>
        <w:t>The offender stan</w:t>
      </w:r>
      <w:r>
        <w:t>ds before this court convicted of the crime of culpable homicide as defined in s 49 of the Criminal Law Code.  In determining an appropriate sentence, this court must consider the applicable sentencing principles and juxtapose the principles with the circu</w:t>
      </w:r>
      <w:r>
        <w:t xml:space="preserve">mstances of the case. A consideration of the well-known triad of sentencing consisting of the crime, the offender, and the interests of society is necessary. See </w:t>
      </w:r>
      <w:r>
        <w:rPr>
          <w:i/>
        </w:rPr>
        <w:t>S</w:t>
      </w:r>
      <w:r>
        <w:t xml:space="preserve"> v</w:t>
      </w:r>
      <w:r>
        <w:rPr>
          <w:i/>
        </w:rPr>
        <w:t xml:space="preserve"> Zinn </w:t>
      </w:r>
      <w:r>
        <w:t>1969 (2) SA 537 (A). In addition, the court will consider the provisions of the Crimi</w:t>
      </w:r>
      <w:r>
        <w:t>nal Procedure (Sentencing Guidelines) Regulations, 2023.</w:t>
      </w:r>
      <w:r>
        <w:t xml:space="preserve"> </w:t>
      </w:r>
    </w:p>
    <w:p w:rsidR="00E128BF" w:rsidRDefault="001D72B2">
      <w:pPr>
        <w:numPr>
          <w:ilvl w:val="0"/>
          <w:numId w:val="1"/>
        </w:numPr>
      </w:pPr>
      <w:r>
        <w:t>In mitigation of sentence, counsel for the offender addressed the court and placed factors which she urged this court to consider in deciding an appropriate sentence in respect of the crime of which</w:t>
      </w:r>
      <w:r>
        <w:t xml:space="preserve"> the offender has been convicted. The accused’s personal circumstances are these: he was 18 years old at the time of the commission of this crime; he is now 19 years old. His father is deceased, and his mother has remarried. He is the lastborn in a family </w:t>
      </w:r>
      <w:r>
        <w:t xml:space="preserve">of three. He stays with his maternal grandmother. He went to school up to Grade 7. At the time of the commission of the offence, he was employed as a cobbler, mending shoes. He was earning USD$50 per month. He is neither married nor does he have children. </w:t>
      </w:r>
      <w:r>
        <w:t xml:space="preserve">His family assisted the family of the deceased during the funeral. In addition, counsel submitted that he is a first offender. He pleaded guilty to the crime of culpable homicide. He has been in pre-trial custody for approximately ten months. </w:t>
      </w:r>
      <w:r>
        <w:t xml:space="preserve"> </w:t>
      </w:r>
    </w:p>
    <w:p w:rsidR="00E128BF" w:rsidRDefault="001D72B2">
      <w:pPr>
        <w:numPr>
          <w:ilvl w:val="0"/>
          <w:numId w:val="1"/>
        </w:numPr>
      </w:pPr>
      <w:r>
        <w:t>The counsel</w:t>
      </w:r>
      <w:r>
        <w:t xml:space="preserve"> for the State submitted that the Victim Impact Statement shows that the death has resulted in the suffering of the deceased’s children. The deceased had three children, two of school-going age. Their grandfather is old and unable to take them to </w:t>
      </w:r>
      <w:r>
        <w:lastRenderedPageBreak/>
        <w:t>school. C</w:t>
      </w:r>
      <w:r>
        <w:t xml:space="preserve">ounsel urged the court to consider the prevalence of the crimes of violence and the loss of life caused by such violence. </w:t>
      </w:r>
      <w:r>
        <w:t xml:space="preserve"> </w:t>
      </w:r>
    </w:p>
    <w:p w:rsidR="00E128BF" w:rsidRDefault="001D72B2">
      <w:pPr>
        <w:numPr>
          <w:ilvl w:val="0"/>
          <w:numId w:val="1"/>
        </w:numPr>
        <w:spacing w:after="0"/>
      </w:pPr>
      <w:r>
        <w:t xml:space="preserve">It cannot be downplayed that the offender stands convicted of a serious offence. A life was ended. It is incumbent on this court to emphasise the sanctity of human life. Society frowns upon a person who, by his violent conduct, causes the death of another </w:t>
      </w:r>
      <w:r>
        <w:t xml:space="preserve">human being. </w:t>
      </w:r>
    </w:p>
    <w:p w:rsidR="00E128BF" w:rsidRDefault="001D72B2">
      <w:pPr>
        <w:ind w:left="360" w:firstLine="0"/>
      </w:pPr>
      <w:r>
        <w:t xml:space="preserve">The courts must send a loud and clear message that causing the death, </w:t>
      </w:r>
      <w:r>
        <w:rPr>
          <w:i/>
        </w:rPr>
        <w:t xml:space="preserve">albeit </w:t>
      </w:r>
      <w:r>
        <w:t>negligently, of a fellow human being will not be tolerated. The accused used a lethal weapon, with excessive force on the chest, a vulnerable part of the body. The p</w:t>
      </w:r>
      <w:r>
        <w:t>ost-mortem report shows that, indeed, excessive force was used in stabbing the deceased. The stab was so severe and excessive that the deceased collapsed and died on the spot. In addition, the offender left the deceased in that sorry state and did not rend</w:t>
      </w:r>
      <w:r>
        <w:t>er any form of assistance. The Victim Impact Statement also shows devastating results caused by the death of the deceased to his children. These aggravating factors must be juxtaposed with those factors that reduce the moral blameworthiness of the offender</w:t>
      </w:r>
      <w:r>
        <w:t xml:space="preserve">. </w:t>
      </w:r>
      <w:r>
        <w:t xml:space="preserve"> </w:t>
      </w:r>
    </w:p>
    <w:p w:rsidR="00E128BF" w:rsidRDefault="001D72B2">
      <w:pPr>
        <w:numPr>
          <w:ilvl w:val="0"/>
          <w:numId w:val="1"/>
        </w:numPr>
      </w:pPr>
      <w:r>
        <w:t>It is important that the court consider that the deceased was the aggressor. He vomited on the bar counter, and instead of cleaning his mess, he refused and produced a knife and stabbed the barman once on the right shoulder and left the scene. The offe</w:t>
      </w:r>
      <w:r>
        <w:t xml:space="preserve">nder and the barman pursued him, and rightfully so. He had to be held accountable for his deeds. The offender caught up with him, again he produced his knife, intending to stab the offender. The offender took a pre-emptive strike and stabbed the deceased. </w:t>
      </w:r>
      <w:r>
        <w:t>The offender was defending himself from the attacking deceased. The offender was justified to act by taking pre-emptive action. This is so because the deceased had already shown, by stabbing the barman, that he can put his knife to use. Indeed, but stabbin</w:t>
      </w:r>
      <w:r>
        <w:t xml:space="preserve">g the deceased on the chest, with such force, the offender was negligent; however, his negligence is on the lower end of the continuum. In addition, his moral blameworthiness is on the lowest side. </w:t>
      </w:r>
      <w:r>
        <w:t xml:space="preserve"> </w:t>
      </w:r>
    </w:p>
    <w:p w:rsidR="00E128BF" w:rsidRDefault="001D72B2">
      <w:pPr>
        <w:numPr>
          <w:ilvl w:val="0"/>
          <w:numId w:val="1"/>
        </w:numPr>
      </w:pPr>
      <w:r>
        <w:t>The court takes the view that</w:t>
      </w:r>
      <w:r>
        <w:rPr>
          <w:color w:val="242121"/>
        </w:rPr>
        <w:t xml:space="preserve"> there exist circumstances </w:t>
      </w:r>
      <w:r>
        <w:rPr>
          <w:color w:val="242121"/>
        </w:rPr>
        <w:t xml:space="preserve">to deviate from the sentences provided in the Sentencing Guidelines. </w:t>
      </w:r>
      <w:r>
        <w:t>At the time of the commission of the offence, the offender was a juvenile of 18 years. He was defending himself against a knife wielding 33year-old man, who was the aggressor. Youthfulnes</w:t>
      </w:r>
      <w:r>
        <w:t xml:space="preserve">s under certain circumstances can be regarded as a mitigating factor. Young people sometimes do things without appreciating the consequences that may follow upon their deeds. This was not a premeditated attack. It </w:t>
      </w:r>
      <w:r>
        <w:lastRenderedPageBreak/>
        <w:t>was a justified pre-emptive strike that we</w:t>
      </w:r>
      <w:r>
        <w:t xml:space="preserve">nt, to some extent, disproportionately wrong. This court will not lose sight of the fact that the deceased was stabbed once. </w:t>
      </w:r>
      <w:r>
        <w:t xml:space="preserve"> </w:t>
      </w:r>
    </w:p>
    <w:p w:rsidR="00E128BF" w:rsidRDefault="001D72B2">
      <w:pPr>
        <w:numPr>
          <w:ilvl w:val="0"/>
          <w:numId w:val="1"/>
        </w:numPr>
        <w:spacing w:after="0"/>
      </w:pPr>
      <w:r>
        <w:t>The Court, having found that circumstances exist to deviate from the Sentencing Guidelines, should now consider what an appropria</w:t>
      </w:r>
      <w:r>
        <w:t xml:space="preserve">te sentence should be, having regard to the seriousness of the crime, the personal circumstances of the offender, and the interest of society. In fact, </w:t>
      </w:r>
      <w:r>
        <w:rPr>
          <w:color w:val="242121"/>
        </w:rPr>
        <w:t>sentencing by its very nature is a complex process of evaluating and balancing several factors. In all c</w:t>
      </w:r>
      <w:r>
        <w:rPr>
          <w:color w:val="242121"/>
        </w:rPr>
        <w:t xml:space="preserve">ases, the sentencing process aims to achieve both a just </w:t>
      </w:r>
    </w:p>
    <w:p w:rsidR="00E128BF" w:rsidRDefault="001D72B2">
      <w:pPr>
        <w:ind w:left="360" w:firstLine="0"/>
      </w:pPr>
      <w:r>
        <w:rPr>
          <w:color w:val="242121"/>
        </w:rPr>
        <w:t>and appropriate sentence in the circumstances of the case.</w:t>
      </w:r>
      <w:r>
        <w:t xml:space="preserve"> As previously mentioned in this judgment, culpable homicide is a serious crime. Ending the life of another human being through violence is </w:t>
      </w:r>
      <w:r>
        <w:t>intolerable. The use of a knife to end the life of another human being is bad. However, each case must be treated on its peculiar facts, and the weight to be given to the pertinent factors will vary case by case. The sentence to be imposed in this case sho</w:t>
      </w:r>
      <w:r>
        <w:t>uld be blended with a measure of mercy. The offender was just a juvenile. There is no evidence that the offender could have successfully fled from the knife welding and violent deceased. In addition to the peculiar facts of this case, the youthfulness of t</w:t>
      </w:r>
      <w:r>
        <w:t>he offender, and the fact that he joined in the pursuit of the deceased to help the barman who had been stabbed, thus seeking to bring the deceased to account, and that he has been in pre-trial custody for a period approximating ten months, make direct imp</w:t>
      </w:r>
      <w:r>
        <w:t xml:space="preserve">risonment inappropriate. </w:t>
      </w:r>
      <w:r>
        <w:t xml:space="preserve"> </w:t>
      </w:r>
    </w:p>
    <w:p w:rsidR="00E128BF" w:rsidRDefault="001D72B2">
      <w:pPr>
        <w:numPr>
          <w:ilvl w:val="0"/>
          <w:numId w:val="1"/>
        </w:numPr>
      </w:pPr>
      <w:r>
        <w:t>In the result, the offender is sentenced to 2 years imprisonment, wholly suspended for 5 years on condition that the offender does not, within that period, commit any offence of which an assault or physical violence on the person</w:t>
      </w:r>
      <w:r>
        <w:t xml:space="preserve"> of another is an element and for which, upon conviction, he is sentenced to a term of imprisonment without the option of a fine.</w:t>
      </w:r>
      <w:r>
        <w:t xml:space="preserve"> </w:t>
      </w:r>
    </w:p>
    <w:p w:rsidR="00E128BF" w:rsidRDefault="001D72B2">
      <w:pPr>
        <w:spacing w:after="250" w:line="240" w:lineRule="auto"/>
        <w:ind w:left="0" w:firstLine="0"/>
        <w:jc w:val="left"/>
      </w:pPr>
      <w:r>
        <w:t xml:space="preserve"> </w:t>
      </w:r>
    </w:p>
    <w:p w:rsidR="00E128BF" w:rsidRDefault="001D72B2">
      <w:pPr>
        <w:spacing w:after="250" w:line="240" w:lineRule="auto"/>
        <w:ind w:left="0" w:firstLine="0"/>
        <w:jc w:val="left"/>
      </w:pPr>
      <w:r>
        <w:t xml:space="preserve"> </w:t>
      </w:r>
    </w:p>
    <w:p w:rsidR="00E128BF" w:rsidRDefault="001D72B2">
      <w:pPr>
        <w:spacing w:after="46" w:line="240" w:lineRule="auto"/>
        <w:ind w:left="0" w:firstLine="0"/>
        <w:jc w:val="left"/>
      </w:pPr>
      <w:r>
        <w:rPr>
          <w:i/>
        </w:rPr>
        <w:t xml:space="preserve">National Prosecuting Authority, </w:t>
      </w:r>
      <w:r>
        <w:t xml:space="preserve">state’s legal practitioners </w:t>
      </w:r>
      <w:r>
        <w:rPr>
          <w:i/>
        </w:rPr>
        <w:t xml:space="preserve"> </w:t>
      </w:r>
    </w:p>
    <w:p w:rsidR="00E128BF" w:rsidRDefault="001D72B2">
      <w:pPr>
        <w:spacing w:after="46" w:line="240" w:lineRule="auto"/>
        <w:ind w:left="-15" w:firstLine="0"/>
      </w:pPr>
      <w:r>
        <w:rPr>
          <w:i/>
        </w:rPr>
        <w:t>Chirairo and Associates,</w:t>
      </w:r>
      <w:r>
        <w:t xml:space="preserve"> accused’s legal practitioners</w:t>
      </w:r>
      <w:r>
        <w:t xml:space="preserve"> </w:t>
      </w:r>
    </w:p>
    <w:p w:rsidR="00E128BF" w:rsidRDefault="001D72B2">
      <w:pPr>
        <w:spacing w:after="250" w:line="240" w:lineRule="auto"/>
        <w:ind w:left="0" w:firstLine="0"/>
        <w:jc w:val="left"/>
      </w:pPr>
      <w:r>
        <w:t xml:space="preserve"> </w:t>
      </w:r>
    </w:p>
    <w:p w:rsidR="00E128BF" w:rsidRDefault="001D72B2">
      <w:pPr>
        <w:spacing w:after="182" w:line="240" w:lineRule="auto"/>
        <w:ind w:left="0" w:firstLine="0"/>
        <w:jc w:val="left"/>
      </w:pPr>
      <w:r>
        <w:t xml:space="preserve"> </w:t>
      </w:r>
    </w:p>
    <w:p w:rsidR="00E128BF" w:rsidRDefault="001D72B2">
      <w:pPr>
        <w:spacing w:after="0" w:line="240" w:lineRule="auto"/>
        <w:ind w:left="0" w:firstLine="0"/>
        <w:jc w:val="left"/>
      </w:pPr>
      <w:r>
        <w:t xml:space="preserve"> </w:t>
      </w:r>
    </w:p>
    <w:sectPr w:rsidR="00E128BF">
      <w:headerReference w:type="even" r:id="rId7"/>
      <w:headerReference w:type="default" r:id="rId8"/>
      <w:headerReference w:type="first" r:id="rId9"/>
      <w:pgSz w:w="11906" w:h="16838"/>
      <w:pgMar w:top="1829" w:right="1435" w:bottom="1485" w:left="1440" w:header="765"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2B2" w:rsidRDefault="001D72B2">
      <w:pPr>
        <w:spacing w:after="0" w:line="240" w:lineRule="auto"/>
      </w:pPr>
      <w:r>
        <w:separator/>
      </w:r>
    </w:p>
  </w:endnote>
  <w:endnote w:type="continuationSeparator" w:id="0">
    <w:p w:rsidR="001D72B2" w:rsidRDefault="001D7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2B2" w:rsidRDefault="001D72B2">
      <w:pPr>
        <w:spacing w:after="0" w:line="240" w:lineRule="auto"/>
      </w:pPr>
      <w:r>
        <w:separator/>
      </w:r>
    </w:p>
  </w:footnote>
  <w:footnote w:type="continuationSeparator" w:id="0">
    <w:p w:rsidR="001D72B2" w:rsidRDefault="001D72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8BF" w:rsidRDefault="001D72B2">
    <w:pPr>
      <w:spacing w:after="46" w:line="240" w:lineRule="auto"/>
      <w:ind w:left="0" w:firstLine="0"/>
      <w:jc w:val="right"/>
    </w:pPr>
    <w:r>
      <w:fldChar w:fldCharType="begin"/>
    </w:r>
    <w:r>
      <w:instrText xml:space="preserve"> PAGE   \* MERGEFORMAT </w:instrText>
    </w:r>
    <w:r>
      <w:fldChar w:fldCharType="separate"/>
    </w:r>
    <w:r>
      <w:t>1</w:t>
    </w:r>
    <w:r>
      <w:fldChar w:fldCharType="end"/>
    </w:r>
    <w:r>
      <w:t xml:space="preserve"> </w:t>
    </w:r>
  </w:p>
  <w:p w:rsidR="00E128BF" w:rsidRDefault="001D72B2">
    <w:pPr>
      <w:spacing w:after="44" w:line="240" w:lineRule="auto"/>
      <w:ind w:left="0" w:firstLine="0"/>
      <w:jc w:val="right"/>
    </w:pPr>
    <w:r>
      <w:t>HMA08-26</w:t>
    </w:r>
    <w:r>
      <w:t xml:space="preserve"> </w:t>
    </w:r>
  </w:p>
  <w:p w:rsidR="00E128BF" w:rsidRDefault="001D72B2">
    <w:pPr>
      <w:spacing w:after="0" w:line="240" w:lineRule="auto"/>
      <w:ind w:left="0" w:right="11" w:firstLine="0"/>
      <w:jc w:val="right"/>
    </w:pPr>
    <w:r>
      <w:t>HCMSCR400-26</w:t>
    </w:r>
    <w:r>
      <w:rPr>
        <w:rFonts w:ascii="Calibri" w:eastAsia="Calibri" w:hAnsi="Calibri" w:cs="Calibri"/>
      </w:rPr>
      <w:t xml:space="preserve"> </w:t>
    </w:r>
  </w:p>
  <w:p w:rsidR="00E128BF" w:rsidRDefault="001D72B2">
    <w:pPr>
      <w:spacing w:after="0" w:line="240" w:lineRule="auto"/>
      <w:ind w:left="0" w:firstLine="0"/>
      <w:jc w:val="left"/>
    </w:pPr>
    <w:r>
      <w:rPr>
        <w:rFonts w:ascii="Calibri" w:eastAsia="Calibri" w:hAnsi="Calibri" w:cs="Calibri"/>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8BF" w:rsidRDefault="001D72B2">
    <w:pPr>
      <w:spacing w:after="46" w:line="240" w:lineRule="auto"/>
      <w:ind w:left="0" w:firstLine="0"/>
      <w:jc w:val="right"/>
    </w:pPr>
    <w:r>
      <w:fldChar w:fldCharType="begin"/>
    </w:r>
    <w:r>
      <w:instrText xml:space="preserve"> PAGE   \* MERGEFORMAT </w:instrText>
    </w:r>
    <w:r>
      <w:fldChar w:fldCharType="separate"/>
    </w:r>
    <w:r w:rsidR="00457D53">
      <w:rPr>
        <w:noProof/>
      </w:rPr>
      <w:t>1</w:t>
    </w:r>
    <w:r>
      <w:fldChar w:fldCharType="end"/>
    </w:r>
    <w:r>
      <w:t xml:space="preserve"> </w:t>
    </w:r>
  </w:p>
  <w:p w:rsidR="00E128BF" w:rsidRDefault="001D72B2">
    <w:pPr>
      <w:spacing w:after="44" w:line="240" w:lineRule="auto"/>
      <w:ind w:left="0" w:firstLine="0"/>
      <w:jc w:val="right"/>
    </w:pPr>
    <w:r>
      <w:t>HMA08-26</w:t>
    </w:r>
    <w:r>
      <w:t xml:space="preserve"> </w:t>
    </w:r>
  </w:p>
  <w:p w:rsidR="00E128BF" w:rsidRDefault="001D72B2">
    <w:pPr>
      <w:spacing w:after="0" w:line="240" w:lineRule="auto"/>
      <w:ind w:left="0" w:right="11" w:firstLine="0"/>
      <w:jc w:val="right"/>
    </w:pPr>
    <w:r>
      <w:t>HCMSCR400-26</w:t>
    </w:r>
    <w:r>
      <w:rPr>
        <w:rFonts w:ascii="Calibri" w:eastAsia="Calibri" w:hAnsi="Calibri" w:cs="Calibri"/>
      </w:rPr>
      <w:t xml:space="preserve"> </w:t>
    </w:r>
  </w:p>
  <w:p w:rsidR="00E128BF" w:rsidRDefault="001D72B2">
    <w:pPr>
      <w:spacing w:after="0" w:line="240" w:lineRule="auto"/>
      <w:ind w:left="0" w:firstLine="0"/>
      <w:jc w:val="left"/>
    </w:pPr>
    <w:r>
      <w:rPr>
        <w:rFonts w:ascii="Calibri" w:eastAsia="Calibri" w:hAnsi="Calibri" w:cs="Calibr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8BF" w:rsidRDefault="001D72B2">
    <w:pPr>
      <w:spacing w:after="46" w:line="240" w:lineRule="auto"/>
      <w:ind w:left="0" w:firstLine="0"/>
      <w:jc w:val="right"/>
    </w:pPr>
    <w:r>
      <w:fldChar w:fldCharType="begin"/>
    </w:r>
    <w:r>
      <w:instrText xml:space="preserve"> PAGE   \* MERGEFORMAT </w:instrText>
    </w:r>
    <w:r>
      <w:fldChar w:fldCharType="separate"/>
    </w:r>
    <w:r>
      <w:t>1</w:t>
    </w:r>
    <w:r>
      <w:fldChar w:fldCharType="end"/>
    </w:r>
    <w:r>
      <w:t xml:space="preserve"> </w:t>
    </w:r>
  </w:p>
  <w:p w:rsidR="00E128BF" w:rsidRDefault="001D72B2">
    <w:pPr>
      <w:spacing w:after="44" w:line="240" w:lineRule="auto"/>
      <w:ind w:left="0" w:firstLine="0"/>
      <w:jc w:val="right"/>
    </w:pPr>
    <w:r>
      <w:t>HMA08-26</w:t>
    </w:r>
    <w:r>
      <w:t xml:space="preserve"> </w:t>
    </w:r>
  </w:p>
  <w:p w:rsidR="00E128BF" w:rsidRDefault="001D72B2">
    <w:pPr>
      <w:spacing w:after="0" w:line="240" w:lineRule="auto"/>
      <w:ind w:left="0" w:right="11" w:firstLine="0"/>
      <w:jc w:val="right"/>
    </w:pPr>
    <w:r>
      <w:t>HCMSCR400-26</w:t>
    </w:r>
    <w:r>
      <w:rPr>
        <w:rFonts w:ascii="Calibri" w:eastAsia="Calibri" w:hAnsi="Calibri" w:cs="Calibri"/>
      </w:rPr>
      <w:t xml:space="preserve"> </w:t>
    </w:r>
  </w:p>
  <w:p w:rsidR="00E128BF" w:rsidRDefault="001D72B2">
    <w:pPr>
      <w:spacing w:after="0" w:line="240" w:lineRule="auto"/>
      <w:ind w:left="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F7265"/>
    <w:multiLevelType w:val="hybridMultilevel"/>
    <w:tmpl w:val="CAD4B178"/>
    <w:lvl w:ilvl="0" w:tplc="B4827B6C">
      <w:start w:val="1"/>
      <w:numFmt w:val="decimal"/>
      <w:lvlText w:val="[%1]"/>
      <w:lvlJc w:val="left"/>
      <w:pPr>
        <w:ind w:left="3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0961CB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4E84A2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6E8D53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42C117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654D06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BD062F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00E6D6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006C98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5F4B0CE4"/>
    <w:multiLevelType w:val="hybridMultilevel"/>
    <w:tmpl w:val="676E4916"/>
    <w:lvl w:ilvl="0" w:tplc="222A1672">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CBC8466">
      <w:start w:val="3"/>
      <w:numFmt w:val="lowerRoman"/>
      <w:lvlText w:val="%2."/>
      <w:lvlJc w:val="left"/>
      <w:pPr>
        <w:ind w:left="10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F16680E">
      <w:start w:val="1"/>
      <w:numFmt w:val="lowerRoman"/>
      <w:lvlText w:val="%3"/>
      <w:lvlJc w:val="left"/>
      <w:pPr>
        <w:ind w:left="15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E6E55A8">
      <w:start w:val="1"/>
      <w:numFmt w:val="decimal"/>
      <w:lvlText w:val="%4"/>
      <w:lvlJc w:val="left"/>
      <w:pPr>
        <w:ind w:left="22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8FEE768">
      <w:start w:val="1"/>
      <w:numFmt w:val="lowerLetter"/>
      <w:lvlText w:val="%5"/>
      <w:lvlJc w:val="left"/>
      <w:pPr>
        <w:ind w:left="29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F9A41E0">
      <w:start w:val="1"/>
      <w:numFmt w:val="lowerRoman"/>
      <w:lvlText w:val="%6"/>
      <w:lvlJc w:val="left"/>
      <w:pPr>
        <w:ind w:left="37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F787B36">
      <w:start w:val="1"/>
      <w:numFmt w:val="decimal"/>
      <w:lvlText w:val="%7"/>
      <w:lvlJc w:val="left"/>
      <w:pPr>
        <w:ind w:left="44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DDAF780">
      <w:start w:val="1"/>
      <w:numFmt w:val="lowerLetter"/>
      <w:lvlText w:val="%8"/>
      <w:lvlJc w:val="left"/>
      <w:pPr>
        <w:ind w:left="51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F04B82C">
      <w:start w:val="1"/>
      <w:numFmt w:val="lowerRoman"/>
      <w:lvlText w:val="%9"/>
      <w:lvlJc w:val="left"/>
      <w:pPr>
        <w:ind w:left="58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8BF"/>
    <w:rsid w:val="001D72B2"/>
    <w:rsid w:val="00457D53"/>
    <w:rsid w:val="00E12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879AB3-4764-4674-94F2-D31D9985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8" w:line="351" w:lineRule="auto"/>
      <w:ind w:left="355" w:hanging="37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1714</Words>
  <Characters>9775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cp:lastModifiedBy>JSCIT</cp:lastModifiedBy>
  <cp:revision>2</cp:revision>
  <dcterms:created xsi:type="dcterms:W3CDTF">2026-03-27T14:09:00Z</dcterms:created>
  <dcterms:modified xsi:type="dcterms:W3CDTF">2026-03-27T14:09:00Z</dcterms:modified>
</cp:coreProperties>
</file>