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3AF" w:rsidRPr="00C90D45" w:rsidRDefault="00AB23AF" w:rsidP="00AB23AF">
      <w:pPr>
        <w:spacing w:after="0" w:line="360" w:lineRule="auto"/>
        <w:jc w:val="both"/>
        <w:rPr>
          <w:rFonts w:ascii="Tahoma" w:hAnsi="Tahoma" w:cs="Tahoma"/>
          <w:b/>
          <w:sz w:val="24"/>
          <w:szCs w:val="24"/>
        </w:rPr>
      </w:pPr>
      <w:r w:rsidRPr="00C90D45">
        <w:rPr>
          <w:rFonts w:ascii="Tahoma" w:hAnsi="Tahoma" w:cs="Tahoma"/>
          <w:b/>
          <w:sz w:val="24"/>
          <w:szCs w:val="24"/>
        </w:rPr>
        <w:t>IN TH</w:t>
      </w:r>
      <w:r>
        <w:rPr>
          <w:rFonts w:ascii="Tahoma" w:hAnsi="Tahoma" w:cs="Tahoma"/>
          <w:b/>
          <w:sz w:val="24"/>
          <w:szCs w:val="24"/>
        </w:rPr>
        <w:t>E LABOUR COURT OF ZIMBABWE</w:t>
      </w:r>
      <w:r>
        <w:rPr>
          <w:rFonts w:ascii="Tahoma" w:hAnsi="Tahoma" w:cs="Tahoma"/>
          <w:b/>
          <w:sz w:val="24"/>
          <w:szCs w:val="24"/>
        </w:rPr>
        <w:tab/>
        <w:t xml:space="preserve">    </w:t>
      </w:r>
      <w:r w:rsidRPr="00C90D45">
        <w:rPr>
          <w:rFonts w:ascii="Tahoma" w:hAnsi="Tahoma" w:cs="Tahoma"/>
          <w:b/>
          <w:sz w:val="24"/>
          <w:szCs w:val="24"/>
        </w:rPr>
        <w:t>JUDGEMENT NO LC/H/</w:t>
      </w:r>
      <w:r w:rsidR="003D6335">
        <w:rPr>
          <w:rFonts w:ascii="Tahoma" w:hAnsi="Tahoma" w:cs="Tahoma"/>
          <w:b/>
          <w:sz w:val="24"/>
          <w:szCs w:val="24"/>
        </w:rPr>
        <w:t>6</w:t>
      </w:r>
      <w:r w:rsidR="00B21E4C">
        <w:rPr>
          <w:rFonts w:ascii="Tahoma" w:hAnsi="Tahoma" w:cs="Tahoma"/>
          <w:b/>
          <w:sz w:val="24"/>
          <w:szCs w:val="24"/>
        </w:rPr>
        <w:t>13</w:t>
      </w:r>
      <w:r w:rsidRPr="00C90D45">
        <w:rPr>
          <w:rFonts w:ascii="Tahoma" w:hAnsi="Tahoma" w:cs="Tahoma"/>
          <w:b/>
          <w:sz w:val="24"/>
          <w:szCs w:val="24"/>
        </w:rPr>
        <w:t>/13</w:t>
      </w:r>
    </w:p>
    <w:p w:rsidR="00AB23AF" w:rsidRPr="00C90D45" w:rsidRDefault="00AB23AF" w:rsidP="00AB23AF">
      <w:pPr>
        <w:spacing w:after="0" w:line="360" w:lineRule="auto"/>
        <w:jc w:val="both"/>
        <w:rPr>
          <w:rFonts w:ascii="Tahoma" w:hAnsi="Tahoma" w:cs="Tahoma"/>
          <w:b/>
          <w:sz w:val="24"/>
          <w:szCs w:val="24"/>
        </w:rPr>
      </w:pPr>
      <w:r>
        <w:rPr>
          <w:rFonts w:ascii="Tahoma" w:hAnsi="Tahoma" w:cs="Tahoma"/>
          <w:b/>
          <w:sz w:val="24"/>
          <w:szCs w:val="24"/>
        </w:rPr>
        <w:t xml:space="preserve">HELD AT HARARE </w:t>
      </w:r>
      <w:r w:rsidR="003D6335">
        <w:rPr>
          <w:rFonts w:ascii="Tahoma" w:hAnsi="Tahoma" w:cs="Tahoma"/>
          <w:b/>
          <w:sz w:val="24"/>
          <w:szCs w:val="24"/>
        </w:rPr>
        <w:t>1</w:t>
      </w:r>
      <w:r w:rsidR="003D6335" w:rsidRPr="003D6335">
        <w:rPr>
          <w:rFonts w:ascii="Tahoma" w:hAnsi="Tahoma" w:cs="Tahoma"/>
          <w:b/>
          <w:sz w:val="24"/>
          <w:szCs w:val="24"/>
          <w:vertAlign w:val="superscript"/>
        </w:rPr>
        <w:t>st</w:t>
      </w:r>
      <w:r w:rsidR="00AA0B7B">
        <w:rPr>
          <w:rFonts w:ascii="Tahoma" w:hAnsi="Tahoma" w:cs="Tahoma"/>
          <w:b/>
          <w:sz w:val="24"/>
          <w:szCs w:val="24"/>
        </w:rPr>
        <w:t xml:space="preserve"> </w:t>
      </w:r>
      <w:r w:rsidR="00B21E4C">
        <w:rPr>
          <w:rFonts w:ascii="Tahoma" w:hAnsi="Tahoma" w:cs="Tahoma"/>
          <w:b/>
          <w:sz w:val="24"/>
          <w:szCs w:val="24"/>
        </w:rPr>
        <w:t>NOVEMBER,</w:t>
      </w:r>
      <w:r w:rsidR="003D6335">
        <w:rPr>
          <w:rFonts w:ascii="Tahoma" w:hAnsi="Tahoma" w:cs="Tahoma"/>
          <w:b/>
          <w:sz w:val="24"/>
          <w:szCs w:val="24"/>
        </w:rPr>
        <w:t xml:space="preserve"> 2013</w:t>
      </w:r>
      <w:r w:rsidR="003D6335">
        <w:rPr>
          <w:rFonts w:ascii="Tahoma" w:hAnsi="Tahoma" w:cs="Tahoma"/>
          <w:b/>
          <w:sz w:val="24"/>
          <w:szCs w:val="24"/>
        </w:rPr>
        <w:tab/>
        <w:t xml:space="preserve">    CASE NO LC</w:t>
      </w:r>
      <w:r w:rsidR="00AA0B7B">
        <w:rPr>
          <w:rFonts w:ascii="Tahoma" w:hAnsi="Tahoma" w:cs="Tahoma"/>
          <w:b/>
          <w:sz w:val="24"/>
          <w:szCs w:val="24"/>
        </w:rPr>
        <w:t>/</w:t>
      </w:r>
      <w:r w:rsidRPr="00C90D45">
        <w:rPr>
          <w:rFonts w:ascii="Tahoma" w:hAnsi="Tahoma" w:cs="Tahoma"/>
          <w:b/>
          <w:sz w:val="24"/>
          <w:szCs w:val="24"/>
        </w:rPr>
        <w:t>H/</w:t>
      </w:r>
      <w:r w:rsidR="00B21E4C">
        <w:rPr>
          <w:rFonts w:ascii="Tahoma" w:hAnsi="Tahoma" w:cs="Tahoma"/>
          <w:b/>
          <w:sz w:val="24"/>
          <w:szCs w:val="24"/>
        </w:rPr>
        <w:t>284/12</w:t>
      </w:r>
    </w:p>
    <w:p w:rsidR="00AB23AF" w:rsidRPr="00C90D45" w:rsidRDefault="00AB23AF" w:rsidP="00AB23AF">
      <w:pPr>
        <w:spacing w:after="0" w:line="240" w:lineRule="auto"/>
        <w:jc w:val="both"/>
        <w:rPr>
          <w:rFonts w:ascii="Tahoma" w:hAnsi="Tahoma" w:cs="Tahoma"/>
          <w:b/>
          <w:sz w:val="24"/>
          <w:szCs w:val="24"/>
        </w:rPr>
      </w:pPr>
      <w:r w:rsidRPr="00C90D45">
        <w:rPr>
          <w:rFonts w:ascii="Tahoma" w:hAnsi="Tahoma" w:cs="Tahoma"/>
          <w:b/>
          <w:sz w:val="24"/>
          <w:szCs w:val="24"/>
        </w:rPr>
        <w:t xml:space="preserve">AND </w:t>
      </w:r>
      <w:r w:rsidR="004A7618">
        <w:rPr>
          <w:rFonts w:ascii="Tahoma" w:hAnsi="Tahoma" w:cs="Tahoma"/>
          <w:b/>
          <w:sz w:val="24"/>
          <w:szCs w:val="24"/>
        </w:rPr>
        <w:t>22</w:t>
      </w:r>
      <w:r w:rsidR="004A7618">
        <w:rPr>
          <w:rFonts w:ascii="Tahoma" w:hAnsi="Tahoma" w:cs="Tahoma"/>
          <w:b/>
          <w:sz w:val="24"/>
          <w:szCs w:val="24"/>
          <w:vertAlign w:val="superscript"/>
        </w:rPr>
        <w:t xml:space="preserve">ND </w:t>
      </w:r>
      <w:r w:rsidR="00EE324C">
        <w:rPr>
          <w:rFonts w:ascii="Tahoma" w:hAnsi="Tahoma" w:cs="Tahoma"/>
          <w:b/>
          <w:sz w:val="24"/>
          <w:szCs w:val="24"/>
        </w:rPr>
        <w:t>NOVE</w:t>
      </w:r>
      <w:r w:rsidR="00974BBA">
        <w:rPr>
          <w:rFonts w:ascii="Tahoma" w:hAnsi="Tahoma" w:cs="Tahoma"/>
          <w:b/>
          <w:sz w:val="24"/>
          <w:szCs w:val="24"/>
        </w:rPr>
        <w:t>M</w:t>
      </w:r>
      <w:r>
        <w:rPr>
          <w:rFonts w:ascii="Tahoma" w:hAnsi="Tahoma" w:cs="Tahoma"/>
          <w:b/>
          <w:sz w:val="24"/>
          <w:szCs w:val="24"/>
        </w:rPr>
        <w:t>BER</w:t>
      </w:r>
      <w:r w:rsidRPr="00C90D45">
        <w:rPr>
          <w:rFonts w:ascii="Tahoma" w:hAnsi="Tahoma" w:cs="Tahoma"/>
          <w:b/>
          <w:sz w:val="24"/>
          <w:szCs w:val="24"/>
        </w:rPr>
        <w:t xml:space="preserve"> 2013</w:t>
      </w:r>
    </w:p>
    <w:p w:rsidR="00AB23AF" w:rsidRDefault="00AB23AF" w:rsidP="00AB23AF">
      <w:pPr>
        <w:spacing w:after="0" w:line="240" w:lineRule="auto"/>
        <w:jc w:val="both"/>
        <w:rPr>
          <w:rFonts w:ascii="Tahoma" w:hAnsi="Tahoma" w:cs="Tahoma"/>
          <w:b/>
          <w:sz w:val="24"/>
          <w:szCs w:val="24"/>
        </w:rPr>
      </w:pPr>
    </w:p>
    <w:p w:rsidR="00AA0B7B" w:rsidRDefault="00AA0B7B" w:rsidP="00AB23AF">
      <w:pPr>
        <w:spacing w:after="0" w:line="360" w:lineRule="auto"/>
        <w:jc w:val="both"/>
        <w:rPr>
          <w:rFonts w:ascii="Tahoma" w:hAnsi="Tahoma" w:cs="Tahoma"/>
          <w:sz w:val="24"/>
          <w:szCs w:val="24"/>
        </w:rPr>
      </w:pPr>
    </w:p>
    <w:p w:rsidR="00AB23AF" w:rsidRPr="000E311B" w:rsidRDefault="00AB23AF" w:rsidP="00AB23AF">
      <w:pPr>
        <w:spacing w:after="0" w:line="360" w:lineRule="auto"/>
        <w:jc w:val="both"/>
        <w:rPr>
          <w:rFonts w:ascii="Tahoma" w:hAnsi="Tahoma" w:cs="Tahoma"/>
          <w:sz w:val="24"/>
          <w:szCs w:val="24"/>
        </w:rPr>
      </w:pPr>
      <w:r w:rsidRPr="000E311B">
        <w:rPr>
          <w:rFonts w:ascii="Tahoma" w:hAnsi="Tahoma" w:cs="Tahoma"/>
          <w:sz w:val="24"/>
          <w:szCs w:val="24"/>
        </w:rPr>
        <w:t>In the matter between:-</w:t>
      </w:r>
    </w:p>
    <w:p w:rsidR="00AB23AF" w:rsidRPr="000E311B" w:rsidRDefault="00B21E4C" w:rsidP="00AB23AF">
      <w:pPr>
        <w:spacing w:after="0" w:line="360" w:lineRule="auto"/>
        <w:jc w:val="both"/>
        <w:rPr>
          <w:rFonts w:ascii="Tahoma" w:hAnsi="Tahoma" w:cs="Tahoma"/>
          <w:b/>
          <w:sz w:val="24"/>
          <w:szCs w:val="24"/>
        </w:rPr>
      </w:pPr>
      <w:r>
        <w:rPr>
          <w:rFonts w:ascii="Tahoma" w:hAnsi="Tahoma" w:cs="Tahoma"/>
          <w:b/>
          <w:sz w:val="24"/>
          <w:szCs w:val="24"/>
        </w:rPr>
        <w:t>ANDREA BANDA AND OTHERS</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3F47CB">
        <w:rPr>
          <w:rFonts w:ascii="Tahoma" w:hAnsi="Tahoma" w:cs="Tahoma"/>
          <w:b/>
          <w:sz w:val="24"/>
          <w:szCs w:val="24"/>
        </w:rPr>
        <w:tab/>
      </w:r>
      <w:r w:rsidR="00AB23AF" w:rsidRPr="000E311B">
        <w:rPr>
          <w:rFonts w:ascii="Tahoma" w:hAnsi="Tahoma" w:cs="Tahoma"/>
          <w:b/>
          <w:sz w:val="24"/>
          <w:szCs w:val="24"/>
        </w:rPr>
        <w:t>App</w:t>
      </w:r>
      <w:r w:rsidR="006E5797">
        <w:rPr>
          <w:rFonts w:ascii="Tahoma" w:hAnsi="Tahoma" w:cs="Tahoma"/>
          <w:b/>
          <w:sz w:val="24"/>
          <w:szCs w:val="24"/>
        </w:rPr>
        <w:t>lic</w:t>
      </w:r>
      <w:r w:rsidR="00AB23AF" w:rsidRPr="000E311B">
        <w:rPr>
          <w:rFonts w:ascii="Tahoma" w:hAnsi="Tahoma" w:cs="Tahoma"/>
          <w:b/>
          <w:sz w:val="24"/>
          <w:szCs w:val="24"/>
        </w:rPr>
        <w:t>ant</w:t>
      </w:r>
    </w:p>
    <w:p w:rsidR="00AB23AF" w:rsidRPr="000E311B" w:rsidRDefault="00AB23AF" w:rsidP="00AB23AF">
      <w:pPr>
        <w:spacing w:after="0" w:line="360" w:lineRule="auto"/>
        <w:jc w:val="both"/>
        <w:rPr>
          <w:rFonts w:ascii="Tahoma" w:hAnsi="Tahoma" w:cs="Tahoma"/>
          <w:b/>
          <w:sz w:val="24"/>
          <w:szCs w:val="24"/>
        </w:rPr>
      </w:pPr>
      <w:r w:rsidRPr="000E311B">
        <w:rPr>
          <w:rFonts w:ascii="Tahoma" w:hAnsi="Tahoma" w:cs="Tahoma"/>
          <w:b/>
          <w:sz w:val="24"/>
          <w:szCs w:val="24"/>
        </w:rPr>
        <w:t>And</w:t>
      </w:r>
    </w:p>
    <w:p w:rsidR="00AB23AF" w:rsidRPr="000E311B" w:rsidRDefault="006E5797" w:rsidP="00AB23AF">
      <w:pPr>
        <w:spacing w:after="0" w:line="240" w:lineRule="auto"/>
        <w:jc w:val="both"/>
        <w:rPr>
          <w:rFonts w:ascii="Tahoma" w:hAnsi="Tahoma" w:cs="Tahoma"/>
          <w:b/>
          <w:sz w:val="24"/>
          <w:szCs w:val="24"/>
        </w:rPr>
      </w:pPr>
      <w:r>
        <w:rPr>
          <w:rFonts w:ascii="Tahoma" w:hAnsi="Tahoma" w:cs="Tahoma"/>
          <w:b/>
          <w:sz w:val="24"/>
          <w:szCs w:val="24"/>
        </w:rPr>
        <w:t>NORTON TOWN COUNCIL</w:t>
      </w:r>
      <w:r w:rsidR="003F47CB">
        <w:rPr>
          <w:rFonts w:ascii="Tahoma" w:hAnsi="Tahoma" w:cs="Tahoma"/>
          <w:b/>
          <w:sz w:val="24"/>
          <w:szCs w:val="24"/>
        </w:rPr>
        <w:tab/>
      </w:r>
      <w:r w:rsidR="00AB23AF" w:rsidRPr="000E311B">
        <w:rPr>
          <w:rFonts w:ascii="Tahoma" w:hAnsi="Tahoma" w:cs="Tahoma"/>
          <w:b/>
          <w:sz w:val="24"/>
          <w:szCs w:val="24"/>
        </w:rPr>
        <w:tab/>
      </w:r>
      <w:r w:rsidR="00AB23AF" w:rsidRPr="000E311B">
        <w:rPr>
          <w:rFonts w:ascii="Tahoma" w:hAnsi="Tahoma" w:cs="Tahoma"/>
          <w:b/>
          <w:sz w:val="24"/>
          <w:szCs w:val="24"/>
        </w:rPr>
        <w:tab/>
      </w:r>
      <w:r w:rsidR="00AA0B7B">
        <w:rPr>
          <w:rFonts w:ascii="Tahoma" w:hAnsi="Tahoma" w:cs="Tahoma"/>
          <w:b/>
          <w:sz w:val="24"/>
          <w:szCs w:val="24"/>
        </w:rPr>
        <w:tab/>
      </w:r>
      <w:r w:rsidR="003F47CB">
        <w:rPr>
          <w:rFonts w:ascii="Tahoma" w:hAnsi="Tahoma" w:cs="Tahoma"/>
          <w:b/>
          <w:sz w:val="24"/>
          <w:szCs w:val="24"/>
        </w:rPr>
        <w:tab/>
      </w:r>
      <w:r>
        <w:rPr>
          <w:rFonts w:ascii="Tahoma" w:hAnsi="Tahoma" w:cs="Tahoma"/>
          <w:b/>
          <w:sz w:val="24"/>
          <w:szCs w:val="24"/>
        </w:rPr>
        <w:tab/>
      </w:r>
      <w:r w:rsidR="00AB23AF" w:rsidRPr="000E311B">
        <w:rPr>
          <w:rFonts w:ascii="Tahoma" w:hAnsi="Tahoma" w:cs="Tahoma"/>
          <w:b/>
          <w:sz w:val="24"/>
          <w:szCs w:val="24"/>
        </w:rPr>
        <w:t>Respondent</w:t>
      </w:r>
    </w:p>
    <w:p w:rsidR="00AB23AF" w:rsidRPr="000E311B" w:rsidRDefault="00AB23AF" w:rsidP="00AB23AF">
      <w:pPr>
        <w:spacing w:after="0" w:line="240" w:lineRule="auto"/>
        <w:jc w:val="both"/>
        <w:rPr>
          <w:rFonts w:ascii="Tahoma" w:hAnsi="Tahoma" w:cs="Tahoma"/>
          <w:b/>
          <w:sz w:val="24"/>
          <w:szCs w:val="24"/>
        </w:rPr>
      </w:pPr>
    </w:p>
    <w:p w:rsidR="00AB23AF" w:rsidRPr="001A3358" w:rsidRDefault="00AB23AF" w:rsidP="00AB23AF">
      <w:pPr>
        <w:spacing w:after="0" w:line="240" w:lineRule="auto"/>
        <w:jc w:val="both"/>
        <w:rPr>
          <w:rFonts w:ascii="Tahoma" w:hAnsi="Tahoma" w:cs="Tahoma"/>
          <w:b/>
          <w:sz w:val="26"/>
          <w:szCs w:val="26"/>
        </w:rPr>
      </w:pPr>
    </w:p>
    <w:p w:rsidR="00AA0B7B" w:rsidRDefault="00AA0B7B" w:rsidP="00AA0B7B">
      <w:pPr>
        <w:spacing w:after="0" w:line="360" w:lineRule="auto"/>
        <w:jc w:val="both"/>
        <w:rPr>
          <w:rFonts w:ascii="Tahoma" w:hAnsi="Tahoma" w:cs="Tahoma"/>
          <w:sz w:val="24"/>
          <w:szCs w:val="24"/>
        </w:rPr>
      </w:pPr>
    </w:p>
    <w:p w:rsidR="00AB23AF" w:rsidRPr="000E311B" w:rsidRDefault="00AB23AF" w:rsidP="00AA0B7B">
      <w:pPr>
        <w:spacing w:after="0" w:line="360" w:lineRule="auto"/>
        <w:jc w:val="both"/>
        <w:rPr>
          <w:rFonts w:ascii="Tahoma" w:hAnsi="Tahoma" w:cs="Tahoma"/>
          <w:sz w:val="24"/>
          <w:szCs w:val="24"/>
        </w:rPr>
      </w:pPr>
      <w:r w:rsidRPr="000E311B">
        <w:rPr>
          <w:rFonts w:ascii="Tahoma" w:hAnsi="Tahoma" w:cs="Tahoma"/>
          <w:sz w:val="24"/>
          <w:szCs w:val="24"/>
        </w:rPr>
        <w:t>Before The Honourable</w:t>
      </w:r>
      <w:r w:rsidR="00AA0B7B">
        <w:rPr>
          <w:rFonts w:ascii="Tahoma" w:hAnsi="Tahoma" w:cs="Tahoma"/>
          <w:sz w:val="24"/>
          <w:szCs w:val="24"/>
        </w:rPr>
        <w:t xml:space="preserve"> Justice L.M. Murasi, </w:t>
      </w:r>
    </w:p>
    <w:p w:rsidR="00AB23AF" w:rsidRDefault="00AB23AF" w:rsidP="002335C6">
      <w:pPr>
        <w:spacing w:after="0" w:line="240" w:lineRule="auto"/>
        <w:jc w:val="both"/>
        <w:rPr>
          <w:rFonts w:ascii="Tahoma" w:hAnsi="Tahoma" w:cs="Tahoma"/>
          <w:b/>
          <w:sz w:val="24"/>
          <w:szCs w:val="24"/>
        </w:rPr>
      </w:pPr>
      <w:r>
        <w:rPr>
          <w:rFonts w:ascii="Tahoma" w:hAnsi="Tahoma" w:cs="Tahoma"/>
          <w:b/>
          <w:sz w:val="24"/>
          <w:szCs w:val="24"/>
        </w:rPr>
        <w:t>For Ap</w:t>
      </w:r>
      <w:r w:rsidR="00AA0B7B">
        <w:rPr>
          <w:rFonts w:ascii="Tahoma" w:hAnsi="Tahoma" w:cs="Tahoma"/>
          <w:b/>
          <w:sz w:val="24"/>
          <w:szCs w:val="24"/>
        </w:rPr>
        <w:t>p</w:t>
      </w:r>
      <w:r w:rsidR="002335C6">
        <w:rPr>
          <w:rFonts w:ascii="Tahoma" w:hAnsi="Tahoma" w:cs="Tahoma"/>
          <w:b/>
          <w:sz w:val="24"/>
          <w:szCs w:val="24"/>
        </w:rPr>
        <w:t>ell</w:t>
      </w:r>
      <w:r>
        <w:rPr>
          <w:rFonts w:ascii="Tahoma" w:hAnsi="Tahoma" w:cs="Tahoma"/>
          <w:b/>
          <w:sz w:val="24"/>
          <w:szCs w:val="24"/>
        </w:rPr>
        <w:t>ant</w:t>
      </w:r>
      <w:r>
        <w:rPr>
          <w:rFonts w:ascii="Tahoma" w:hAnsi="Tahoma" w:cs="Tahoma"/>
          <w:b/>
          <w:sz w:val="24"/>
          <w:szCs w:val="24"/>
        </w:rPr>
        <w:tab/>
      </w:r>
      <w:r w:rsidRPr="000E311B">
        <w:rPr>
          <w:rFonts w:ascii="Tahoma" w:hAnsi="Tahoma" w:cs="Tahoma"/>
          <w:b/>
          <w:sz w:val="24"/>
          <w:szCs w:val="24"/>
        </w:rPr>
        <w:t>:</w:t>
      </w:r>
      <w:r w:rsidRPr="000E311B">
        <w:rPr>
          <w:rFonts w:ascii="Tahoma" w:hAnsi="Tahoma" w:cs="Tahoma"/>
          <w:b/>
          <w:sz w:val="24"/>
          <w:szCs w:val="24"/>
        </w:rPr>
        <w:tab/>
      </w:r>
      <w:r w:rsidR="00AA0B7B">
        <w:rPr>
          <w:rFonts w:ascii="Tahoma" w:hAnsi="Tahoma" w:cs="Tahoma"/>
          <w:b/>
          <w:sz w:val="24"/>
          <w:szCs w:val="24"/>
        </w:rPr>
        <w:t xml:space="preserve">Mr. </w:t>
      </w:r>
      <w:r w:rsidR="006E5797">
        <w:rPr>
          <w:rFonts w:ascii="Tahoma" w:hAnsi="Tahoma" w:cs="Tahoma"/>
          <w:b/>
          <w:sz w:val="24"/>
          <w:szCs w:val="24"/>
        </w:rPr>
        <w:t>B</w:t>
      </w:r>
      <w:r w:rsidR="002335C6">
        <w:rPr>
          <w:rFonts w:ascii="Tahoma" w:hAnsi="Tahoma" w:cs="Tahoma"/>
          <w:b/>
          <w:sz w:val="24"/>
          <w:szCs w:val="24"/>
        </w:rPr>
        <w:t xml:space="preserve">. </w:t>
      </w:r>
      <w:r w:rsidR="006E5797">
        <w:rPr>
          <w:rFonts w:ascii="Tahoma" w:hAnsi="Tahoma" w:cs="Tahoma"/>
          <w:b/>
          <w:sz w:val="24"/>
          <w:szCs w:val="24"/>
        </w:rPr>
        <w:t>Dhanda (ZURCWU)</w:t>
      </w:r>
      <w:r w:rsidR="00974BBA">
        <w:rPr>
          <w:rFonts w:ascii="Tahoma" w:hAnsi="Tahoma" w:cs="Tahoma"/>
          <w:b/>
          <w:sz w:val="24"/>
          <w:szCs w:val="24"/>
        </w:rPr>
        <w:t xml:space="preserve"> with him;</w:t>
      </w:r>
      <w:r w:rsidR="006E5797">
        <w:rPr>
          <w:rFonts w:ascii="Tahoma" w:hAnsi="Tahoma" w:cs="Tahoma"/>
          <w:b/>
          <w:sz w:val="24"/>
          <w:szCs w:val="24"/>
        </w:rPr>
        <w:t xml:space="preserve"> </w:t>
      </w:r>
    </w:p>
    <w:p w:rsidR="002335C6" w:rsidRDefault="002335C6" w:rsidP="002335C6">
      <w:pPr>
        <w:spacing w:after="0" w:line="24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Mr. </w:t>
      </w:r>
      <w:r w:rsidR="006E5797">
        <w:rPr>
          <w:rFonts w:ascii="Tahoma" w:hAnsi="Tahoma" w:cs="Tahoma"/>
          <w:b/>
          <w:sz w:val="24"/>
          <w:szCs w:val="24"/>
        </w:rPr>
        <w:t>N</w:t>
      </w:r>
      <w:r>
        <w:rPr>
          <w:rFonts w:ascii="Tahoma" w:hAnsi="Tahoma" w:cs="Tahoma"/>
          <w:b/>
          <w:sz w:val="24"/>
          <w:szCs w:val="24"/>
        </w:rPr>
        <w:t xml:space="preserve">. </w:t>
      </w:r>
      <w:r w:rsidR="006E5797">
        <w:rPr>
          <w:rFonts w:ascii="Tahoma" w:hAnsi="Tahoma" w:cs="Tahoma"/>
          <w:b/>
          <w:sz w:val="24"/>
          <w:szCs w:val="24"/>
        </w:rPr>
        <w:t>Kanyendu</w:t>
      </w:r>
      <w:r>
        <w:rPr>
          <w:rFonts w:ascii="Tahoma" w:hAnsi="Tahoma" w:cs="Tahoma"/>
          <w:b/>
          <w:sz w:val="24"/>
          <w:szCs w:val="24"/>
        </w:rPr>
        <w:t xml:space="preserve"> </w:t>
      </w:r>
    </w:p>
    <w:p w:rsidR="002335C6" w:rsidRDefault="002335C6" w:rsidP="002335C6">
      <w:pPr>
        <w:spacing w:after="0" w:line="240" w:lineRule="auto"/>
        <w:ind w:left="2160" w:firstLine="720"/>
        <w:jc w:val="both"/>
        <w:rPr>
          <w:rFonts w:ascii="Tahoma" w:hAnsi="Tahoma" w:cs="Tahoma"/>
          <w:b/>
          <w:sz w:val="24"/>
          <w:szCs w:val="24"/>
        </w:rPr>
      </w:pPr>
      <w:r>
        <w:rPr>
          <w:rFonts w:ascii="Tahoma" w:hAnsi="Tahoma" w:cs="Tahoma"/>
          <w:b/>
          <w:sz w:val="24"/>
          <w:szCs w:val="24"/>
        </w:rPr>
        <w:t xml:space="preserve">Mr. A. </w:t>
      </w:r>
      <w:r w:rsidR="006E5797">
        <w:rPr>
          <w:rFonts w:ascii="Tahoma" w:hAnsi="Tahoma" w:cs="Tahoma"/>
          <w:b/>
          <w:sz w:val="24"/>
          <w:szCs w:val="24"/>
        </w:rPr>
        <w:t xml:space="preserve">Tsvangi </w:t>
      </w:r>
    </w:p>
    <w:p w:rsidR="006E5797" w:rsidRDefault="00D82706" w:rsidP="002335C6">
      <w:pPr>
        <w:spacing w:after="0" w:line="240" w:lineRule="auto"/>
        <w:ind w:left="2160" w:firstLine="720"/>
        <w:jc w:val="both"/>
        <w:rPr>
          <w:rFonts w:ascii="Tahoma" w:hAnsi="Tahoma" w:cs="Tahoma"/>
          <w:b/>
          <w:sz w:val="24"/>
          <w:szCs w:val="24"/>
        </w:rPr>
      </w:pPr>
      <w:r>
        <w:rPr>
          <w:rFonts w:ascii="Tahoma" w:hAnsi="Tahoma" w:cs="Tahoma"/>
          <w:b/>
          <w:sz w:val="24"/>
          <w:szCs w:val="24"/>
        </w:rPr>
        <w:t>Mr. G. Musvod</w:t>
      </w:r>
      <w:r w:rsidR="006E5797">
        <w:rPr>
          <w:rFonts w:ascii="Tahoma" w:hAnsi="Tahoma" w:cs="Tahoma"/>
          <w:b/>
          <w:sz w:val="24"/>
          <w:szCs w:val="24"/>
        </w:rPr>
        <w:t>za</w:t>
      </w:r>
    </w:p>
    <w:p w:rsidR="002335C6" w:rsidRPr="000E311B" w:rsidRDefault="002335C6" w:rsidP="002335C6">
      <w:pPr>
        <w:spacing w:after="0" w:line="240" w:lineRule="auto"/>
        <w:jc w:val="both"/>
        <w:rPr>
          <w:rFonts w:ascii="Tahoma" w:hAnsi="Tahoma" w:cs="Tahoma"/>
          <w:b/>
          <w:sz w:val="24"/>
          <w:szCs w:val="24"/>
        </w:rPr>
      </w:pPr>
    </w:p>
    <w:p w:rsidR="00AA0B7B" w:rsidRDefault="00AB23AF" w:rsidP="00AB23AF">
      <w:pPr>
        <w:spacing w:after="0" w:line="240" w:lineRule="auto"/>
        <w:jc w:val="both"/>
        <w:rPr>
          <w:rFonts w:ascii="Tahoma" w:hAnsi="Tahoma" w:cs="Tahoma"/>
          <w:b/>
          <w:sz w:val="24"/>
          <w:szCs w:val="24"/>
        </w:rPr>
      </w:pPr>
      <w:r w:rsidRPr="000E311B">
        <w:rPr>
          <w:rFonts w:ascii="Tahoma" w:hAnsi="Tahoma" w:cs="Tahoma"/>
          <w:b/>
          <w:sz w:val="24"/>
          <w:szCs w:val="24"/>
        </w:rPr>
        <w:t xml:space="preserve">For Respondent </w:t>
      </w:r>
      <w:r>
        <w:rPr>
          <w:rFonts w:ascii="Tahoma" w:hAnsi="Tahoma" w:cs="Tahoma"/>
          <w:b/>
          <w:sz w:val="24"/>
          <w:szCs w:val="24"/>
        </w:rPr>
        <w:tab/>
      </w:r>
      <w:r w:rsidRPr="000E311B">
        <w:rPr>
          <w:rFonts w:ascii="Tahoma" w:hAnsi="Tahoma" w:cs="Tahoma"/>
          <w:b/>
          <w:sz w:val="24"/>
          <w:szCs w:val="24"/>
        </w:rPr>
        <w:t>:</w:t>
      </w:r>
      <w:r w:rsidRPr="000E311B">
        <w:rPr>
          <w:rFonts w:ascii="Tahoma" w:hAnsi="Tahoma" w:cs="Tahoma"/>
          <w:b/>
          <w:sz w:val="24"/>
          <w:szCs w:val="24"/>
        </w:rPr>
        <w:tab/>
      </w:r>
      <w:r w:rsidR="00D0601F">
        <w:rPr>
          <w:rFonts w:ascii="Tahoma" w:hAnsi="Tahoma" w:cs="Tahoma"/>
          <w:b/>
          <w:sz w:val="24"/>
          <w:szCs w:val="24"/>
        </w:rPr>
        <w:t xml:space="preserve">Mr. </w:t>
      </w:r>
      <w:r w:rsidR="00D82706">
        <w:rPr>
          <w:rFonts w:ascii="Tahoma" w:hAnsi="Tahoma" w:cs="Tahoma"/>
          <w:b/>
          <w:sz w:val="24"/>
          <w:szCs w:val="24"/>
        </w:rPr>
        <w:t>H</w:t>
      </w:r>
      <w:r w:rsidR="002335C6">
        <w:rPr>
          <w:rFonts w:ascii="Tahoma" w:hAnsi="Tahoma" w:cs="Tahoma"/>
          <w:b/>
          <w:sz w:val="24"/>
          <w:szCs w:val="24"/>
        </w:rPr>
        <w:t xml:space="preserve">. </w:t>
      </w:r>
      <w:r w:rsidR="00D82706">
        <w:rPr>
          <w:rFonts w:ascii="Tahoma" w:hAnsi="Tahoma" w:cs="Tahoma"/>
          <w:b/>
          <w:sz w:val="24"/>
          <w:szCs w:val="24"/>
        </w:rPr>
        <w:t xml:space="preserve">Chitima </w:t>
      </w:r>
      <w:r w:rsidR="00AA0B7B">
        <w:rPr>
          <w:rFonts w:ascii="Tahoma" w:hAnsi="Tahoma" w:cs="Tahoma"/>
          <w:b/>
          <w:sz w:val="24"/>
          <w:szCs w:val="24"/>
        </w:rPr>
        <w:t>(</w:t>
      </w:r>
      <w:r w:rsidR="00D82706">
        <w:rPr>
          <w:rFonts w:ascii="Tahoma" w:hAnsi="Tahoma" w:cs="Tahoma"/>
          <w:b/>
          <w:sz w:val="24"/>
          <w:szCs w:val="24"/>
        </w:rPr>
        <w:t>Legal Practitioner</w:t>
      </w:r>
      <w:r w:rsidR="00AA0B7B">
        <w:rPr>
          <w:rFonts w:ascii="Tahoma" w:hAnsi="Tahoma" w:cs="Tahoma"/>
          <w:b/>
          <w:sz w:val="24"/>
          <w:szCs w:val="24"/>
        </w:rPr>
        <w:t>)</w:t>
      </w:r>
    </w:p>
    <w:p w:rsidR="00AA0B7B" w:rsidRDefault="00AA0B7B" w:rsidP="00AB23AF">
      <w:pPr>
        <w:spacing w:after="0" w:line="240" w:lineRule="auto"/>
        <w:jc w:val="both"/>
        <w:rPr>
          <w:rFonts w:ascii="Tahoma" w:hAnsi="Tahoma" w:cs="Tahoma"/>
          <w:b/>
          <w:sz w:val="26"/>
          <w:szCs w:val="26"/>
        </w:rPr>
      </w:pPr>
    </w:p>
    <w:p w:rsidR="00AA0B7B" w:rsidRDefault="00AA0B7B" w:rsidP="00AB23AF">
      <w:pPr>
        <w:spacing w:after="0" w:line="240" w:lineRule="auto"/>
        <w:jc w:val="both"/>
        <w:rPr>
          <w:rFonts w:ascii="Tahoma" w:hAnsi="Tahoma" w:cs="Tahoma"/>
          <w:b/>
          <w:sz w:val="26"/>
          <w:szCs w:val="26"/>
        </w:rPr>
      </w:pPr>
    </w:p>
    <w:p w:rsidR="00AA0B7B" w:rsidRDefault="00AA0B7B" w:rsidP="00AB23AF">
      <w:pPr>
        <w:spacing w:after="0" w:line="240" w:lineRule="auto"/>
        <w:jc w:val="both"/>
        <w:rPr>
          <w:rFonts w:ascii="Tahoma" w:hAnsi="Tahoma" w:cs="Tahoma"/>
          <w:b/>
          <w:sz w:val="26"/>
          <w:szCs w:val="26"/>
        </w:rPr>
      </w:pPr>
    </w:p>
    <w:p w:rsidR="00AB23AF" w:rsidRDefault="00AB23AF" w:rsidP="00AB23AF">
      <w:pPr>
        <w:spacing w:after="0" w:line="240" w:lineRule="auto"/>
        <w:jc w:val="both"/>
        <w:rPr>
          <w:rFonts w:ascii="Tahoma" w:hAnsi="Tahoma" w:cs="Tahoma"/>
          <w:b/>
          <w:sz w:val="26"/>
          <w:szCs w:val="26"/>
        </w:rPr>
      </w:pPr>
      <w:r w:rsidRPr="001A3358">
        <w:rPr>
          <w:rFonts w:ascii="Tahoma" w:hAnsi="Tahoma" w:cs="Tahoma"/>
          <w:b/>
          <w:sz w:val="26"/>
          <w:szCs w:val="26"/>
        </w:rPr>
        <w:t>MURASI, J.</w:t>
      </w:r>
    </w:p>
    <w:p w:rsidR="00A31346" w:rsidRDefault="00A31346" w:rsidP="00AB23AF">
      <w:pPr>
        <w:spacing w:after="0" w:line="240" w:lineRule="auto"/>
        <w:jc w:val="both"/>
        <w:rPr>
          <w:rFonts w:ascii="Tahoma" w:hAnsi="Tahoma" w:cs="Tahoma"/>
          <w:b/>
          <w:sz w:val="26"/>
          <w:szCs w:val="26"/>
        </w:rPr>
      </w:pPr>
    </w:p>
    <w:p w:rsidR="00AA0B7B" w:rsidRDefault="00AA0B7B" w:rsidP="00AB23AF">
      <w:pPr>
        <w:spacing w:after="0" w:line="240" w:lineRule="auto"/>
        <w:jc w:val="both"/>
        <w:rPr>
          <w:rFonts w:ascii="Tahoma" w:hAnsi="Tahoma" w:cs="Tahoma"/>
          <w:b/>
          <w:sz w:val="26"/>
          <w:szCs w:val="26"/>
        </w:rPr>
      </w:pPr>
    </w:p>
    <w:p w:rsidR="004C18DB" w:rsidRDefault="00A31346" w:rsidP="002335C6">
      <w:pPr>
        <w:spacing w:after="0" w:line="360" w:lineRule="auto"/>
        <w:jc w:val="both"/>
        <w:rPr>
          <w:rFonts w:ascii="Tahoma" w:hAnsi="Tahoma" w:cs="Tahoma"/>
          <w:sz w:val="26"/>
          <w:szCs w:val="26"/>
        </w:rPr>
      </w:pPr>
      <w:r>
        <w:rPr>
          <w:rFonts w:ascii="Tahoma" w:hAnsi="Tahoma" w:cs="Tahoma"/>
          <w:sz w:val="26"/>
          <w:szCs w:val="26"/>
        </w:rPr>
        <w:tab/>
      </w:r>
      <w:r w:rsidR="004C18DB">
        <w:rPr>
          <w:rFonts w:ascii="Tahoma" w:hAnsi="Tahoma" w:cs="Tahoma"/>
          <w:sz w:val="26"/>
          <w:szCs w:val="26"/>
        </w:rPr>
        <w:t>Applicants have approached this Court for rescission of the judgment granted in favour of Respondent on 28 January, 2013.  Applicants allege that they were not aware of the Court date as they were not served.  The application for rescission was made on 25</w:t>
      </w:r>
      <w:r w:rsidR="004C18DB" w:rsidRPr="004C18DB">
        <w:rPr>
          <w:rFonts w:ascii="Tahoma" w:hAnsi="Tahoma" w:cs="Tahoma"/>
          <w:sz w:val="26"/>
          <w:szCs w:val="26"/>
          <w:vertAlign w:val="superscript"/>
        </w:rPr>
        <w:t>th</w:t>
      </w:r>
      <w:r w:rsidR="004C18DB">
        <w:rPr>
          <w:rFonts w:ascii="Tahoma" w:hAnsi="Tahoma" w:cs="Tahoma"/>
          <w:sz w:val="26"/>
          <w:szCs w:val="26"/>
        </w:rPr>
        <w:t xml:space="preserve"> February, 2013 but has managed to be heard some eight (8) months later.  This speaks volumes on the administration of justice and what the beneficiaries of the system must think of it. </w:t>
      </w:r>
    </w:p>
    <w:p w:rsidR="004C18DB" w:rsidRDefault="004C18DB" w:rsidP="002335C6">
      <w:pPr>
        <w:spacing w:after="0" w:line="360" w:lineRule="auto"/>
        <w:jc w:val="both"/>
        <w:rPr>
          <w:rFonts w:ascii="Tahoma" w:hAnsi="Tahoma" w:cs="Tahoma"/>
          <w:sz w:val="26"/>
          <w:szCs w:val="26"/>
        </w:rPr>
      </w:pPr>
    </w:p>
    <w:p w:rsidR="00DE67A6" w:rsidRDefault="004C18DB" w:rsidP="002335C6">
      <w:pPr>
        <w:spacing w:after="0" w:line="360" w:lineRule="auto"/>
        <w:jc w:val="both"/>
        <w:rPr>
          <w:rFonts w:ascii="Tahoma" w:hAnsi="Tahoma" w:cs="Tahoma"/>
          <w:sz w:val="26"/>
          <w:szCs w:val="26"/>
        </w:rPr>
      </w:pPr>
      <w:r>
        <w:rPr>
          <w:rFonts w:ascii="Tahoma" w:hAnsi="Tahoma" w:cs="Tahoma"/>
          <w:sz w:val="26"/>
          <w:szCs w:val="26"/>
        </w:rPr>
        <w:tab/>
        <w:t>At the beginning of the hearing</w:t>
      </w:r>
      <w:r w:rsidR="00732861">
        <w:rPr>
          <w:rFonts w:ascii="Tahoma" w:hAnsi="Tahoma" w:cs="Tahoma"/>
          <w:sz w:val="26"/>
          <w:szCs w:val="26"/>
        </w:rPr>
        <w:t xml:space="preserve">, the Court noted that Respondent was represented by Mr. Chitima of Mbidzo, Muchadehama and Makoni whilst previously Respondent had been represented by Mr. Kavhumbura.  The Court </w:t>
      </w:r>
      <w:r w:rsidR="00732861">
        <w:rPr>
          <w:rFonts w:ascii="Tahoma" w:hAnsi="Tahoma" w:cs="Tahoma"/>
          <w:sz w:val="26"/>
          <w:szCs w:val="26"/>
        </w:rPr>
        <w:lastRenderedPageBreak/>
        <w:t>brought to</w:t>
      </w:r>
      <w:r w:rsidR="00203E95">
        <w:rPr>
          <w:rFonts w:ascii="Tahoma" w:hAnsi="Tahoma" w:cs="Tahoma"/>
          <w:sz w:val="26"/>
          <w:szCs w:val="26"/>
        </w:rPr>
        <w:t xml:space="preserve"> the attention of Respondent’s C</w:t>
      </w:r>
      <w:r w:rsidR="00732861">
        <w:rPr>
          <w:rFonts w:ascii="Tahoma" w:hAnsi="Tahoma" w:cs="Tahoma"/>
          <w:sz w:val="26"/>
          <w:szCs w:val="26"/>
        </w:rPr>
        <w:t>ounsel that he had not complied with section 18(1) of the Rules by not filing a Notice of Assumption of Agency.  Be that as it may be, the Court stated that the matter could proceed without having to deal with these procedural irregularities.  Applicants were represented by Mr. Dhanda from the Union.  He stated that Applicants were not informed of the court date and were indeed surprised to receive the default judgment.  Applicants further stated that there was no proof of service.  Applicants therefore submitted that they were not in wilful default on the date in question.  It was further submitted on behalf of the Applicants that, given the opportunity to be heard, there is a high likelihood of success as the Arbitrator had ruled in their favour in the previous proceeding</w:t>
      </w:r>
      <w:r w:rsidR="002B4524">
        <w:rPr>
          <w:rFonts w:ascii="Tahoma" w:hAnsi="Tahoma" w:cs="Tahoma"/>
          <w:sz w:val="26"/>
          <w:szCs w:val="26"/>
        </w:rPr>
        <w:t>s.  On the issue of representation and the</w:t>
      </w:r>
      <w:r w:rsidR="00732861">
        <w:rPr>
          <w:rFonts w:ascii="Tahoma" w:hAnsi="Tahoma" w:cs="Tahoma"/>
          <w:sz w:val="26"/>
          <w:szCs w:val="26"/>
        </w:rPr>
        <w:t xml:space="preserve"> </w:t>
      </w:r>
      <w:r w:rsidR="002B4524">
        <w:rPr>
          <w:rFonts w:ascii="Tahoma" w:hAnsi="Tahoma" w:cs="Tahoma"/>
          <w:sz w:val="26"/>
          <w:szCs w:val="26"/>
        </w:rPr>
        <w:t xml:space="preserve">affidavit deposed to by Memory Lushita, Applicants averred that Statutory Instrument 15 of 2006 permits a worker to be represented in proceedings by a fellow worker, trade union or a legal practitioner.  It was submitted that the affidavit by Memory </w:t>
      </w:r>
      <w:r w:rsidR="000646B0">
        <w:rPr>
          <w:rFonts w:ascii="Tahoma" w:hAnsi="Tahoma" w:cs="Tahoma"/>
          <w:sz w:val="26"/>
          <w:szCs w:val="26"/>
        </w:rPr>
        <w:t>Lushita</w:t>
      </w:r>
      <w:r w:rsidR="002B4524">
        <w:rPr>
          <w:rFonts w:ascii="Tahoma" w:hAnsi="Tahoma" w:cs="Tahoma"/>
          <w:sz w:val="26"/>
          <w:szCs w:val="26"/>
        </w:rPr>
        <w:t xml:space="preserve"> was therefore quite in order. </w:t>
      </w:r>
    </w:p>
    <w:p w:rsidR="0033248A" w:rsidRDefault="0033248A" w:rsidP="002335C6">
      <w:pPr>
        <w:spacing w:after="0" w:line="360" w:lineRule="auto"/>
        <w:jc w:val="both"/>
        <w:rPr>
          <w:rFonts w:ascii="Tahoma" w:hAnsi="Tahoma" w:cs="Tahoma"/>
          <w:sz w:val="26"/>
          <w:szCs w:val="26"/>
        </w:rPr>
      </w:pPr>
    </w:p>
    <w:p w:rsidR="0033248A" w:rsidRDefault="0033248A" w:rsidP="002335C6">
      <w:pPr>
        <w:spacing w:after="0" w:line="360" w:lineRule="auto"/>
        <w:jc w:val="both"/>
        <w:rPr>
          <w:rFonts w:ascii="Tahoma" w:hAnsi="Tahoma" w:cs="Tahoma"/>
          <w:sz w:val="26"/>
          <w:szCs w:val="26"/>
        </w:rPr>
      </w:pPr>
      <w:r>
        <w:rPr>
          <w:rFonts w:ascii="Tahoma" w:hAnsi="Tahoma" w:cs="Tahoma"/>
          <w:sz w:val="26"/>
          <w:szCs w:val="26"/>
        </w:rPr>
        <w:tab/>
        <w:t xml:space="preserve">Respondent, on the other hand, submitted that there was no Applicant before the Court.  It was submitted that the default judgment was in respect of Andrea Banda and, 60 others but the others were not specified by name and therefore not known to the Court.  It was further submitted on behalf of Respondent that there was no proof of authorisation to represent the other persons in Court.  Respondent further pointed out that </w:t>
      </w:r>
      <w:r w:rsidR="00685535">
        <w:rPr>
          <w:rFonts w:ascii="Tahoma" w:hAnsi="Tahoma" w:cs="Tahoma"/>
          <w:sz w:val="26"/>
          <w:szCs w:val="26"/>
        </w:rPr>
        <w:t>on perusal of the recor</w:t>
      </w:r>
      <w:r w:rsidR="00203E95">
        <w:rPr>
          <w:rFonts w:ascii="Tahoma" w:hAnsi="Tahoma" w:cs="Tahoma"/>
          <w:sz w:val="26"/>
          <w:szCs w:val="26"/>
        </w:rPr>
        <w:t>d, it showed that there was “hand delivery” upon Andrea Banda</w:t>
      </w:r>
      <w:r w:rsidR="00685535">
        <w:rPr>
          <w:rFonts w:ascii="Tahoma" w:hAnsi="Tahoma" w:cs="Tahoma"/>
          <w:sz w:val="26"/>
          <w:szCs w:val="26"/>
        </w:rPr>
        <w:t xml:space="preserve">.  On the merits, Respondent stated that there were no prospects of success. </w:t>
      </w:r>
    </w:p>
    <w:p w:rsidR="00685535" w:rsidRDefault="00685535" w:rsidP="002335C6">
      <w:pPr>
        <w:spacing w:after="0" w:line="360" w:lineRule="auto"/>
        <w:jc w:val="both"/>
        <w:rPr>
          <w:rFonts w:ascii="Tahoma" w:hAnsi="Tahoma" w:cs="Tahoma"/>
          <w:sz w:val="26"/>
          <w:szCs w:val="26"/>
        </w:rPr>
      </w:pPr>
    </w:p>
    <w:p w:rsidR="00685535" w:rsidRDefault="00685535" w:rsidP="002335C6">
      <w:pPr>
        <w:spacing w:after="0" w:line="360" w:lineRule="auto"/>
        <w:jc w:val="both"/>
        <w:rPr>
          <w:rFonts w:ascii="Tahoma" w:hAnsi="Tahoma" w:cs="Tahoma"/>
          <w:sz w:val="26"/>
          <w:szCs w:val="26"/>
        </w:rPr>
      </w:pPr>
      <w:r>
        <w:rPr>
          <w:rFonts w:ascii="Tahoma" w:hAnsi="Tahoma" w:cs="Tahoma"/>
          <w:sz w:val="26"/>
          <w:szCs w:val="26"/>
        </w:rPr>
        <w:tab/>
        <w:t>The Court will address the preliminary issue raised by the Respondent that there was no proper Applicant before the Court.</w:t>
      </w:r>
      <w:r w:rsidR="00401C81">
        <w:rPr>
          <w:rFonts w:ascii="Tahoma" w:hAnsi="Tahoma" w:cs="Tahoma"/>
          <w:sz w:val="26"/>
          <w:szCs w:val="26"/>
        </w:rPr>
        <w:t xml:space="preserve">  This point was raised before the Arbitrator.  The Arbitrator dealt with it in the following manner.  He </w:t>
      </w:r>
      <w:r w:rsidR="00401C81">
        <w:rPr>
          <w:rFonts w:ascii="Tahoma" w:hAnsi="Tahoma" w:cs="Tahoma"/>
          <w:sz w:val="26"/>
          <w:szCs w:val="26"/>
        </w:rPr>
        <w:lastRenderedPageBreak/>
        <w:t>stated that Applicants had a constitutional right to join a trade union and be represented.  The Arbi</w:t>
      </w:r>
      <w:r w:rsidR="00203E95">
        <w:rPr>
          <w:rFonts w:ascii="Tahoma" w:hAnsi="Tahoma" w:cs="Tahoma"/>
          <w:sz w:val="26"/>
          <w:szCs w:val="26"/>
        </w:rPr>
        <w:t>trator also noted that it was im</w:t>
      </w:r>
      <w:r w:rsidR="00401C81">
        <w:rPr>
          <w:rFonts w:ascii="Tahoma" w:hAnsi="Tahoma" w:cs="Tahoma"/>
          <w:sz w:val="26"/>
          <w:szCs w:val="26"/>
        </w:rPr>
        <w:t xml:space="preserve">proper to decide labour matters on a technical basis and cited the </w:t>
      </w:r>
      <w:r w:rsidR="00401C81">
        <w:rPr>
          <w:rFonts w:ascii="Tahoma" w:hAnsi="Tahoma" w:cs="Tahoma"/>
          <w:b/>
          <w:sz w:val="26"/>
          <w:szCs w:val="26"/>
        </w:rPr>
        <w:t xml:space="preserve">Muzuva case.  </w:t>
      </w:r>
      <w:r w:rsidR="00401C81">
        <w:rPr>
          <w:rFonts w:ascii="Tahoma" w:hAnsi="Tahoma" w:cs="Tahoma"/>
          <w:sz w:val="26"/>
          <w:szCs w:val="26"/>
        </w:rPr>
        <w:t>He however agreed that there was an “irregularity in the citation of claimants” but decided to “condone this and shall seek to have matter resolved on merit.”  The Court is of the view that this was a proper route to take given the facts of the matter.  Section 6(4)(b) of the Labour (National Employment Code of Conduct) Regulations 2006, referred to above provides:</w:t>
      </w:r>
    </w:p>
    <w:p w:rsidR="00496C69" w:rsidRDefault="00496C69" w:rsidP="002335C6">
      <w:pPr>
        <w:spacing w:after="0" w:line="360" w:lineRule="auto"/>
        <w:jc w:val="both"/>
        <w:rPr>
          <w:rFonts w:ascii="Tahoma" w:hAnsi="Tahoma" w:cs="Tahoma"/>
          <w:sz w:val="26"/>
          <w:szCs w:val="26"/>
        </w:rPr>
      </w:pPr>
    </w:p>
    <w:p w:rsidR="00496C69" w:rsidRPr="00496C69" w:rsidRDefault="00496C69" w:rsidP="00496C69">
      <w:pPr>
        <w:spacing w:after="0" w:line="360" w:lineRule="auto"/>
        <w:ind w:left="720" w:firstLine="720"/>
        <w:jc w:val="both"/>
        <w:rPr>
          <w:rFonts w:ascii="Times New Roman" w:hAnsi="Times New Roman" w:cs="Times New Roman"/>
          <w:i/>
          <w:sz w:val="24"/>
          <w:szCs w:val="24"/>
        </w:rPr>
      </w:pPr>
      <w:r w:rsidRPr="00496C69">
        <w:rPr>
          <w:rFonts w:ascii="Times New Roman" w:hAnsi="Times New Roman" w:cs="Times New Roman"/>
          <w:i/>
          <w:sz w:val="24"/>
          <w:szCs w:val="24"/>
        </w:rPr>
        <w:t>“(4)</w:t>
      </w:r>
      <w:r w:rsidRPr="00496C69">
        <w:rPr>
          <w:rFonts w:ascii="Times New Roman" w:hAnsi="Times New Roman" w:cs="Times New Roman"/>
          <w:i/>
          <w:sz w:val="24"/>
          <w:szCs w:val="24"/>
        </w:rPr>
        <w:tab/>
        <w:t>At a hearing in terms of subsection (2), an employee shall have the right to –</w:t>
      </w:r>
    </w:p>
    <w:p w:rsidR="00496C69" w:rsidRPr="00496C69" w:rsidRDefault="00496C69" w:rsidP="00496C69">
      <w:pPr>
        <w:spacing w:after="0" w:line="360" w:lineRule="auto"/>
        <w:ind w:left="1440" w:hanging="720"/>
        <w:jc w:val="both"/>
        <w:rPr>
          <w:rFonts w:ascii="Times New Roman" w:hAnsi="Times New Roman" w:cs="Times New Roman"/>
          <w:i/>
          <w:sz w:val="24"/>
          <w:szCs w:val="24"/>
        </w:rPr>
      </w:pPr>
      <w:r w:rsidRPr="00496C69">
        <w:rPr>
          <w:rFonts w:ascii="Times New Roman" w:hAnsi="Times New Roman" w:cs="Times New Roman"/>
          <w:i/>
          <w:sz w:val="24"/>
          <w:szCs w:val="24"/>
        </w:rPr>
        <w:t>(b)</w:t>
      </w:r>
      <w:r w:rsidRPr="00496C69">
        <w:rPr>
          <w:rFonts w:ascii="Times New Roman" w:hAnsi="Times New Roman" w:cs="Times New Roman"/>
          <w:i/>
          <w:sz w:val="24"/>
          <w:szCs w:val="24"/>
        </w:rPr>
        <w:tab/>
        <w:t>appear in person before the employer or the employer’s representative or disciplinary authority as the case may be and be represented by either a fellow employee, worker’s committee member, trade union official/officer or legal practitioner.”</w:t>
      </w:r>
    </w:p>
    <w:p w:rsidR="00496C69" w:rsidRDefault="00496C69" w:rsidP="002335C6">
      <w:pPr>
        <w:spacing w:after="0" w:line="360" w:lineRule="auto"/>
        <w:jc w:val="both"/>
        <w:rPr>
          <w:rFonts w:ascii="Tahoma" w:hAnsi="Tahoma" w:cs="Tahoma"/>
          <w:sz w:val="26"/>
          <w:szCs w:val="26"/>
        </w:rPr>
      </w:pPr>
    </w:p>
    <w:p w:rsidR="00401C81" w:rsidRDefault="003E37F3" w:rsidP="002335C6">
      <w:pPr>
        <w:spacing w:after="0" w:line="360" w:lineRule="auto"/>
        <w:jc w:val="both"/>
        <w:rPr>
          <w:rFonts w:ascii="Tahoma" w:hAnsi="Tahoma" w:cs="Tahoma"/>
          <w:sz w:val="26"/>
          <w:szCs w:val="26"/>
        </w:rPr>
      </w:pPr>
      <w:r>
        <w:rPr>
          <w:rFonts w:ascii="Tahoma" w:hAnsi="Tahoma" w:cs="Tahoma"/>
          <w:sz w:val="26"/>
          <w:szCs w:val="26"/>
        </w:rPr>
        <w:tab/>
        <w:t>The hearing referred to in this section is one at the workplace envisaged in sub-section two (2).  The mo</w:t>
      </w:r>
      <w:r w:rsidR="008B1694">
        <w:rPr>
          <w:rFonts w:ascii="Tahoma" w:hAnsi="Tahoma" w:cs="Tahoma"/>
          <w:sz w:val="26"/>
          <w:szCs w:val="26"/>
        </w:rPr>
        <w:t>o</w:t>
      </w:r>
      <w:r>
        <w:rPr>
          <w:rFonts w:ascii="Tahoma" w:hAnsi="Tahoma" w:cs="Tahoma"/>
          <w:sz w:val="26"/>
          <w:szCs w:val="26"/>
        </w:rPr>
        <w:t xml:space="preserve">t </w:t>
      </w:r>
      <w:r w:rsidR="008B1694">
        <w:rPr>
          <w:rFonts w:ascii="Tahoma" w:hAnsi="Tahoma" w:cs="Tahoma"/>
          <w:sz w:val="26"/>
          <w:szCs w:val="26"/>
        </w:rPr>
        <w:t>point is can this representation be extended to other tribunals in the event of an employee being made.  The Applicants are being represented by a trade union official.  The record shows that there is a list of workers from Norton Town Council who indicated their wish to join the Union.  The list does not necessarily show that these are health workers but such names as Andrea Banda and Memory Lushita appear on that list.  The list contains some fifty (50) odd people.  Section 29(4)(d) of the Labour Act [</w:t>
      </w:r>
      <w:r w:rsidR="008B1694">
        <w:rPr>
          <w:rFonts w:ascii="Tahoma" w:hAnsi="Tahoma" w:cs="Tahoma"/>
          <w:i/>
          <w:sz w:val="26"/>
          <w:szCs w:val="26"/>
        </w:rPr>
        <w:t>Chapter 28:01</w:t>
      </w:r>
      <w:r w:rsidR="008B1694">
        <w:rPr>
          <w:rFonts w:ascii="Tahoma" w:hAnsi="Tahoma" w:cs="Tahoma"/>
          <w:sz w:val="26"/>
          <w:szCs w:val="26"/>
        </w:rPr>
        <w:t>] provides:</w:t>
      </w:r>
    </w:p>
    <w:p w:rsidR="008B1694" w:rsidRDefault="008B1694" w:rsidP="002335C6">
      <w:pPr>
        <w:spacing w:after="0" w:line="360" w:lineRule="auto"/>
        <w:jc w:val="both"/>
        <w:rPr>
          <w:rFonts w:ascii="Tahoma" w:hAnsi="Tahoma" w:cs="Tahoma"/>
          <w:sz w:val="26"/>
          <w:szCs w:val="26"/>
        </w:rPr>
      </w:pPr>
    </w:p>
    <w:p w:rsidR="008B1694" w:rsidRPr="008B1694" w:rsidRDefault="008B1694" w:rsidP="008B1694">
      <w:pPr>
        <w:spacing w:after="0" w:line="360" w:lineRule="auto"/>
        <w:ind w:left="720"/>
        <w:jc w:val="both"/>
        <w:rPr>
          <w:rFonts w:ascii="Times New Roman" w:hAnsi="Times New Roman" w:cs="Times New Roman"/>
          <w:i/>
          <w:sz w:val="24"/>
          <w:szCs w:val="24"/>
        </w:rPr>
      </w:pPr>
      <w:r w:rsidRPr="008B1694">
        <w:rPr>
          <w:rFonts w:ascii="Times New Roman" w:hAnsi="Times New Roman" w:cs="Times New Roman"/>
          <w:i/>
          <w:sz w:val="24"/>
          <w:szCs w:val="24"/>
        </w:rPr>
        <w:t>“Subject to this Act, a registered trade union or federation of such unions shall be entitled –</w:t>
      </w:r>
    </w:p>
    <w:p w:rsidR="008B1694" w:rsidRPr="008B1694" w:rsidRDefault="008B1694" w:rsidP="008B1694">
      <w:pPr>
        <w:spacing w:after="0" w:line="360" w:lineRule="auto"/>
        <w:ind w:left="720"/>
        <w:jc w:val="both"/>
        <w:rPr>
          <w:rFonts w:ascii="Times New Roman" w:hAnsi="Times New Roman" w:cs="Times New Roman"/>
          <w:i/>
          <w:sz w:val="24"/>
          <w:szCs w:val="24"/>
        </w:rPr>
      </w:pPr>
    </w:p>
    <w:p w:rsidR="008B1694" w:rsidRPr="008B1694" w:rsidRDefault="008B1694" w:rsidP="008B1694">
      <w:pPr>
        <w:spacing w:after="0" w:line="360" w:lineRule="auto"/>
        <w:ind w:left="1440" w:hanging="720"/>
        <w:jc w:val="both"/>
        <w:rPr>
          <w:rFonts w:ascii="Times New Roman" w:hAnsi="Times New Roman" w:cs="Times New Roman"/>
          <w:i/>
          <w:sz w:val="24"/>
          <w:szCs w:val="24"/>
        </w:rPr>
      </w:pPr>
      <w:r w:rsidRPr="008B1694">
        <w:rPr>
          <w:rFonts w:ascii="Times New Roman" w:hAnsi="Times New Roman" w:cs="Times New Roman"/>
          <w:i/>
          <w:sz w:val="24"/>
          <w:szCs w:val="24"/>
        </w:rPr>
        <w:t>(d)</w:t>
      </w:r>
      <w:r w:rsidRPr="008B1694">
        <w:rPr>
          <w:rFonts w:ascii="Times New Roman" w:hAnsi="Times New Roman" w:cs="Times New Roman"/>
          <w:i/>
          <w:sz w:val="24"/>
          <w:szCs w:val="24"/>
        </w:rPr>
        <w:tab/>
        <w:t>to make representations to a determining authority or the Labour Court”.</w:t>
      </w:r>
    </w:p>
    <w:p w:rsidR="00DE67A6" w:rsidRDefault="00DE67A6" w:rsidP="00C378DB">
      <w:pPr>
        <w:spacing w:after="0" w:line="360" w:lineRule="auto"/>
        <w:jc w:val="both"/>
        <w:rPr>
          <w:rFonts w:ascii="Tahoma" w:hAnsi="Tahoma" w:cs="Tahoma"/>
          <w:b/>
          <w:sz w:val="26"/>
          <w:szCs w:val="26"/>
        </w:rPr>
      </w:pPr>
    </w:p>
    <w:p w:rsidR="00C378DB" w:rsidRDefault="008B1694" w:rsidP="00C378DB">
      <w:pPr>
        <w:spacing w:after="0" w:line="360" w:lineRule="auto"/>
        <w:jc w:val="both"/>
        <w:rPr>
          <w:rFonts w:ascii="Tahoma" w:hAnsi="Tahoma" w:cs="Tahoma"/>
          <w:sz w:val="26"/>
          <w:szCs w:val="26"/>
        </w:rPr>
      </w:pPr>
      <w:r>
        <w:rPr>
          <w:rFonts w:ascii="Tahoma" w:hAnsi="Tahoma" w:cs="Tahoma"/>
          <w:b/>
          <w:sz w:val="26"/>
          <w:szCs w:val="26"/>
        </w:rPr>
        <w:tab/>
      </w:r>
      <w:r>
        <w:rPr>
          <w:rFonts w:ascii="Tahoma" w:hAnsi="Tahoma" w:cs="Tahoma"/>
          <w:sz w:val="26"/>
          <w:szCs w:val="26"/>
        </w:rPr>
        <w:t xml:space="preserve">The Act therefore permits trade union officials to represent members before a determining authority (read </w:t>
      </w:r>
      <w:r w:rsidR="004A6423">
        <w:rPr>
          <w:rFonts w:ascii="Tahoma" w:hAnsi="Tahoma" w:cs="Tahoma"/>
          <w:sz w:val="26"/>
          <w:szCs w:val="26"/>
        </w:rPr>
        <w:t>Arbitrator</w:t>
      </w:r>
      <w:r>
        <w:rPr>
          <w:rFonts w:ascii="Tahoma" w:hAnsi="Tahoma" w:cs="Tahoma"/>
          <w:sz w:val="26"/>
          <w:szCs w:val="26"/>
        </w:rPr>
        <w:t xml:space="preserve">) or the Labour Court. </w:t>
      </w:r>
      <w:r w:rsidR="00974BBA">
        <w:rPr>
          <w:rFonts w:ascii="Tahoma" w:hAnsi="Tahoma" w:cs="Tahoma"/>
          <w:sz w:val="26"/>
          <w:szCs w:val="26"/>
        </w:rPr>
        <w:t xml:space="preserve">The case is distinguishable from the ruling in </w:t>
      </w:r>
      <w:r w:rsidR="00974BBA">
        <w:rPr>
          <w:rFonts w:ascii="Tahoma" w:hAnsi="Tahoma" w:cs="Tahoma"/>
          <w:b/>
          <w:sz w:val="26"/>
          <w:szCs w:val="26"/>
        </w:rPr>
        <w:t>Retrenched Employees of National Breweries Limited v National Breweries Ltd and Anor</w:t>
      </w:r>
      <w:r w:rsidR="00974BBA">
        <w:rPr>
          <w:rFonts w:ascii="Tahoma" w:hAnsi="Tahoma" w:cs="Tahoma"/>
          <w:sz w:val="26"/>
          <w:szCs w:val="26"/>
        </w:rPr>
        <w:t xml:space="preserve"> SC 121/02 where an employee sought to represent others.  In this case the matter was handled by trade union officials.</w:t>
      </w:r>
      <w:r>
        <w:rPr>
          <w:rFonts w:ascii="Tahoma" w:hAnsi="Tahoma" w:cs="Tahoma"/>
          <w:sz w:val="26"/>
          <w:szCs w:val="26"/>
        </w:rPr>
        <w:t xml:space="preserve"> However, this does not imply that the Applicants should not submit the </w:t>
      </w:r>
      <w:r w:rsidR="004A6423">
        <w:rPr>
          <w:rFonts w:ascii="Tahoma" w:hAnsi="Tahoma" w:cs="Tahoma"/>
          <w:sz w:val="26"/>
          <w:szCs w:val="26"/>
        </w:rPr>
        <w:t xml:space="preserve">names of the other employees. </w:t>
      </w:r>
    </w:p>
    <w:p w:rsidR="004A6423" w:rsidRDefault="004A6423" w:rsidP="00C378DB">
      <w:pPr>
        <w:spacing w:after="0" w:line="360" w:lineRule="auto"/>
        <w:jc w:val="both"/>
        <w:rPr>
          <w:rFonts w:ascii="Tahoma" w:hAnsi="Tahoma" w:cs="Tahoma"/>
          <w:sz w:val="26"/>
          <w:szCs w:val="26"/>
        </w:rPr>
      </w:pPr>
    </w:p>
    <w:p w:rsidR="004A6423" w:rsidRDefault="004A6423" w:rsidP="00C378DB">
      <w:pPr>
        <w:spacing w:after="0" w:line="360" w:lineRule="auto"/>
        <w:jc w:val="both"/>
        <w:rPr>
          <w:rFonts w:ascii="Tahoma" w:hAnsi="Tahoma" w:cs="Tahoma"/>
          <w:sz w:val="26"/>
          <w:szCs w:val="26"/>
        </w:rPr>
      </w:pPr>
      <w:r>
        <w:rPr>
          <w:rFonts w:ascii="Tahoma" w:hAnsi="Tahoma" w:cs="Tahoma"/>
          <w:sz w:val="26"/>
          <w:szCs w:val="26"/>
        </w:rPr>
        <w:tab/>
        <w:t>The next issue to deal with is whether Applicants were served to attend Court on 28</w:t>
      </w:r>
      <w:r w:rsidRPr="004A6423">
        <w:rPr>
          <w:rFonts w:ascii="Tahoma" w:hAnsi="Tahoma" w:cs="Tahoma"/>
          <w:sz w:val="26"/>
          <w:szCs w:val="26"/>
          <w:vertAlign w:val="superscript"/>
        </w:rPr>
        <w:t>th</w:t>
      </w:r>
      <w:r>
        <w:rPr>
          <w:rFonts w:ascii="Tahoma" w:hAnsi="Tahoma" w:cs="Tahoma"/>
          <w:sz w:val="26"/>
          <w:szCs w:val="26"/>
        </w:rPr>
        <w:t xml:space="preserve"> January, 2013.  Applicants vehemently deny this whilst Respondent avers that there is proof that Andrea Banda was served “by hand”.  Respondent sought to rely on the document in the record which shows that service was purportedly, “by hand” at ZURCWU at Daventry House.  The document does not show to who it was served on and on what date.  It is a copy showing that the date it was written was 17 December, 2012 yet it is date stamped 18 December, 2012.  Respondent’s Counsel stated at the hearing that when they perused the record they noted that there was “</w:t>
      </w:r>
      <w:r w:rsidRPr="004A6423">
        <w:rPr>
          <w:rFonts w:ascii="Tahoma" w:hAnsi="Tahoma" w:cs="Tahoma"/>
          <w:i/>
          <w:sz w:val="26"/>
          <w:szCs w:val="26"/>
        </w:rPr>
        <w:t>hand delivery upon Andrea Banda.</w:t>
      </w:r>
      <w:r>
        <w:rPr>
          <w:rFonts w:ascii="Tahoma" w:hAnsi="Tahoma" w:cs="Tahoma"/>
          <w:sz w:val="26"/>
          <w:szCs w:val="26"/>
        </w:rPr>
        <w:t xml:space="preserve">”  The evidence shows that the address of service was the union’s address and this is not the place where Andrea Banda could be found.  There was </w:t>
      </w:r>
      <w:r w:rsidR="00EF44BB">
        <w:rPr>
          <w:rFonts w:ascii="Tahoma" w:hAnsi="Tahoma" w:cs="Tahoma"/>
          <w:sz w:val="26"/>
          <w:szCs w:val="26"/>
        </w:rPr>
        <w:t>no evidence to show who at those premises received the service on behalf of the union.  To this end, the Court is of the view that the assertions by Respondent’s Counsel cannot be correct and the finding is that there was no proof that either the Applicants or the union was served.</w:t>
      </w:r>
    </w:p>
    <w:p w:rsidR="00EF44BB" w:rsidRDefault="00EF44BB" w:rsidP="00C378DB">
      <w:pPr>
        <w:spacing w:after="0" w:line="360" w:lineRule="auto"/>
        <w:jc w:val="both"/>
        <w:rPr>
          <w:rFonts w:ascii="Tahoma" w:hAnsi="Tahoma" w:cs="Tahoma"/>
          <w:sz w:val="26"/>
          <w:szCs w:val="26"/>
        </w:rPr>
      </w:pPr>
    </w:p>
    <w:p w:rsidR="00EF44BB" w:rsidRDefault="00EF44BB" w:rsidP="00C378DB">
      <w:pPr>
        <w:spacing w:after="0" w:line="360" w:lineRule="auto"/>
        <w:jc w:val="both"/>
        <w:rPr>
          <w:rFonts w:ascii="Tahoma" w:hAnsi="Tahoma" w:cs="Tahoma"/>
          <w:sz w:val="26"/>
          <w:szCs w:val="26"/>
        </w:rPr>
      </w:pPr>
      <w:r>
        <w:rPr>
          <w:rFonts w:ascii="Tahoma" w:hAnsi="Tahoma" w:cs="Tahoma"/>
          <w:sz w:val="26"/>
          <w:szCs w:val="26"/>
        </w:rPr>
        <w:t xml:space="preserve">The Court will go on to consider whether the application for rescission was made within the confines of the law.  Rule 33 provides that an application for rescission of judgment should be made within thirty (30) days from the date </w:t>
      </w:r>
      <w:r>
        <w:rPr>
          <w:rFonts w:ascii="Tahoma" w:hAnsi="Tahoma" w:cs="Tahoma"/>
          <w:sz w:val="26"/>
          <w:szCs w:val="26"/>
        </w:rPr>
        <w:lastRenderedPageBreak/>
        <w:t>the applicant became aware of the judgment.  The default judgment in question was delivered on 28</w:t>
      </w:r>
      <w:r w:rsidRPr="00EF44BB">
        <w:rPr>
          <w:rFonts w:ascii="Tahoma" w:hAnsi="Tahoma" w:cs="Tahoma"/>
          <w:sz w:val="26"/>
          <w:szCs w:val="26"/>
          <w:vertAlign w:val="superscript"/>
        </w:rPr>
        <w:t>th</w:t>
      </w:r>
      <w:r>
        <w:rPr>
          <w:rFonts w:ascii="Tahoma" w:hAnsi="Tahoma" w:cs="Tahoma"/>
          <w:sz w:val="26"/>
          <w:szCs w:val="26"/>
        </w:rPr>
        <w:t xml:space="preserve"> January, 2013.  Applicants do not state when they became aware of the judgment, but filed the application on 25</w:t>
      </w:r>
      <w:r w:rsidRPr="00EF44BB">
        <w:rPr>
          <w:rFonts w:ascii="Tahoma" w:hAnsi="Tahoma" w:cs="Tahoma"/>
          <w:sz w:val="26"/>
          <w:szCs w:val="26"/>
          <w:vertAlign w:val="superscript"/>
        </w:rPr>
        <w:t>th</w:t>
      </w:r>
      <w:r>
        <w:rPr>
          <w:rFonts w:ascii="Tahoma" w:hAnsi="Tahoma" w:cs="Tahoma"/>
          <w:sz w:val="26"/>
          <w:szCs w:val="26"/>
        </w:rPr>
        <w:t xml:space="preserve"> February, 2013, well within the prescribed time period.  Further, section 92C(1) provides:</w:t>
      </w:r>
    </w:p>
    <w:p w:rsidR="00EF44BB" w:rsidRDefault="00EF44BB" w:rsidP="00C378DB">
      <w:pPr>
        <w:spacing w:after="0" w:line="360" w:lineRule="auto"/>
        <w:jc w:val="both"/>
        <w:rPr>
          <w:rFonts w:ascii="Tahoma" w:hAnsi="Tahoma" w:cs="Tahoma"/>
          <w:sz w:val="26"/>
          <w:szCs w:val="26"/>
        </w:rPr>
      </w:pPr>
    </w:p>
    <w:p w:rsidR="00EF44BB" w:rsidRPr="00A01C9E" w:rsidRDefault="00EF44BB" w:rsidP="00EF44BB">
      <w:pPr>
        <w:spacing w:after="0" w:line="360" w:lineRule="auto"/>
        <w:ind w:left="720"/>
        <w:jc w:val="both"/>
        <w:rPr>
          <w:rFonts w:ascii="Times New Roman" w:hAnsi="Times New Roman" w:cs="Times New Roman"/>
          <w:i/>
          <w:sz w:val="24"/>
          <w:szCs w:val="24"/>
        </w:rPr>
      </w:pPr>
      <w:r w:rsidRPr="00A01C9E">
        <w:rPr>
          <w:rFonts w:ascii="Times New Roman" w:hAnsi="Times New Roman" w:cs="Times New Roman"/>
          <w:i/>
          <w:sz w:val="24"/>
          <w:szCs w:val="24"/>
        </w:rPr>
        <w:t>“(1)</w:t>
      </w:r>
      <w:r w:rsidRPr="00A01C9E">
        <w:rPr>
          <w:rFonts w:ascii="Times New Roman" w:hAnsi="Times New Roman" w:cs="Times New Roman"/>
          <w:i/>
          <w:sz w:val="24"/>
          <w:szCs w:val="24"/>
        </w:rPr>
        <w:tab/>
        <w:t>Subject to this section, the Labour Court may, on application, rescind or vary any determination or order –</w:t>
      </w:r>
    </w:p>
    <w:p w:rsidR="00EF44BB" w:rsidRPr="00A01C9E" w:rsidRDefault="00EF44BB" w:rsidP="00EF44BB">
      <w:pPr>
        <w:pStyle w:val="ListParagraph"/>
        <w:numPr>
          <w:ilvl w:val="0"/>
          <w:numId w:val="4"/>
        </w:numPr>
        <w:spacing w:after="0" w:line="360" w:lineRule="auto"/>
        <w:jc w:val="both"/>
        <w:rPr>
          <w:rFonts w:ascii="Times New Roman" w:hAnsi="Times New Roman" w:cs="Times New Roman"/>
          <w:i/>
          <w:sz w:val="24"/>
          <w:szCs w:val="24"/>
        </w:rPr>
      </w:pPr>
      <w:r w:rsidRPr="00A01C9E">
        <w:rPr>
          <w:rFonts w:ascii="Times New Roman" w:hAnsi="Times New Roman" w:cs="Times New Roman"/>
          <w:i/>
          <w:sz w:val="24"/>
          <w:szCs w:val="24"/>
        </w:rPr>
        <w:t>which it made</w:t>
      </w:r>
      <w:r w:rsidR="00A01C9E" w:rsidRPr="00A01C9E">
        <w:rPr>
          <w:rFonts w:ascii="Times New Roman" w:hAnsi="Times New Roman" w:cs="Times New Roman"/>
          <w:i/>
          <w:sz w:val="24"/>
          <w:szCs w:val="24"/>
        </w:rPr>
        <w:t xml:space="preserve"> in the absence of the party against whom it was made; or”</w:t>
      </w:r>
    </w:p>
    <w:p w:rsidR="008B1694" w:rsidRDefault="008B1694" w:rsidP="00C378DB">
      <w:pPr>
        <w:spacing w:after="0" w:line="360" w:lineRule="auto"/>
        <w:jc w:val="both"/>
        <w:rPr>
          <w:rFonts w:ascii="Tahoma" w:hAnsi="Tahoma" w:cs="Tahoma"/>
          <w:b/>
          <w:sz w:val="26"/>
          <w:szCs w:val="26"/>
        </w:rPr>
      </w:pPr>
    </w:p>
    <w:p w:rsidR="00A01C9E" w:rsidRDefault="00A01C9E" w:rsidP="00A01C9E">
      <w:pPr>
        <w:spacing w:after="0" w:line="360" w:lineRule="auto"/>
        <w:ind w:firstLine="720"/>
        <w:jc w:val="both"/>
        <w:rPr>
          <w:rFonts w:ascii="Tahoma" w:hAnsi="Tahoma" w:cs="Tahoma"/>
          <w:sz w:val="26"/>
          <w:szCs w:val="26"/>
        </w:rPr>
      </w:pPr>
      <w:r>
        <w:rPr>
          <w:rFonts w:ascii="Tahoma" w:hAnsi="Tahoma" w:cs="Tahoma"/>
          <w:sz w:val="26"/>
          <w:szCs w:val="26"/>
        </w:rPr>
        <w:t>The Court is of the view that the application is within the four corners of the statutory provisions.</w:t>
      </w:r>
    </w:p>
    <w:p w:rsidR="00A01C9E" w:rsidRDefault="00A01C9E" w:rsidP="00A01C9E">
      <w:pPr>
        <w:spacing w:after="0" w:line="360" w:lineRule="auto"/>
        <w:ind w:firstLine="720"/>
        <w:jc w:val="both"/>
        <w:rPr>
          <w:rFonts w:ascii="Tahoma" w:hAnsi="Tahoma" w:cs="Tahoma"/>
          <w:sz w:val="26"/>
          <w:szCs w:val="26"/>
        </w:rPr>
      </w:pPr>
    </w:p>
    <w:p w:rsidR="00A01C9E" w:rsidRDefault="00A01C9E" w:rsidP="00A01C9E">
      <w:pPr>
        <w:spacing w:after="0" w:line="360" w:lineRule="auto"/>
        <w:ind w:firstLine="720"/>
        <w:jc w:val="both"/>
        <w:rPr>
          <w:rFonts w:ascii="Tahoma" w:hAnsi="Tahoma" w:cs="Tahoma"/>
          <w:sz w:val="26"/>
          <w:szCs w:val="26"/>
        </w:rPr>
      </w:pPr>
      <w:r>
        <w:rPr>
          <w:rFonts w:ascii="Tahoma" w:hAnsi="Tahoma" w:cs="Tahoma"/>
          <w:sz w:val="26"/>
          <w:szCs w:val="26"/>
        </w:rPr>
        <w:t>It is trite that for applications of this nature to succeed there should be “</w:t>
      </w:r>
      <w:r w:rsidRPr="00A01C9E">
        <w:rPr>
          <w:rFonts w:ascii="Tahoma" w:hAnsi="Tahoma" w:cs="Tahoma"/>
          <w:i/>
          <w:sz w:val="26"/>
          <w:szCs w:val="26"/>
        </w:rPr>
        <w:t>good and sufficient cause</w:t>
      </w:r>
      <w:r>
        <w:rPr>
          <w:rFonts w:ascii="Tahoma" w:hAnsi="Tahoma" w:cs="Tahoma"/>
          <w:sz w:val="26"/>
          <w:szCs w:val="26"/>
        </w:rPr>
        <w:t>”.  The phrase “</w:t>
      </w:r>
      <w:r w:rsidRPr="00A01C9E">
        <w:rPr>
          <w:rFonts w:ascii="Tahoma" w:hAnsi="Tahoma" w:cs="Tahoma"/>
          <w:i/>
          <w:sz w:val="26"/>
          <w:szCs w:val="26"/>
        </w:rPr>
        <w:t>good and sufficient cause</w:t>
      </w:r>
      <w:r>
        <w:rPr>
          <w:rFonts w:ascii="Tahoma" w:hAnsi="Tahoma" w:cs="Tahoma"/>
          <w:sz w:val="26"/>
          <w:szCs w:val="26"/>
        </w:rPr>
        <w:t xml:space="preserve">” has been construed to mean that the applicant must: </w:t>
      </w:r>
    </w:p>
    <w:p w:rsidR="00A01C9E" w:rsidRDefault="00A01C9E" w:rsidP="00A01C9E">
      <w:pPr>
        <w:spacing w:after="0" w:line="360" w:lineRule="auto"/>
        <w:ind w:firstLine="720"/>
        <w:jc w:val="both"/>
        <w:rPr>
          <w:rFonts w:ascii="Tahoma" w:hAnsi="Tahoma" w:cs="Tahoma"/>
          <w:sz w:val="26"/>
          <w:szCs w:val="26"/>
        </w:rPr>
      </w:pPr>
    </w:p>
    <w:p w:rsidR="00A01C9E" w:rsidRDefault="00A01C9E" w:rsidP="00A01C9E">
      <w:pPr>
        <w:pStyle w:val="ListParagraph"/>
        <w:numPr>
          <w:ilvl w:val="0"/>
          <w:numId w:val="5"/>
        </w:numPr>
        <w:spacing w:after="0" w:line="360" w:lineRule="auto"/>
        <w:jc w:val="both"/>
        <w:rPr>
          <w:rFonts w:ascii="Tahoma" w:hAnsi="Tahoma" w:cs="Tahoma"/>
          <w:sz w:val="26"/>
          <w:szCs w:val="26"/>
        </w:rPr>
      </w:pPr>
      <w:r>
        <w:rPr>
          <w:rFonts w:ascii="Tahoma" w:hAnsi="Tahoma" w:cs="Tahoma"/>
          <w:sz w:val="26"/>
          <w:szCs w:val="26"/>
        </w:rPr>
        <w:t>give a reasonable and acceptable explanation for his/her default.</w:t>
      </w:r>
    </w:p>
    <w:p w:rsidR="00A01C9E" w:rsidRDefault="006A0D33" w:rsidP="00A01C9E">
      <w:pPr>
        <w:pStyle w:val="ListParagraph"/>
        <w:numPr>
          <w:ilvl w:val="0"/>
          <w:numId w:val="5"/>
        </w:numPr>
        <w:spacing w:after="0" w:line="360" w:lineRule="auto"/>
        <w:jc w:val="both"/>
        <w:rPr>
          <w:rFonts w:ascii="Tahoma" w:hAnsi="Tahoma" w:cs="Tahoma"/>
          <w:sz w:val="26"/>
          <w:szCs w:val="26"/>
        </w:rPr>
      </w:pPr>
      <w:r>
        <w:rPr>
          <w:rFonts w:ascii="Tahoma" w:hAnsi="Tahoma" w:cs="Tahoma"/>
          <w:sz w:val="26"/>
          <w:szCs w:val="26"/>
        </w:rPr>
        <w:t>p</w:t>
      </w:r>
      <w:r w:rsidR="00A01C9E">
        <w:rPr>
          <w:rFonts w:ascii="Tahoma" w:hAnsi="Tahoma" w:cs="Tahoma"/>
          <w:sz w:val="26"/>
          <w:szCs w:val="26"/>
        </w:rPr>
        <w:t xml:space="preserve">rove that the application for rescission is </w:t>
      </w:r>
      <w:r w:rsidR="00A01C9E">
        <w:rPr>
          <w:rFonts w:ascii="Tahoma" w:hAnsi="Tahoma" w:cs="Tahoma"/>
          <w:i/>
          <w:sz w:val="26"/>
          <w:szCs w:val="26"/>
        </w:rPr>
        <w:t xml:space="preserve">bona fide </w:t>
      </w:r>
      <w:r w:rsidR="00A01C9E">
        <w:rPr>
          <w:rFonts w:ascii="Tahoma" w:hAnsi="Tahoma" w:cs="Tahoma"/>
          <w:sz w:val="26"/>
          <w:szCs w:val="26"/>
        </w:rPr>
        <w:t>and not made with intention of merely delaying plaintiff’s claim”, and</w:t>
      </w:r>
    </w:p>
    <w:p w:rsidR="006A0D33" w:rsidRDefault="006A0D33" w:rsidP="00A01C9E">
      <w:pPr>
        <w:pStyle w:val="ListParagraph"/>
        <w:numPr>
          <w:ilvl w:val="0"/>
          <w:numId w:val="5"/>
        </w:numPr>
        <w:spacing w:after="0" w:line="360" w:lineRule="auto"/>
        <w:jc w:val="both"/>
        <w:rPr>
          <w:rFonts w:ascii="Tahoma" w:hAnsi="Tahoma" w:cs="Tahoma"/>
          <w:sz w:val="26"/>
          <w:szCs w:val="26"/>
        </w:rPr>
      </w:pPr>
      <w:r>
        <w:rPr>
          <w:rFonts w:ascii="Tahoma" w:hAnsi="Tahoma" w:cs="Tahoma"/>
          <w:sz w:val="26"/>
          <w:szCs w:val="26"/>
        </w:rPr>
        <w:t xml:space="preserve">show that he/she has a </w:t>
      </w:r>
      <w:r>
        <w:rPr>
          <w:rFonts w:ascii="Tahoma" w:hAnsi="Tahoma" w:cs="Tahoma"/>
          <w:i/>
          <w:sz w:val="26"/>
          <w:szCs w:val="26"/>
        </w:rPr>
        <w:t xml:space="preserve">bona fide </w:t>
      </w:r>
      <w:r w:rsidRPr="006A0D33">
        <w:rPr>
          <w:rFonts w:ascii="Tahoma" w:hAnsi="Tahoma" w:cs="Tahoma"/>
          <w:sz w:val="26"/>
          <w:szCs w:val="26"/>
        </w:rPr>
        <w:t xml:space="preserve">defence to Plaintiff’s claim (See </w:t>
      </w:r>
      <w:r>
        <w:rPr>
          <w:rFonts w:ascii="Tahoma" w:hAnsi="Tahoma" w:cs="Tahoma"/>
          <w:b/>
          <w:sz w:val="26"/>
          <w:szCs w:val="26"/>
        </w:rPr>
        <w:t>Songore V Olivine Industries (Pvt) Ltd 1988 (2) ZLR 610)</w:t>
      </w:r>
      <w:r>
        <w:rPr>
          <w:rFonts w:ascii="Tahoma" w:hAnsi="Tahoma" w:cs="Tahoma"/>
          <w:sz w:val="26"/>
          <w:szCs w:val="26"/>
        </w:rPr>
        <w:t>.</w:t>
      </w:r>
    </w:p>
    <w:p w:rsidR="006A0D33" w:rsidRDefault="006A0D33" w:rsidP="006A0D33">
      <w:pPr>
        <w:spacing w:after="0" w:line="360" w:lineRule="auto"/>
        <w:ind w:left="720"/>
        <w:jc w:val="both"/>
        <w:rPr>
          <w:rFonts w:ascii="Tahoma" w:hAnsi="Tahoma" w:cs="Tahoma"/>
          <w:sz w:val="26"/>
          <w:szCs w:val="26"/>
        </w:rPr>
      </w:pPr>
    </w:p>
    <w:p w:rsidR="006A0D33" w:rsidRDefault="006A0D33" w:rsidP="006A0D33">
      <w:pPr>
        <w:spacing w:after="0" w:line="360" w:lineRule="auto"/>
        <w:ind w:firstLine="720"/>
        <w:jc w:val="both"/>
        <w:rPr>
          <w:rFonts w:ascii="Tahoma" w:hAnsi="Tahoma" w:cs="Tahoma"/>
          <w:sz w:val="26"/>
          <w:szCs w:val="26"/>
        </w:rPr>
      </w:pPr>
      <w:r>
        <w:rPr>
          <w:rFonts w:ascii="Tahoma" w:hAnsi="Tahoma" w:cs="Tahoma"/>
          <w:sz w:val="26"/>
          <w:szCs w:val="26"/>
        </w:rPr>
        <w:t xml:space="preserve">The Applicants have submitted that their non-attendance at Court on 28 January, 2013 was not wilful in that they were not served.  Indeed there is no proof of service to show that they were aware of the hearing date.  To that end, the Court finds that their explanation for the default is reasonable and therefore acceptable.  The next rung to be considered is whether the application is </w:t>
      </w:r>
      <w:r>
        <w:rPr>
          <w:rFonts w:ascii="Tahoma" w:hAnsi="Tahoma" w:cs="Tahoma"/>
          <w:i/>
          <w:sz w:val="26"/>
          <w:szCs w:val="26"/>
        </w:rPr>
        <w:t xml:space="preserve">bona fide </w:t>
      </w:r>
      <w:r>
        <w:rPr>
          <w:rFonts w:ascii="Tahoma" w:hAnsi="Tahoma" w:cs="Tahoma"/>
          <w:sz w:val="26"/>
          <w:szCs w:val="26"/>
        </w:rPr>
        <w:t xml:space="preserve">and not made merely to delay the claim.  Applicants </w:t>
      </w:r>
      <w:r>
        <w:rPr>
          <w:rFonts w:ascii="Tahoma" w:hAnsi="Tahoma" w:cs="Tahoma"/>
          <w:sz w:val="26"/>
          <w:szCs w:val="26"/>
        </w:rPr>
        <w:lastRenderedPageBreak/>
        <w:t xml:space="preserve">have submitted that the Arbitrator found in </w:t>
      </w:r>
      <w:r w:rsidR="00FF1A74">
        <w:rPr>
          <w:rFonts w:ascii="Tahoma" w:hAnsi="Tahoma" w:cs="Tahoma"/>
          <w:sz w:val="26"/>
          <w:szCs w:val="26"/>
        </w:rPr>
        <w:t xml:space="preserve">their favour in the previous hearing and they are hopeful that, the appeal in the matter will confirm the Arbitrator’s findings.  Applicants stated that the evidence in the form of documentary evidence from the Secretary for Health and Child Welfare shows that they have a good argument to present to the Appeal Court.  This Court is of the view that Applicants have an arguable case on appeal.  It will not be necessary to consider the last aspect as to whether they have a </w:t>
      </w:r>
      <w:r w:rsidR="00FF1A74" w:rsidRPr="00FF1A74">
        <w:rPr>
          <w:rFonts w:ascii="Tahoma" w:hAnsi="Tahoma" w:cs="Tahoma"/>
          <w:i/>
          <w:sz w:val="26"/>
          <w:szCs w:val="26"/>
        </w:rPr>
        <w:t>bona</w:t>
      </w:r>
      <w:r w:rsidR="00FF1A74">
        <w:rPr>
          <w:rFonts w:ascii="Tahoma" w:hAnsi="Tahoma" w:cs="Tahoma"/>
          <w:i/>
          <w:sz w:val="26"/>
          <w:szCs w:val="26"/>
        </w:rPr>
        <w:t xml:space="preserve"> fide</w:t>
      </w:r>
      <w:r w:rsidR="00FF1A74">
        <w:rPr>
          <w:rFonts w:ascii="Tahoma" w:hAnsi="Tahoma" w:cs="Tahoma"/>
          <w:sz w:val="26"/>
          <w:szCs w:val="26"/>
        </w:rPr>
        <w:t xml:space="preserve"> defence to the claim. </w:t>
      </w:r>
    </w:p>
    <w:p w:rsidR="00FF1A74" w:rsidRDefault="00FF1A74" w:rsidP="006A0D33">
      <w:pPr>
        <w:spacing w:after="0" w:line="360" w:lineRule="auto"/>
        <w:ind w:firstLine="720"/>
        <w:jc w:val="both"/>
        <w:rPr>
          <w:rFonts w:ascii="Tahoma" w:hAnsi="Tahoma" w:cs="Tahoma"/>
          <w:sz w:val="26"/>
          <w:szCs w:val="26"/>
        </w:rPr>
      </w:pPr>
    </w:p>
    <w:p w:rsidR="00FF1A74" w:rsidRDefault="00FF1A74" w:rsidP="006A0D33">
      <w:pPr>
        <w:spacing w:after="0" w:line="360" w:lineRule="auto"/>
        <w:ind w:firstLine="720"/>
        <w:jc w:val="both"/>
        <w:rPr>
          <w:rFonts w:ascii="Tahoma" w:hAnsi="Tahoma" w:cs="Tahoma"/>
          <w:sz w:val="26"/>
          <w:szCs w:val="26"/>
        </w:rPr>
      </w:pPr>
      <w:r>
        <w:rPr>
          <w:rFonts w:ascii="Tahoma" w:hAnsi="Tahoma" w:cs="Tahoma"/>
          <w:sz w:val="26"/>
          <w:szCs w:val="26"/>
        </w:rPr>
        <w:t xml:space="preserve">The last issue to deal with is the submission by Respondent that the matter was heard on the merits.  This Court has gone through the record and the following is what it reflects: </w:t>
      </w:r>
    </w:p>
    <w:p w:rsidR="00FF1A74" w:rsidRDefault="00FF1A74" w:rsidP="006A0D33">
      <w:pPr>
        <w:spacing w:after="0" w:line="360" w:lineRule="auto"/>
        <w:ind w:firstLine="720"/>
        <w:jc w:val="both"/>
        <w:rPr>
          <w:rFonts w:ascii="Tahoma" w:hAnsi="Tahoma" w:cs="Tahoma"/>
          <w:sz w:val="26"/>
          <w:szCs w:val="26"/>
        </w:rPr>
      </w:pPr>
    </w:p>
    <w:p w:rsidR="00FF1A74" w:rsidRPr="00FF1A74" w:rsidRDefault="00FF1A74" w:rsidP="006A0D33">
      <w:pPr>
        <w:spacing w:after="0" w:line="360" w:lineRule="auto"/>
        <w:ind w:firstLine="720"/>
        <w:jc w:val="both"/>
        <w:rPr>
          <w:rFonts w:ascii="Times New Roman" w:hAnsi="Times New Roman" w:cs="Times New Roman"/>
          <w:i/>
          <w:sz w:val="24"/>
          <w:szCs w:val="24"/>
        </w:rPr>
      </w:pPr>
      <w:r>
        <w:rPr>
          <w:rFonts w:ascii="Tahoma" w:hAnsi="Tahoma" w:cs="Tahoma"/>
          <w:i/>
          <w:sz w:val="26"/>
          <w:szCs w:val="26"/>
        </w:rPr>
        <w:t>“</w:t>
      </w:r>
      <w:r w:rsidRPr="00FF1A74">
        <w:rPr>
          <w:rFonts w:ascii="Times New Roman" w:hAnsi="Times New Roman" w:cs="Times New Roman"/>
          <w:i/>
          <w:sz w:val="24"/>
          <w:szCs w:val="24"/>
        </w:rPr>
        <w:t>Mr. Muchadehama:</w:t>
      </w:r>
    </w:p>
    <w:p w:rsidR="00FF1A74" w:rsidRPr="00FF1A74" w:rsidRDefault="00FF1A74" w:rsidP="00FF1A74">
      <w:pPr>
        <w:spacing w:after="0" w:line="360" w:lineRule="auto"/>
        <w:ind w:left="720"/>
        <w:jc w:val="both"/>
        <w:rPr>
          <w:rFonts w:ascii="Times New Roman" w:hAnsi="Times New Roman" w:cs="Times New Roman"/>
          <w:i/>
          <w:sz w:val="24"/>
          <w:szCs w:val="24"/>
        </w:rPr>
      </w:pPr>
      <w:r w:rsidRPr="00FF1A74">
        <w:rPr>
          <w:rFonts w:ascii="Times New Roman" w:hAnsi="Times New Roman" w:cs="Times New Roman"/>
          <w:i/>
          <w:sz w:val="24"/>
          <w:szCs w:val="24"/>
        </w:rPr>
        <w:t>Apply for appeal to be allowed with costs.  Filed Heads of Argument.  They are in default.</w:t>
      </w:r>
    </w:p>
    <w:p w:rsidR="00FF1A74" w:rsidRPr="00FF1A74" w:rsidRDefault="00FF1A74" w:rsidP="00FF1A74">
      <w:pPr>
        <w:spacing w:after="0" w:line="360" w:lineRule="auto"/>
        <w:ind w:left="720"/>
        <w:jc w:val="both"/>
        <w:rPr>
          <w:rFonts w:ascii="Times New Roman" w:hAnsi="Times New Roman" w:cs="Times New Roman"/>
          <w:i/>
          <w:sz w:val="24"/>
          <w:szCs w:val="24"/>
        </w:rPr>
      </w:pPr>
    </w:p>
    <w:p w:rsidR="00FF1A74" w:rsidRPr="00FF1A74" w:rsidRDefault="00FF1A74" w:rsidP="00FF1A74">
      <w:pPr>
        <w:spacing w:after="0" w:line="360" w:lineRule="auto"/>
        <w:ind w:left="720"/>
        <w:jc w:val="both"/>
        <w:rPr>
          <w:rFonts w:ascii="Times New Roman" w:hAnsi="Times New Roman" w:cs="Times New Roman"/>
          <w:i/>
          <w:sz w:val="24"/>
          <w:szCs w:val="24"/>
        </w:rPr>
      </w:pPr>
      <w:r w:rsidRPr="00FF1A74">
        <w:rPr>
          <w:rFonts w:ascii="Times New Roman" w:hAnsi="Times New Roman" w:cs="Times New Roman"/>
          <w:i/>
          <w:sz w:val="24"/>
          <w:szCs w:val="24"/>
        </w:rPr>
        <w:t>Merits – our appeal has merits appeal (should) be allowed on merits.”</w:t>
      </w:r>
    </w:p>
    <w:p w:rsidR="00FF1A74" w:rsidRPr="00FF1A74" w:rsidRDefault="00FF1A74" w:rsidP="00FF1A74">
      <w:pPr>
        <w:spacing w:after="0" w:line="360" w:lineRule="auto"/>
        <w:ind w:left="720"/>
        <w:jc w:val="both"/>
        <w:rPr>
          <w:rFonts w:ascii="Times New Roman" w:hAnsi="Times New Roman" w:cs="Times New Roman"/>
          <w:i/>
          <w:sz w:val="24"/>
          <w:szCs w:val="24"/>
        </w:rPr>
      </w:pPr>
    </w:p>
    <w:p w:rsidR="00FF1A74" w:rsidRPr="00FF1A74" w:rsidRDefault="00FF1A74" w:rsidP="00FF1A74">
      <w:pPr>
        <w:spacing w:after="0" w:line="360" w:lineRule="auto"/>
        <w:ind w:left="720"/>
        <w:jc w:val="both"/>
        <w:rPr>
          <w:rFonts w:ascii="Times New Roman" w:hAnsi="Times New Roman" w:cs="Times New Roman"/>
          <w:i/>
          <w:sz w:val="24"/>
          <w:szCs w:val="24"/>
        </w:rPr>
      </w:pPr>
      <w:r w:rsidRPr="00FF1A74">
        <w:rPr>
          <w:rFonts w:ascii="Times New Roman" w:hAnsi="Times New Roman" w:cs="Times New Roman"/>
          <w:i/>
          <w:sz w:val="24"/>
          <w:szCs w:val="24"/>
        </w:rPr>
        <w:t>Court:</w:t>
      </w:r>
    </w:p>
    <w:p w:rsidR="00FF1A74" w:rsidRPr="00FF1A74" w:rsidRDefault="00FF1A74" w:rsidP="00FF1A74">
      <w:pPr>
        <w:spacing w:after="0" w:line="360" w:lineRule="auto"/>
        <w:ind w:left="720"/>
        <w:jc w:val="both"/>
        <w:rPr>
          <w:rFonts w:ascii="Times New Roman" w:hAnsi="Times New Roman" w:cs="Times New Roman"/>
          <w:i/>
          <w:sz w:val="24"/>
          <w:szCs w:val="24"/>
        </w:rPr>
      </w:pPr>
      <w:r w:rsidRPr="00FF1A74">
        <w:rPr>
          <w:rFonts w:ascii="Times New Roman" w:hAnsi="Times New Roman" w:cs="Times New Roman"/>
          <w:i/>
          <w:sz w:val="24"/>
          <w:szCs w:val="24"/>
        </w:rPr>
        <w:t>“Respondent in default.  Appeal be and is hereby allowed with costs.”</w:t>
      </w:r>
    </w:p>
    <w:p w:rsidR="008B1694" w:rsidRPr="00FF1A74" w:rsidRDefault="008B1694" w:rsidP="00C378DB">
      <w:pPr>
        <w:spacing w:after="0" w:line="360" w:lineRule="auto"/>
        <w:jc w:val="both"/>
        <w:rPr>
          <w:rFonts w:ascii="Tahoma" w:hAnsi="Tahoma" w:cs="Tahoma"/>
          <w:sz w:val="26"/>
          <w:szCs w:val="26"/>
        </w:rPr>
      </w:pPr>
    </w:p>
    <w:p w:rsidR="008B1694" w:rsidRDefault="00FF1A74" w:rsidP="00C378DB">
      <w:pPr>
        <w:spacing w:after="0" w:line="360" w:lineRule="auto"/>
        <w:jc w:val="both"/>
        <w:rPr>
          <w:rFonts w:ascii="Tahoma" w:hAnsi="Tahoma" w:cs="Tahoma"/>
          <w:sz w:val="26"/>
          <w:szCs w:val="26"/>
        </w:rPr>
      </w:pPr>
      <w:r w:rsidRPr="00FF1A74">
        <w:rPr>
          <w:rFonts w:ascii="Tahoma" w:hAnsi="Tahoma" w:cs="Tahoma"/>
          <w:sz w:val="26"/>
          <w:szCs w:val="26"/>
        </w:rPr>
        <w:tab/>
        <w:t>This is what transpired on 28</w:t>
      </w:r>
      <w:r w:rsidRPr="00FF1A74">
        <w:rPr>
          <w:rFonts w:ascii="Tahoma" w:hAnsi="Tahoma" w:cs="Tahoma"/>
          <w:sz w:val="26"/>
          <w:szCs w:val="26"/>
          <w:vertAlign w:val="superscript"/>
        </w:rPr>
        <w:t>th</w:t>
      </w:r>
      <w:r w:rsidRPr="00FF1A74">
        <w:rPr>
          <w:rFonts w:ascii="Tahoma" w:hAnsi="Tahoma" w:cs="Tahoma"/>
          <w:sz w:val="26"/>
          <w:szCs w:val="26"/>
        </w:rPr>
        <w:t xml:space="preserve"> January, 2013</w:t>
      </w:r>
      <w:r>
        <w:rPr>
          <w:rFonts w:ascii="Tahoma" w:hAnsi="Tahoma" w:cs="Tahoma"/>
          <w:sz w:val="26"/>
          <w:szCs w:val="26"/>
        </w:rPr>
        <w:t>.  The record does not support the submission that the matter was dealt with on the merits.  It is the Court’s view that the judgment by the Court on 28</w:t>
      </w:r>
      <w:r w:rsidRPr="00FF1A74">
        <w:rPr>
          <w:rFonts w:ascii="Tahoma" w:hAnsi="Tahoma" w:cs="Tahoma"/>
          <w:sz w:val="26"/>
          <w:szCs w:val="26"/>
          <w:vertAlign w:val="superscript"/>
        </w:rPr>
        <w:t>th</w:t>
      </w:r>
      <w:r>
        <w:rPr>
          <w:rFonts w:ascii="Tahoma" w:hAnsi="Tahoma" w:cs="Tahoma"/>
          <w:sz w:val="26"/>
          <w:szCs w:val="26"/>
        </w:rPr>
        <w:t xml:space="preserve"> January, 2013 was not on the merits as submitted by Respondent. </w:t>
      </w:r>
    </w:p>
    <w:p w:rsidR="00FF1A74" w:rsidRDefault="00FF1A74" w:rsidP="00C378DB">
      <w:pPr>
        <w:spacing w:after="0" w:line="360" w:lineRule="auto"/>
        <w:jc w:val="both"/>
        <w:rPr>
          <w:rFonts w:ascii="Tahoma" w:hAnsi="Tahoma" w:cs="Tahoma"/>
          <w:sz w:val="26"/>
          <w:szCs w:val="26"/>
        </w:rPr>
      </w:pPr>
    </w:p>
    <w:p w:rsidR="00FF1A74" w:rsidRDefault="00FF1A74" w:rsidP="00C378DB">
      <w:pPr>
        <w:spacing w:after="0" w:line="360" w:lineRule="auto"/>
        <w:jc w:val="both"/>
        <w:rPr>
          <w:rFonts w:ascii="Tahoma" w:hAnsi="Tahoma" w:cs="Tahoma"/>
          <w:sz w:val="26"/>
          <w:szCs w:val="26"/>
        </w:rPr>
      </w:pPr>
      <w:r>
        <w:rPr>
          <w:rFonts w:ascii="Tahoma" w:hAnsi="Tahoma" w:cs="Tahoma"/>
          <w:sz w:val="26"/>
          <w:szCs w:val="26"/>
        </w:rPr>
        <w:tab/>
        <w:t xml:space="preserve">The Court, after having considered the submissions of both the parties wishes to refer to the words of McNally JA in the </w:t>
      </w:r>
      <w:r w:rsidR="0062760B">
        <w:rPr>
          <w:rFonts w:ascii="Tahoma" w:hAnsi="Tahoma" w:cs="Tahoma"/>
          <w:b/>
          <w:sz w:val="26"/>
          <w:szCs w:val="26"/>
        </w:rPr>
        <w:t>SONGORE CASE (s</w:t>
      </w:r>
      <w:r>
        <w:rPr>
          <w:rFonts w:ascii="Tahoma" w:hAnsi="Tahoma" w:cs="Tahoma"/>
          <w:b/>
          <w:sz w:val="26"/>
          <w:szCs w:val="26"/>
        </w:rPr>
        <w:t>upra)</w:t>
      </w:r>
      <w:r w:rsidR="0062760B">
        <w:rPr>
          <w:rFonts w:ascii="Tahoma" w:hAnsi="Tahoma" w:cs="Tahoma"/>
          <w:sz w:val="26"/>
          <w:szCs w:val="26"/>
        </w:rPr>
        <w:t xml:space="preserve"> where he stated:</w:t>
      </w:r>
    </w:p>
    <w:p w:rsidR="0062760B" w:rsidRDefault="0062760B" w:rsidP="00C378DB">
      <w:pPr>
        <w:spacing w:after="0" w:line="360" w:lineRule="auto"/>
        <w:jc w:val="both"/>
        <w:rPr>
          <w:rFonts w:ascii="Tahoma" w:hAnsi="Tahoma" w:cs="Tahoma"/>
          <w:sz w:val="26"/>
          <w:szCs w:val="26"/>
        </w:rPr>
      </w:pPr>
    </w:p>
    <w:p w:rsidR="0062760B" w:rsidRPr="000646B0" w:rsidRDefault="0062760B" w:rsidP="0062760B">
      <w:pPr>
        <w:spacing w:after="0" w:line="360" w:lineRule="auto"/>
        <w:ind w:left="720"/>
        <w:jc w:val="both"/>
        <w:rPr>
          <w:rFonts w:ascii="Times New Roman" w:hAnsi="Times New Roman" w:cs="Times New Roman"/>
          <w:sz w:val="24"/>
          <w:szCs w:val="24"/>
        </w:rPr>
      </w:pPr>
      <w:r w:rsidRPr="000646B0">
        <w:rPr>
          <w:rFonts w:ascii="Times New Roman" w:hAnsi="Times New Roman" w:cs="Times New Roman"/>
          <w:i/>
          <w:sz w:val="24"/>
          <w:szCs w:val="24"/>
        </w:rPr>
        <w:t xml:space="preserve">“While the courts are inclined to frown on plaintiffs who ‘snatch at their judgments’ the impression must not be gained that the Rules may be flouted with impunity and that as long as you only a day or two late rescission will be granted on request.  A reason for the delay must be given and it must be an acceptable reason.  A defendant who admits that he was negligent in his tardiness may nonetheless be found to merit rescission if he shows </w:t>
      </w:r>
      <w:r w:rsidRPr="000646B0">
        <w:rPr>
          <w:rFonts w:ascii="Times New Roman" w:hAnsi="Times New Roman" w:cs="Times New Roman"/>
          <w:i/>
          <w:sz w:val="24"/>
          <w:szCs w:val="24"/>
          <w:u w:val="single"/>
        </w:rPr>
        <w:t>bona fides</w:t>
      </w:r>
      <w:r w:rsidRPr="000646B0">
        <w:rPr>
          <w:rFonts w:ascii="Times New Roman" w:hAnsi="Times New Roman" w:cs="Times New Roman"/>
          <w:i/>
          <w:sz w:val="24"/>
          <w:szCs w:val="24"/>
        </w:rPr>
        <w:t xml:space="preserve">.  But one who puts forward ‘a reason’ </w:t>
      </w:r>
      <w:r w:rsidR="000646B0" w:rsidRPr="000646B0">
        <w:rPr>
          <w:rFonts w:ascii="Times New Roman" w:hAnsi="Times New Roman" w:cs="Times New Roman"/>
          <w:i/>
          <w:sz w:val="24"/>
          <w:szCs w:val="24"/>
        </w:rPr>
        <w:t>which, is an insult to the intelligence of the Court may have more difficulty in satisfying the court of his good faith.”</w:t>
      </w:r>
    </w:p>
    <w:p w:rsidR="00C378DB" w:rsidRDefault="00C378DB" w:rsidP="00C378DB">
      <w:pPr>
        <w:spacing w:after="0" w:line="360" w:lineRule="auto"/>
        <w:jc w:val="both"/>
        <w:rPr>
          <w:rFonts w:ascii="Tahoma" w:hAnsi="Tahoma" w:cs="Tahoma"/>
          <w:b/>
          <w:sz w:val="26"/>
          <w:szCs w:val="26"/>
        </w:rPr>
      </w:pPr>
    </w:p>
    <w:p w:rsidR="00FF1A74" w:rsidRDefault="000646B0" w:rsidP="00C378DB">
      <w:pPr>
        <w:spacing w:after="0" w:line="360" w:lineRule="auto"/>
        <w:jc w:val="both"/>
        <w:rPr>
          <w:rFonts w:ascii="Tahoma" w:hAnsi="Tahoma" w:cs="Tahoma"/>
          <w:sz w:val="26"/>
          <w:szCs w:val="26"/>
        </w:rPr>
      </w:pPr>
      <w:r>
        <w:rPr>
          <w:rFonts w:ascii="Tahoma" w:hAnsi="Tahoma" w:cs="Tahoma"/>
          <w:b/>
          <w:sz w:val="26"/>
          <w:szCs w:val="26"/>
        </w:rPr>
        <w:tab/>
      </w:r>
      <w:r w:rsidRPr="000646B0">
        <w:rPr>
          <w:rFonts w:ascii="Tahoma" w:hAnsi="Tahoma" w:cs="Tahoma"/>
          <w:sz w:val="26"/>
          <w:szCs w:val="26"/>
        </w:rPr>
        <w:t>The Court is of the view that Applicants have shown on a balance of probabilities that they were not in wilful default and have a fairly arguable case.</w:t>
      </w:r>
    </w:p>
    <w:p w:rsidR="000646B0" w:rsidRDefault="000646B0" w:rsidP="00C378DB">
      <w:pPr>
        <w:spacing w:after="0" w:line="360" w:lineRule="auto"/>
        <w:jc w:val="both"/>
        <w:rPr>
          <w:rFonts w:ascii="Tahoma" w:hAnsi="Tahoma" w:cs="Tahoma"/>
          <w:sz w:val="26"/>
          <w:szCs w:val="26"/>
        </w:rPr>
      </w:pPr>
    </w:p>
    <w:p w:rsidR="000646B0" w:rsidRDefault="000646B0" w:rsidP="00C378DB">
      <w:pPr>
        <w:spacing w:after="0" w:line="360" w:lineRule="auto"/>
        <w:jc w:val="both"/>
        <w:rPr>
          <w:rFonts w:ascii="Tahoma" w:hAnsi="Tahoma" w:cs="Tahoma"/>
          <w:sz w:val="26"/>
          <w:szCs w:val="26"/>
        </w:rPr>
      </w:pPr>
      <w:r>
        <w:rPr>
          <w:rFonts w:ascii="Tahoma" w:hAnsi="Tahoma" w:cs="Tahoma"/>
          <w:sz w:val="26"/>
          <w:szCs w:val="26"/>
        </w:rPr>
        <w:tab/>
        <w:t>In the result, the Court find that the application for rescission of judgment has merit and should be granted.  The Court makes the following order:</w:t>
      </w:r>
    </w:p>
    <w:p w:rsidR="000646B0" w:rsidRDefault="000646B0" w:rsidP="00C378DB">
      <w:pPr>
        <w:spacing w:after="0" w:line="360" w:lineRule="auto"/>
        <w:jc w:val="both"/>
        <w:rPr>
          <w:rFonts w:ascii="Tahoma" w:hAnsi="Tahoma" w:cs="Tahoma"/>
          <w:sz w:val="26"/>
          <w:szCs w:val="26"/>
        </w:rPr>
      </w:pPr>
    </w:p>
    <w:p w:rsidR="000646B0" w:rsidRDefault="000646B0" w:rsidP="000646B0">
      <w:pPr>
        <w:pStyle w:val="ListParagraph"/>
        <w:numPr>
          <w:ilvl w:val="0"/>
          <w:numId w:val="6"/>
        </w:numPr>
        <w:spacing w:after="0" w:line="360" w:lineRule="auto"/>
        <w:jc w:val="both"/>
        <w:rPr>
          <w:rFonts w:ascii="Tahoma" w:hAnsi="Tahoma" w:cs="Tahoma"/>
          <w:sz w:val="26"/>
          <w:szCs w:val="26"/>
        </w:rPr>
      </w:pPr>
      <w:r>
        <w:rPr>
          <w:rFonts w:ascii="Tahoma" w:hAnsi="Tahoma" w:cs="Tahoma"/>
          <w:sz w:val="26"/>
          <w:szCs w:val="26"/>
        </w:rPr>
        <w:t xml:space="preserve">Application for rescission of judgment of 28 January, 2013 is granted. </w:t>
      </w:r>
    </w:p>
    <w:p w:rsidR="000646B0" w:rsidRDefault="000646B0" w:rsidP="000646B0">
      <w:pPr>
        <w:pStyle w:val="ListParagraph"/>
        <w:numPr>
          <w:ilvl w:val="0"/>
          <w:numId w:val="6"/>
        </w:numPr>
        <w:spacing w:after="0" w:line="360" w:lineRule="auto"/>
        <w:jc w:val="both"/>
        <w:rPr>
          <w:rFonts w:ascii="Tahoma" w:hAnsi="Tahoma" w:cs="Tahoma"/>
          <w:sz w:val="26"/>
          <w:szCs w:val="26"/>
        </w:rPr>
      </w:pPr>
      <w:r>
        <w:rPr>
          <w:rFonts w:ascii="Tahoma" w:hAnsi="Tahoma" w:cs="Tahoma"/>
          <w:sz w:val="26"/>
          <w:szCs w:val="26"/>
        </w:rPr>
        <w:t xml:space="preserve">The Registrar is ordered </w:t>
      </w:r>
      <w:r w:rsidR="00203E95">
        <w:rPr>
          <w:rFonts w:ascii="Tahoma" w:hAnsi="Tahoma" w:cs="Tahoma"/>
          <w:sz w:val="26"/>
          <w:szCs w:val="26"/>
        </w:rPr>
        <w:t>to re-se</w:t>
      </w:r>
      <w:r>
        <w:rPr>
          <w:rFonts w:ascii="Tahoma" w:hAnsi="Tahoma" w:cs="Tahoma"/>
          <w:sz w:val="26"/>
          <w:szCs w:val="26"/>
        </w:rPr>
        <w:t>t a date for the hearing of the appeal.</w:t>
      </w:r>
    </w:p>
    <w:p w:rsidR="000646B0" w:rsidRPr="000646B0" w:rsidRDefault="000646B0" w:rsidP="000646B0">
      <w:pPr>
        <w:pStyle w:val="ListParagraph"/>
        <w:numPr>
          <w:ilvl w:val="0"/>
          <w:numId w:val="6"/>
        </w:numPr>
        <w:spacing w:after="0" w:line="360" w:lineRule="auto"/>
        <w:jc w:val="both"/>
        <w:rPr>
          <w:rFonts w:ascii="Tahoma" w:hAnsi="Tahoma" w:cs="Tahoma"/>
          <w:sz w:val="26"/>
          <w:szCs w:val="26"/>
        </w:rPr>
      </w:pPr>
      <w:r>
        <w:rPr>
          <w:rFonts w:ascii="Tahoma" w:hAnsi="Tahoma" w:cs="Tahoma"/>
          <w:sz w:val="26"/>
          <w:szCs w:val="26"/>
        </w:rPr>
        <w:t xml:space="preserve">There is no order as to costs. </w:t>
      </w:r>
    </w:p>
    <w:p w:rsidR="00FF1A74" w:rsidRDefault="00FF1A74" w:rsidP="00C378DB">
      <w:pPr>
        <w:spacing w:after="0" w:line="360" w:lineRule="auto"/>
        <w:jc w:val="both"/>
        <w:rPr>
          <w:rFonts w:ascii="Tahoma" w:hAnsi="Tahoma" w:cs="Tahoma"/>
          <w:b/>
          <w:sz w:val="26"/>
          <w:szCs w:val="26"/>
        </w:rPr>
      </w:pPr>
    </w:p>
    <w:p w:rsidR="000646B0" w:rsidRDefault="000646B0" w:rsidP="00C378DB">
      <w:pPr>
        <w:spacing w:after="0" w:line="360" w:lineRule="auto"/>
        <w:jc w:val="both"/>
        <w:rPr>
          <w:rFonts w:ascii="Tahoma" w:hAnsi="Tahoma" w:cs="Tahoma"/>
          <w:b/>
          <w:sz w:val="26"/>
          <w:szCs w:val="26"/>
        </w:rPr>
      </w:pPr>
    </w:p>
    <w:p w:rsidR="00C378DB" w:rsidRPr="00C378DB" w:rsidRDefault="00D82706" w:rsidP="00C378DB">
      <w:pPr>
        <w:spacing w:after="0" w:line="360" w:lineRule="auto"/>
        <w:jc w:val="both"/>
        <w:rPr>
          <w:rFonts w:ascii="Tahoma" w:hAnsi="Tahoma" w:cs="Tahoma"/>
          <w:b/>
          <w:i/>
          <w:sz w:val="24"/>
          <w:szCs w:val="24"/>
        </w:rPr>
      </w:pPr>
      <w:r>
        <w:rPr>
          <w:rFonts w:ascii="Tahoma" w:hAnsi="Tahoma" w:cs="Tahoma"/>
          <w:b/>
          <w:i/>
          <w:sz w:val="24"/>
          <w:szCs w:val="24"/>
        </w:rPr>
        <w:t>ZURCWU</w:t>
      </w:r>
      <w:r w:rsidR="00C378DB" w:rsidRPr="003F1B29">
        <w:rPr>
          <w:rFonts w:ascii="Tahoma" w:hAnsi="Tahoma" w:cs="Tahoma"/>
          <w:b/>
          <w:i/>
          <w:sz w:val="24"/>
          <w:szCs w:val="24"/>
        </w:rPr>
        <w:t xml:space="preserve"> – </w:t>
      </w:r>
      <w:r w:rsidR="00C378DB">
        <w:rPr>
          <w:rFonts w:ascii="Tahoma" w:hAnsi="Tahoma" w:cs="Tahoma"/>
          <w:b/>
          <w:i/>
          <w:sz w:val="24"/>
          <w:szCs w:val="24"/>
        </w:rPr>
        <w:t>App</w:t>
      </w:r>
      <w:r w:rsidR="004C18DB">
        <w:rPr>
          <w:rFonts w:ascii="Tahoma" w:hAnsi="Tahoma" w:cs="Tahoma"/>
          <w:b/>
          <w:i/>
          <w:sz w:val="24"/>
          <w:szCs w:val="24"/>
        </w:rPr>
        <w:t>lica</w:t>
      </w:r>
      <w:r w:rsidR="00C378DB">
        <w:rPr>
          <w:rFonts w:ascii="Tahoma" w:hAnsi="Tahoma" w:cs="Tahoma"/>
          <w:b/>
          <w:i/>
          <w:sz w:val="24"/>
          <w:szCs w:val="24"/>
        </w:rPr>
        <w:t>nt</w:t>
      </w:r>
      <w:r w:rsidR="00C378DB" w:rsidRPr="003F1B29">
        <w:rPr>
          <w:rFonts w:ascii="Tahoma" w:hAnsi="Tahoma" w:cs="Tahoma"/>
          <w:b/>
          <w:i/>
          <w:sz w:val="24"/>
          <w:szCs w:val="24"/>
        </w:rPr>
        <w:t>s</w:t>
      </w:r>
      <w:r w:rsidR="004C18DB">
        <w:rPr>
          <w:rFonts w:ascii="Tahoma" w:hAnsi="Tahoma" w:cs="Tahoma"/>
          <w:b/>
          <w:i/>
          <w:sz w:val="24"/>
          <w:szCs w:val="24"/>
        </w:rPr>
        <w:t>’</w:t>
      </w:r>
      <w:r w:rsidR="00C378DB" w:rsidRPr="003F1B29">
        <w:rPr>
          <w:rFonts w:ascii="Tahoma" w:hAnsi="Tahoma" w:cs="Tahoma"/>
          <w:b/>
          <w:i/>
          <w:sz w:val="24"/>
          <w:szCs w:val="24"/>
        </w:rPr>
        <w:t xml:space="preserve"> </w:t>
      </w:r>
      <w:r>
        <w:rPr>
          <w:rFonts w:ascii="Tahoma" w:hAnsi="Tahoma" w:cs="Tahoma"/>
          <w:b/>
          <w:i/>
          <w:sz w:val="24"/>
          <w:szCs w:val="24"/>
        </w:rPr>
        <w:t>Representative</w:t>
      </w:r>
    </w:p>
    <w:p w:rsidR="00C378DB" w:rsidRPr="008E068C" w:rsidRDefault="00D82706" w:rsidP="00C378DB">
      <w:pPr>
        <w:spacing w:after="0" w:line="360" w:lineRule="auto"/>
        <w:jc w:val="both"/>
        <w:rPr>
          <w:rFonts w:ascii="Tahoma" w:hAnsi="Tahoma" w:cs="Tahoma"/>
          <w:b/>
          <w:i/>
          <w:sz w:val="26"/>
          <w:szCs w:val="26"/>
        </w:rPr>
      </w:pPr>
      <w:r>
        <w:rPr>
          <w:rFonts w:ascii="Tahoma" w:hAnsi="Tahoma" w:cs="Tahoma"/>
          <w:b/>
          <w:i/>
          <w:sz w:val="24"/>
          <w:szCs w:val="24"/>
        </w:rPr>
        <w:t>Mbidzo, Muchadehama, Makoni</w:t>
      </w:r>
      <w:r w:rsidR="00C378DB">
        <w:rPr>
          <w:rFonts w:ascii="Tahoma" w:hAnsi="Tahoma" w:cs="Tahoma"/>
          <w:b/>
          <w:i/>
          <w:sz w:val="24"/>
          <w:szCs w:val="24"/>
        </w:rPr>
        <w:t xml:space="preserve">– Respondents’ </w:t>
      </w:r>
      <w:r>
        <w:rPr>
          <w:rFonts w:ascii="Tahoma" w:hAnsi="Tahoma" w:cs="Tahoma"/>
          <w:b/>
          <w:i/>
          <w:sz w:val="24"/>
          <w:szCs w:val="24"/>
        </w:rPr>
        <w:t xml:space="preserve">Legal Practitioners </w:t>
      </w:r>
    </w:p>
    <w:p w:rsidR="00C378DB" w:rsidRDefault="00C378DB" w:rsidP="00C378DB">
      <w:pPr>
        <w:spacing w:after="0" w:line="360" w:lineRule="auto"/>
        <w:jc w:val="both"/>
        <w:rPr>
          <w:rFonts w:ascii="Tahoma" w:hAnsi="Tahoma" w:cs="Tahoma"/>
          <w:b/>
          <w:sz w:val="26"/>
          <w:szCs w:val="26"/>
        </w:rPr>
      </w:pPr>
    </w:p>
    <w:p w:rsidR="00C378DB" w:rsidRDefault="00C378DB" w:rsidP="00C378DB">
      <w:pPr>
        <w:spacing w:after="0" w:line="360" w:lineRule="auto"/>
        <w:jc w:val="both"/>
        <w:rPr>
          <w:rFonts w:ascii="Tahoma" w:hAnsi="Tahoma" w:cs="Tahoma"/>
          <w:b/>
          <w:sz w:val="26"/>
          <w:szCs w:val="26"/>
        </w:rPr>
      </w:pPr>
    </w:p>
    <w:p w:rsidR="00C378DB" w:rsidRPr="00DE67A6" w:rsidRDefault="00C378DB" w:rsidP="00C378DB">
      <w:pPr>
        <w:spacing w:after="0" w:line="240" w:lineRule="auto"/>
        <w:jc w:val="both"/>
        <w:rPr>
          <w:rFonts w:ascii="Tahoma" w:hAnsi="Tahoma" w:cs="Tahoma"/>
          <w:b/>
          <w:sz w:val="26"/>
          <w:szCs w:val="26"/>
        </w:rPr>
      </w:pPr>
    </w:p>
    <w:p w:rsidR="00DE67A6" w:rsidRPr="00DE67A6" w:rsidRDefault="00DE67A6" w:rsidP="00C378DB">
      <w:pPr>
        <w:spacing w:after="0" w:line="240" w:lineRule="auto"/>
        <w:jc w:val="both"/>
        <w:rPr>
          <w:rFonts w:ascii="Tahoma" w:hAnsi="Tahoma" w:cs="Tahoma"/>
          <w:sz w:val="26"/>
          <w:szCs w:val="26"/>
        </w:rPr>
      </w:pPr>
      <w:r w:rsidRPr="00DE67A6">
        <w:rPr>
          <w:rFonts w:ascii="Tahoma" w:hAnsi="Tahoma" w:cs="Tahoma"/>
          <w:sz w:val="26"/>
          <w:szCs w:val="26"/>
        </w:rPr>
        <w:t>.........</w:t>
      </w:r>
      <w:r w:rsidR="00C378DB">
        <w:rPr>
          <w:rFonts w:ascii="Tahoma" w:hAnsi="Tahoma" w:cs="Tahoma"/>
          <w:sz w:val="26"/>
          <w:szCs w:val="26"/>
        </w:rPr>
        <w:t>.............</w:t>
      </w:r>
    </w:p>
    <w:p w:rsidR="00DE67A6" w:rsidRPr="00DE67A6" w:rsidRDefault="00C378DB" w:rsidP="00AB23AF">
      <w:pPr>
        <w:spacing w:after="0" w:line="240" w:lineRule="auto"/>
        <w:jc w:val="both"/>
        <w:rPr>
          <w:rFonts w:ascii="Tahoma" w:hAnsi="Tahoma" w:cs="Tahoma"/>
          <w:b/>
          <w:sz w:val="26"/>
          <w:szCs w:val="26"/>
        </w:rPr>
      </w:pPr>
      <w:r>
        <w:rPr>
          <w:rFonts w:ascii="Tahoma" w:hAnsi="Tahoma" w:cs="Tahoma"/>
          <w:b/>
          <w:sz w:val="26"/>
          <w:szCs w:val="26"/>
        </w:rPr>
        <w:t>L.M. MURASI</w:t>
      </w:r>
    </w:p>
    <w:p w:rsidR="00DE67A6" w:rsidRPr="00DE67A6" w:rsidRDefault="00DE67A6" w:rsidP="00AB23AF">
      <w:pPr>
        <w:spacing w:after="0" w:line="240" w:lineRule="auto"/>
        <w:jc w:val="both"/>
        <w:rPr>
          <w:rFonts w:ascii="Tahoma" w:hAnsi="Tahoma" w:cs="Tahoma"/>
          <w:b/>
          <w:sz w:val="26"/>
          <w:szCs w:val="26"/>
        </w:rPr>
      </w:pPr>
      <w:r w:rsidRPr="00DE67A6">
        <w:rPr>
          <w:rFonts w:ascii="Tahoma" w:hAnsi="Tahoma" w:cs="Tahoma"/>
          <w:b/>
          <w:sz w:val="26"/>
          <w:szCs w:val="26"/>
        </w:rPr>
        <w:t>JUDGE</w:t>
      </w:r>
    </w:p>
    <w:p w:rsidR="00DE67A6" w:rsidRPr="00DE67A6" w:rsidRDefault="00DE67A6" w:rsidP="00DE67A6">
      <w:pPr>
        <w:spacing w:after="0" w:line="240" w:lineRule="auto"/>
        <w:jc w:val="both"/>
        <w:rPr>
          <w:rFonts w:ascii="Tahoma" w:hAnsi="Tahoma" w:cs="Tahoma"/>
          <w:b/>
          <w:sz w:val="26"/>
          <w:szCs w:val="26"/>
        </w:rPr>
      </w:pPr>
    </w:p>
    <w:p w:rsidR="00DE67A6" w:rsidRDefault="00DE67A6" w:rsidP="00DE67A6">
      <w:pPr>
        <w:spacing w:after="0" w:line="240" w:lineRule="auto"/>
        <w:jc w:val="both"/>
        <w:rPr>
          <w:rFonts w:ascii="Tahoma" w:hAnsi="Tahoma" w:cs="Tahoma"/>
          <w:b/>
          <w:sz w:val="26"/>
          <w:szCs w:val="26"/>
        </w:rPr>
      </w:pPr>
    </w:p>
    <w:sectPr w:rsidR="00DE67A6" w:rsidSect="00E329AE">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A62" w:rsidRDefault="005D1A62" w:rsidP="00AB23AF">
      <w:pPr>
        <w:spacing w:after="0" w:line="240" w:lineRule="auto"/>
      </w:pPr>
      <w:r>
        <w:separator/>
      </w:r>
    </w:p>
  </w:endnote>
  <w:endnote w:type="continuationSeparator" w:id="1">
    <w:p w:rsidR="005D1A62" w:rsidRDefault="005D1A62" w:rsidP="00AB23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67956"/>
      <w:docPartObj>
        <w:docPartGallery w:val="Page Numbers (Bottom of Page)"/>
        <w:docPartUnique/>
      </w:docPartObj>
    </w:sdtPr>
    <w:sdtContent>
      <w:p w:rsidR="00FF1A74" w:rsidRDefault="00302C03">
        <w:pPr>
          <w:pStyle w:val="Footer"/>
          <w:jc w:val="right"/>
        </w:pPr>
        <w:fldSimple w:instr=" PAGE   \* MERGEFORMAT ">
          <w:r w:rsidR="007D6A5D">
            <w:rPr>
              <w:noProof/>
            </w:rPr>
            <w:t>8</w:t>
          </w:r>
        </w:fldSimple>
      </w:p>
    </w:sdtContent>
  </w:sdt>
  <w:p w:rsidR="00FF1A74" w:rsidRDefault="00FF1A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A62" w:rsidRDefault="005D1A62" w:rsidP="00AB23AF">
      <w:pPr>
        <w:spacing w:after="0" w:line="240" w:lineRule="auto"/>
      </w:pPr>
      <w:r>
        <w:separator/>
      </w:r>
    </w:p>
  </w:footnote>
  <w:footnote w:type="continuationSeparator" w:id="1">
    <w:p w:rsidR="005D1A62" w:rsidRDefault="005D1A62" w:rsidP="00AB23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74" w:rsidRPr="00951F76" w:rsidRDefault="00FF1A74" w:rsidP="00E329AE">
    <w:pPr>
      <w:spacing w:after="0" w:line="360" w:lineRule="auto"/>
      <w:jc w:val="right"/>
      <w:rPr>
        <w:rFonts w:ascii="Tahoma" w:hAnsi="Tahoma" w:cs="Tahoma"/>
        <w:b/>
      </w:rPr>
    </w:pPr>
    <w:r w:rsidRPr="00951F76">
      <w:rPr>
        <w:rFonts w:ascii="Tahoma" w:hAnsi="Tahoma" w:cs="Tahoma"/>
        <w:b/>
      </w:rPr>
      <w:t xml:space="preserve">    JUDGEMENT NO LC/H/</w:t>
    </w:r>
    <w:r>
      <w:rPr>
        <w:rFonts w:ascii="Tahoma" w:hAnsi="Tahoma" w:cs="Tahoma"/>
        <w:b/>
      </w:rPr>
      <w:t>6</w:t>
    </w:r>
    <w:r w:rsidR="0062760B">
      <w:rPr>
        <w:rFonts w:ascii="Tahoma" w:hAnsi="Tahoma" w:cs="Tahoma"/>
        <w:b/>
      </w:rPr>
      <w:t>13</w:t>
    </w:r>
    <w:r w:rsidRPr="00951F76">
      <w:rPr>
        <w:rFonts w:ascii="Tahoma" w:hAnsi="Tahoma" w:cs="Tahoma"/>
        <w:b/>
      </w:rPr>
      <w:t>/13</w:t>
    </w:r>
  </w:p>
  <w:p w:rsidR="00FF1A74" w:rsidRDefault="00FF1A74" w:rsidP="00E329AE">
    <w:pPr>
      <w:pStyle w:val="Header"/>
      <w:jc w:val="right"/>
    </w:pPr>
  </w:p>
  <w:p w:rsidR="00FF1A74" w:rsidRDefault="00FF1A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02525"/>
    <w:multiLevelType w:val="hybridMultilevel"/>
    <w:tmpl w:val="BAF62486"/>
    <w:lvl w:ilvl="0" w:tplc="70608F3E">
      <w:start w:val="1"/>
      <w:numFmt w:val="lowerLetter"/>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
    <w:nsid w:val="136A6AA9"/>
    <w:multiLevelType w:val="hybridMultilevel"/>
    <w:tmpl w:val="C93231D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1EE01E83"/>
    <w:multiLevelType w:val="hybridMultilevel"/>
    <w:tmpl w:val="8F006BD6"/>
    <w:lvl w:ilvl="0" w:tplc="0E4E1CA0">
      <w:start w:val="1"/>
      <w:numFmt w:val="lowerLetter"/>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nsid w:val="508C5639"/>
    <w:multiLevelType w:val="hybridMultilevel"/>
    <w:tmpl w:val="3F9A73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5887019F"/>
    <w:multiLevelType w:val="hybridMultilevel"/>
    <w:tmpl w:val="1DF242D2"/>
    <w:lvl w:ilvl="0" w:tplc="AC48E9CE">
      <w:start w:val="1"/>
      <w:numFmt w:val="lowerLetter"/>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5">
    <w:nsid w:val="7EA427EF"/>
    <w:multiLevelType w:val="hybridMultilevel"/>
    <w:tmpl w:val="F356E1CE"/>
    <w:lvl w:ilvl="0" w:tplc="27903858">
      <w:start w:val="1"/>
      <w:numFmt w:val="lowerLetter"/>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abstractNumId w:val="4"/>
  </w:num>
  <w:num w:numId="2">
    <w:abstractNumId w:val="1"/>
  </w:num>
  <w:num w:numId="3">
    <w:abstractNumId w:val="5"/>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23AF"/>
    <w:rsid w:val="00016303"/>
    <w:rsid w:val="00016947"/>
    <w:rsid w:val="00042BBC"/>
    <w:rsid w:val="00055665"/>
    <w:rsid w:val="000646B0"/>
    <w:rsid w:val="00073B99"/>
    <w:rsid w:val="000E730A"/>
    <w:rsid w:val="001004F6"/>
    <w:rsid w:val="00203E95"/>
    <w:rsid w:val="00227B0D"/>
    <w:rsid w:val="00230F78"/>
    <w:rsid w:val="002335C6"/>
    <w:rsid w:val="00275CE9"/>
    <w:rsid w:val="002B4524"/>
    <w:rsid w:val="002D0332"/>
    <w:rsid w:val="00302C03"/>
    <w:rsid w:val="0033248A"/>
    <w:rsid w:val="003D24AB"/>
    <w:rsid w:val="003D6335"/>
    <w:rsid w:val="003E37F3"/>
    <w:rsid w:val="003E7494"/>
    <w:rsid w:val="003F1B29"/>
    <w:rsid w:val="003F47CB"/>
    <w:rsid w:val="00401C81"/>
    <w:rsid w:val="00420F3D"/>
    <w:rsid w:val="00496C69"/>
    <w:rsid w:val="004A6423"/>
    <w:rsid w:val="004A7618"/>
    <w:rsid w:val="004B5D4C"/>
    <w:rsid w:val="004C18DB"/>
    <w:rsid w:val="004D0DDA"/>
    <w:rsid w:val="00536AE7"/>
    <w:rsid w:val="005605D0"/>
    <w:rsid w:val="0058436F"/>
    <w:rsid w:val="005D1A62"/>
    <w:rsid w:val="005E4CBF"/>
    <w:rsid w:val="006235C5"/>
    <w:rsid w:val="0062760B"/>
    <w:rsid w:val="006675EC"/>
    <w:rsid w:val="00685535"/>
    <w:rsid w:val="006A0D33"/>
    <w:rsid w:val="006E5797"/>
    <w:rsid w:val="00732861"/>
    <w:rsid w:val="00740C44"/>
    <w:rsid w:val="007857C1"/>
    <w:rsid w:val="00791DB6"/>
    <w:rsid w:val="007D6A5D"/>
    <w:rsid w:val="00826B47"/>
    <w:rsid w:val="008271D2"/>
    <w:rsid w:val="008413ED"/>
    <w:rsid w:val="008414BE"/>
    <w:rsid w:val="0087706A"/>
    <w:rsid w:val="008B1694"/>
    <w:rsid w:val="008E068C"/>
    <w:rsid w:val="008E3591"/>
    <w:rsid w:val="00900785"/>
    <w:rsid w:val="00974BBA"/>
    <w:rsid w:val="0097674B"/>
    <w:rsid w:val="009D6156"/>
    <w:rsid w:val="009D7467"/>
    <w:rsid w:val="00A01C9E"/>
    <w:rsid w:val="00A31346"/>
    <w:rsid w:val="00AA0B7B"/>
    <w:rsid w:val="00AA47BD"/>
    <w:rsid w:val="00AB23AF"/>
    <w:rsid w:val="00AE118F"/>
    <w:rsid w:val="00B21E4C"/>
    <w:rsid w:val="00B2519C"/>
    <w:rsid w:val="00C378DB"/>
    <w:rsid w:val="00C44791"/>
    <w:rsid w:val="00C50177"/>
    <w:rsid w:val="00C80561"/>
    <w:rsid w:val="00CC1EC2"/>
    <w:rsid w:val="00CE61E0"/>
    <w:rsid w:val="00D0601F"/>
    <w:rsid w:val="00D13C45"/>
    <w:rsid w:val="00D20BC7"/>
    <w:rsid w:val="00D52C72"/>
    <w:rsid w:val="00D63DA2"/>
    <w:rsid w:val="00D6603B"/>
    <w:rsid w:val="00D82706"/>
    <w:rsid w:val="00DB4945"/>
    <w:rsid w:val="00DC110E"/>
    <w:rsid w:val="00DE67A6"/>
    <w:rsid w:val="00E14DEB"/>
    <w:rsid w:val="00E329AE"/>
    <w:rsid w:val="00E8701E"/>
    <w:rsid w:val="00ED3B87"/>
    <w:rsid w:val="00EE324C"/>
    <w:rsid w:val="00EF0672"/>
    <w:rsid w:val="00EF44BB"/>
    <w:rsid w:val="00F40DA6"/>
    <w:rsid w:val="00F978DD"/>
    <w:rsid w:val="00FF1A74"/>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3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3AF"/>
    <w:pPr>
      <w:ind w:left="720"/>
      <w:contextualSpacing/>
    </w:pPr>
  </w:style>
  <w:style w:type="paragraph" w:styleId="Header">
    <w:name w:val="header"/>
    <w:basedOn w:val="Normal"/>
    <w:link w:val="HeaderChar"/>
    <w:uiPriority w:val="99"/>
    <w:unhideWhenUsed/>
    <w:rsid w:val="00AB23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23AF"/>
  </w:style>
  <w:style w:type="paragraph" w:styleId="Footer">
    <w:name w:val="footer"/>
    <w:basedOn w:val="Normal"/>
    <w:link w:val="FooterChar"/>
    <w:uiPriority w:val="99"/>
    <w:unhideWhenUsed/>
    <w:rsid w:val="00AB23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3A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8</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2013-11-12T06:53:00Z</cp:lastPrinted>
  <dcterms:created xsi:type="dcterms:W3CDTF">2013-11-07T13:27:00Z</dcterms:created>
  <dcterms:modified xsi:type="dcterms:W3CDTF">2013-11-12T13:55:00Z</dcterms:modified>
</cp:coreProperties>
</file>