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A4490B" w14:textId="77777777" w:rsidR="00C07C1C" w:rsidRDefault="00C07C1C" w:rsidP="00C07C1C">
      <w:pPr>
        <w:spacing w:after="0" w:line="240" w:lineRule="auto"/>
        <w:jc w:val="both"/>
        <w:rPr>
          <w:rFonts w:ascii="Times New Roman" w:hAnsi="Times New Roman" w:cs="Times New Roman"/>
          <w:b/>
          <w:i/>
          <w:sz w:val="28"/>
          <w:szCs w:val="28"/>
        </w:rPr>
      </w:pPr>
    </w:p>
    <w:p w14:paraId="5529A4E8" w14:textId="77777777" w:rsidR="00C07C1C" w:rsidRPr="00420699" w:rsidRDefault="00C07C1C" w:rsidP="00C07C1C">
      <w:pPr>
        <w:spacing w:after="0" w:line="240" w:lineRule="auto"/>
        <w:jc w:val="both"/>
        <w:rPr>
          <w:rFonts w:ascii="Times New Roman" w:hAnsi="Times New Roman" w:cs="Times New Roman"/>
          <w:b/>
          <w:sz w:val="24"/>
          <w:szCs w:val="24"/>
        </w:rPr>
      </w:pPr>
      <w:r w:rsidRPr="00420699">
        <w:rPr>
          <w:rFonts w:ascii="Times New Roman" w:hAnsi="Times New Roman" w:cs="Times New Roman"/>
          <w:b/>
          <w:sz w:val="24"/>
          <w:szCs w:val="24"/>
        </w:rPr>
        <w:t>YATAKALA TRADING (PRIVATE) LIMITED</w:t>
      </w:r>
    </w:p>
    <w:p w14:paraId="6F513EF8" w14:textId="77777777" w:rsidR="003232FC" w:rsidRDefault="003232FC" w:rsidP="00C07C1C">
      <w:pPr>
        <w:spacing w:after="0" w:line="240" w:lineRule="auto"/>
        <w:jc w:val="both"/>
        <w:rPr>
          <w:rFonts w:ascii="Times New Roman" w:hAnsi="Times New Roman" w:cs="Times New Roman"/>
          <w:b/>
          <w:sz w:val="24"/>
          <w:szCs w:val="24"/>
        </w:rPr>
      </w:pPr>
    </w:p>
    <w:p w14:paraId="39A82EAD" w14:textId="77777777" w:rsidR="00C07C1C" w:rsidRPr="00420699" w:rsidRDefault="00C07C1C" w:rsidP="00C07C1C">
      <w:pPr>
        <w:spacing w:after="0" w:line="240" w:lineRule="auto"/>
        <w:jc w:val="both"/>
        <w:rPr>
          <w:rFonts w:ascii="Times New Roman" w:hAnsi="Times New Roman" w:cs="Times New Roman"/>
          <w:b/>
          <w:sz w:val="24"/>
          <w:szCs w:val="24"/>
        </w:rPr>
      </w:pPr>
      <w:r w:rsidRPr="00420699">
        <w:rPr>
          <w:rFonts w:ascii="Times New Roman" w:hAnsi="Times New Roman" w:cs="Times New Roman"/>
          <w:b/>
          <w:sz w:val="24"/>
          <w:szCs w:val="24"/>
        </w:rPr>
        <w:t>And</w:t>
      </w:r>
    </w:p>
    <w:p w14:paraId="5CFCF509" w14:textId="77777777" w:rsidR="003232FC" w:rsidRDefault="003232FC" w:rsidP="00C07C1C">
      <w:pPr>
        <w:spacing w:after="0" w:line="240" w:lineRule="auto"/>
        <w:jc w:val="both"/>
        <w:rPr>
          <w:rFonts w:ascii="Times New Roman" w:hAnsi="Times New Roman" w:cs="Times New Roman"/>
          <w:b/>
          <w:sz w:val="24"/>
          <w:szCs w:val="24"/>
        </w:rPr>
      </w:pPr>
    </w:p>
    <w:p w14:paraId="041366E3" w14:textId="77777777" w:rsidR="00C07C1C" w:rsidRPr="00420699" w:rsidRDefault="00C07C1C" w:rsidP="00C07C1C">
      <w:pPr>
        <w:spacing w:after="0" w:line="240" w:lineRule="auto"/>
        <w:jc w:val="both"/>
        <w:rPr>
          <w:rFonts w:ascii="Times New Roman" w:hAnsi="Times New Roman" w:cs="Times New Roman"/>
          <w:b/>
          <w:sz w:val="24"/>
          <w:szCs w:val="24"/>
        </w:rPr>
      </w:pPr>
      <w:r w:rsidRPr="00420699">
        <w:rPr>
          <w:rFonts w:ascii="Times New Roman" w:hAnsi="Times New Roman" w:cs="Times New Roman"/>
          <w:b/>
          <w:sz w:val="24"/>
          <w:szCs w:val="24"/>
        </w:rPr>
        <w:t xml:space="preserve">SHLOMO YOSEF LEPAR </w:t>
      </w:r>
    </w:p>
    <w:p w14:paraId="12D51D15" w14:textId="77777777" w:rsidR="003232FC" w:rsidRDefault="003232FC" w:rsidP="00C07C1C">
      <w:pPr>
        <w:spacing w:after="0" w:line="240" w:lineRule="auto"/>
        <w:jc w:val="both"/>
        <w:rPr>
          <w:rFonts w:ascii="Times New Roman" w:hAnsi="Times New Roman" w:cs="Times New Roman"/>
          <w:b/>
          <w:sz w:val="24"/>
          <w:szCs w:val="24"/>
        </w:rPr>
      </w:pPr>
    </w:p>
    <w:p w14:paraId="775EC33D" w14:textId="77777777" w:rsidR="00C07C1C" w:rsidRPr="00420699" w:rsidRDefault="00C07C1C" w:rsidP="00C07C1C">
      <w:pPr>
        <w:spacing w:after="0" w:line="240" w:lineRule="auto"/>
        <w:jc w:val="both"/>
        <w:rPr>
          <w:rFonts w:ascii="Times New Roman" w:hAnsi="Times New Roman" w:cs="Times New Roman"/>
          <w:b/>
          <w:sz w:val="24"/>
          <w:szCs w:val="24"/>
        </w:rPr>
      </w:pPr>
      <w:r w:rsidRPr="00420699">
        <w:rPr>
          <w:rFonts w:ascii="Times New Roman" w:hAnsi="Times New Roman" w:cs="Times New Roman"/>
          <w:b/>
          <w:sz w:val="24"/>
          <w:szCs w:val="24"/>
        </w:rPr>
        <w:t>versus</w:t>
      </w:r>
    </w:p>
    <w:p w14:paraId="1AE9B518" w14:textId="77777777" w:rsidR="003232FC" w:rsidRDefault="003232FC" w:rsidP="00C07C1C">
      <w:pPr>
        <w:spacing w:after="0" w:line="240" w:lineRule="auto"/>
        <w:jc w:val="both"/>
        <w:rPr>
          <w:rFonts w:ascii="Times New Roman" w:hAnsi="Times New Roman" w:cs="Times New Roman"/>
          <w:b/>
          <w:sz w:val="24"/>
          <w:szCs w:val="24"/>
        </w:rPr>
      </w:pPr>
    </w:p>
    <w:p w14:paraId="097504E2" w14:textId="77777777" w:rsidR="00C07C1C" w:rsidRPr="00420699" w:rsidRDefault="00C07C1C" w:rsidP="00C07C1C">
      <w:pPr>
        <w:spacing w:after="0" w:line="240" w:lineRule="auto"/>
        <w:jc w:val="both"/>
        <w:rPr>
          <w:rFonts w:ascii="Times New Roman" w:hAnsi="Times New Roman" w:cs="Times New Roman"/>
          <w:b/>
          <w:sz w:val="24"/>
          <w:szCs w:val="24"/>
        </w:rPr>
      </w:pPr>
      <w:r w:rsidRPr="00420699">
        <w:rPr>
          <w:rFonts w:ascii="Times New Roman" w:hAnsi="Times New Roman" w:cs="Times New Roman"/>
          <w:b/>
          <w:sz w:val="24"/>
          <w:szCs w:val="24"/>
        </w:rPr>
        <w:t xml:space="preserve">S.M MUTIRO N.O: REGIONAL MAGISTRATE, BULAWAYO </w:t>
      </w:r>
    </w:p>
    <w:p w14:paraId="0E7783F5" w14:textId="77777777" w:rsidR="003232FC" w:rsidRDefault="003232FC" w:rsidP="00C07C1C">
      <w:pPr>
        <w:spacing w:after="0" w:line="240" w:lineRule="auto"/>
        <w:jc w:val="both"/>
        <w:rPr>
          <w:rFonts w:ascii="Times New Roman" w:hAnsi="Times New Roman" w:cs="Times New Roman"/>
          <w:b/>
          <w:sz w:val="24"/>
          <w:szCs w:val="24"/>
        </w:rPr>
      </w:pPr>
    </w:p>
    <w:p w14:paraId="6949002E" w14:textId="77777777" w:rsidR="00C07C1C" w:rsidRPr="00420699" w:rsidRDefault="00C07C1C" w:rsidP="00C07C1C">
      <w:pPr>
        <w:spacing w:after="0" w:line="240" w:lineRule="auto"/>
        <w:jc w:val="both"/>
        <w:rPr>
          <w:rFonts w:ascii="Times New Roman" w:hAnsi="Times New Roman" w:cs="Times New Roman"/>
          <w:b/>
          <w:sz w:val="24"/>
          <w:szCs w:val="24"/>
        </w:rPr>
      </w:pPr>
      <w:r w:rsidRPr="00420699">
        <w:rPr>
          <w:rFonts w:ascii="Times New Roman" w:hAnsi="Times New Roman" w:cs="Times New Roman"/>
          <w:b/>
          <w:sz w:val="24"/>
          <w:szCs w:val="24"/>
        </w:rPr>
        <w:t>And</w:t>
      </w:r>
    </w:p>
    <w:p w14:paraId="14C96D6C" w14:textId="77777777" w:rsidR="003232FC" w:rsidRDefault="003232FC" w:rsidP="00C07C1C">
      <w:pPr>
        <w:spacing w:after="0" w:line="240" w:lineRule="auto"/>
        <w:jc w:val="both"/>
        <w:rPr>
          <w:rFonts w:ascii="Times New Roman" w:hAnsi="Times New Roman" w:cs="Times New Roman"/>
          <w:b/>
          <w:sz w:val="24"/>
          <w:szCs w:val="24"/>
        </w:rPr>
      </w:pPr>
    </w:p>
    <w:p w14:paraId="3098D9C0" w14:textId="77777777" w:rsidR="00C07C1C" w:rsidRPr="00420699" w:rsidRDefault="00C07C1C" w:rsidP="00C07C1C">
      <w:pPr>
        <w:spacing w:after="0" w:line="240" w:lineRule="auto"/>
        <w:jc w:val="both"/>
        <w:rPr>
          <w:rFonts w:ascii="Times New Roman" w:hAnsi="Times New Roman" w:cs="Times New Roman"/>
          <w:b/>
          <w:sz w:val="24"/>
          <w:szCs w:val="24"/>
        </w:rPr>
      </w:pPr>
      <w:r w:rsidRPr="00420699">
        <w:rPr>
          <w:rFonts w:ascii="Times New Roman" w:hAnsi="Times New Roman" w:cs="Times New Roman"/>
          <w:b/>
          <w:sz w:val="24"/>
          <w:szCs w:val="24"/>
        </w:rPr>
        <w:t>THE STATE</w:t>
      </w:r>
    </w:p>
    <w:p w14:paraId="72E669F2" w14:textId="77777777" w:rsidR="00420699" w:rsidRPr="00420699" w:rsidRDefault="00420699" w:rsidP="00C07C1C">
      <w:pPr>
        <w:spacing w:after="0" w:line="240" w:lineRule="auto"/>
        <w:jc w:val="both"/>
        <w:rPr>
          <w:rFonts w:ascii="Times New Roman" w:hAnsi="Times New Roman" w:cs="Times New Roman"/>
          <w:b/>
          <w:sz w:val="24"/>
          <w:szCs w:val="24"/>
        </w:rPr>
      </w:pPr>
    </w:p>
    <w:p w14:paraId="0C7B68E5" w14:textId="77777777" w:rsidR="00420699" w:rsidRDefault="00420699" w:rsidP="00420699">
      <w:pPr>
        <w:spacing w:after="0" w:line="240" w:lineRule="auto"/>
        <w:jc w:val="both"/>
        <w:rPr>
          <w:rFonts w:ascii="Times New Roman" w:hAnsi="Times New Roman" w:cs="Times New Roman"/>
          <w:sz w:val="24"/>
          <w:szCs w:val="24"/>
        </w:rPr>
      </w:pPr>
      <w:r w:rsidRPr="003232FC">
        <w:rPr>
          <w:rFonts w:ascii="Times New Roman" w:hAnsi="Times New Roman" w:cs="Times New Roman"/>
          <w:sz w:val="24"/>
          <w:szCs w:val="24"/>
        </w:rPr>
        <w:t>IN THE HIGH COURT OF ZIMBABWE</w:t>
      </w:r>
    </w:p>
    <w:p w14:paraId="2EF97FE4" w14:textId="77777777" w:rsidR="003232FC" w:rsidRPr="003232FC" w:rsidRDefault="003232FC" w:rsidP="003232FC">
      <w:pPr>
        <w:spacing w:after="0" w:line="240" w:lineRule="auto"/>
        <w:jc w:val="both"/>
        <w:rPr>
          <w:rFonts w:ascii="Times New Roman" w:hAnsi="Times New Roman" w:cs="Times New Roman"/>
          <w:sz w:val="24"/>
          <w:szCs w:val="24"/>
        </w:rPr>
      </w:pPr>
      <w:r w:rsidRPr="003232FC">
        <w:rPr>
          <w:rFonts w:ascii="Times New Roman" w:hAnsi="Times New Roman" w:cs="Times New Roman"/>
          <w:sz w:val="24"/>
          <w:szCs w:val="24"/>
        </w:rPr>
        <w:t xml:space="preserve">NDUNA J </w:t>
      </w:r>
    </w:p>
    <w:p w14:paraId="008AC8BB" w14:textId="695AD954" w:rsidR="00C07C1C" w:rsidRPr="003232FC" w:rsidRDefault="00420699" w:rsidP="00C07C1C">
      <w:pPr>
        <w:spacing w:after="0" w:line="240" w:lineRule="auto"/>
        <w:jc w:val="both"/>
        <w:rPr>
          <w:rFonts w:ascii="Times New Roman" w:hAnsi="Times New Roman" w:cs="Times New Roman"/>
          <w:sz w:val="24"/>
          <w:szCs w:val="24"/>
        </w:rPr>
      </w:pPr>
      <w:r w:rsidRPr="003232FC">
        <w:rPr>
          <w:rFonts w:ascii="Times New Roman" w:hAnsi="Times New Roman" w:cs="Times New Roman"/>
          <w:sz w:val="24"/>
          <w:szCs w:val="24"/>
        </w:rPr>
        <w:t>BULAWAYO</w:t>
      </w:r>
      <w:r w:rsidR="003232FC">
        <w:rPr>
          <w:rFonts w:ascii="Times New Roman" w:hAnsi="Times New Roman" w:cs="Times New Roman"/>
          <w:sz w:val="24"/>
          <w:szCs w:val="24"/>
        </w:rPr>
        <w:t xml:space="preserve"> </w:t>
      </w:r>
      <w:r w:rsidR="00C07C1C" w:rsidRPr="003232FC">
        <w:rPr>
          <w:rFonts w:ascii="Times New Roman" w:hAnsi="Times New Roman" w:cs="Times New Roman"/>
          <w:sz w:val="24"/>
          <w:szCs w:val="24"/>
        </w:rPr>
        <w:t xml:space="preserve">20 </w:t>
      </w:r>
      <w:r w:rsidRPr="003232FC">
        <w:rPr>
          <w:rFonts w:ascii="Times New Roman" w:hAnsi="Times New Roman" w:cs="Times New Roman"/>
          <w:sz w:val="24"/>
          <w:szCs w:val="24"/>
        </w:rPr>
        <w:t xml:space="preserve">FEBRUARY </w:t>
      </w:r>
      <w:r w:rsidR="00C07C1C" w:rsidRPr="003232FC">
        <w:rPr>
          <w:rFonts w:ascii="Times New Roman" w:hAnsi="Times New Roman" w:cs="Times New Roman"/>
          <w:sz w:val="24"/>
          <w:szCs w:val="24"/>
        </w:rPr>
        <w:t>2026</w:t>
      </w:r>
    </w:p>
    <w:p w14:paraId="67436BE6" w14:textId="77777777" w:rsidR="00C07C1C" w:rsidRPr="00420699" w:rsidRDefault="00C07C1C" w:rsidP="00C07C1C">
      <w:pPr>
        <w:spacing w:after="0" w:line="240" w:lineRule="auto"/>
        <w:jc w:val="both"/>
        <w:rPr>
          <w:rFonts w:ascii="Times New Roman" w:hAnsi="Times New Roman" w:cs="Times New Roman"/>
          <w:b/>
          <w:sz w:val="24"/>
          <w:szCs w:val="24"/>
        </w:rPr>
      </w:pPr>
    </w:p>
    <w:p w14:paraId="208F38B7" w14:textId="7B80F4EC" w:rsidR="00C07C1C" w:rsidRPr="00420699" w:rsidRDefault="003232FC" w:rsidP="00C07C1C">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C</w:t>
      </w:r>
      <w:r w:rsidRPr="00420699">
        <w:rPr>
          <w:rFonts w:ascii="Times New Roman" w:hAnsi="Times New Roman" w:cs="Times New Roman"/>
          <w:b/>
          <w:i/>
          <w:sz w:val="24"/>
          <w:szCs w:val="24"/>
        </w:rPr>
        <w:t>ourt application for review in terms of rule 62 of the high court rules, 2021 and ss 26 and 29 of the high court act [chapter 7:06])</w:t>
      </w:r>
    </w:p>
    <w:p w14:paraId="317F8179" w14:textId="77777777" w:rsidR="00C07C1C" w:rsidRDefault="00C07C1C" w:rsidP="00C07C1C">
      <w:pPr>
        <w:spacing w:after="0" w:line="240" w:lineRule="auto"/>
        <w:jc w:val="both"/>
        <w:rPr>
          <w:rFonts w:ascii="Times New Roman" w:hAnsi="Times New Roman" w:cs="Times New Roman"/>
          <w:sz w:val="28"/>
          <w:szCs w:val="28"/>
        </w:rPr>
      </w:pPr>
    </w:p>
    <w:p w14:paraId="46404062" w14:textId="77777777" w:rsidR="003232FC" w:rsidRDefault="003232FC" w:rsidP="00C07C1C">
      <w:pPr>
        <w:spacing w:after="0" w:line="240" w:lineRule="auto"/>
        <w:jc w:val="both"/>
        <w:rPr>
          <w:rFonts w:ascii="Times New Roman" w:hAnsi="Times New Roman" w:cs="Times New Roman"/>
          <w:i/>
          <w:sz w:val="24"/>
          <w:szCs w:val="24"/>
        </w:rPr>
      </w:pPr>
    </w:p>
    <w:p w14:paraId="0396D341" w14:textId="6EFE9396" w:rsidR="00C07C1C" w:rsidRDefault="00C07C1C" w:rsidP="00C07C1C">
      <w:pPr>
        <w:spacing w:after="0" w:line="240" w:lineRule="auto"/>
        <w:jc w:val="both"/>
        <w:rPr>
          <w:rFonts w:ascii="Times New Roman" w:hAnsi="Times New Roman" w:cs="Times New Roman"/>
          <w:sz w:val="24"/>
          <w:szCs w:val="24"/>
        </w:rPr>
      </w:pPr>
      <w:r w:rsidRPr="00420699">
        <w:rPr>
          <w:rFonts w:ascii="Times New Roman" w:hAnsi="Times New Roman" w:cs="Times New Roman"/>
          <w:i/>
          <w:sz w:val="24"/>
          <w:szCs w:val="24"/>
        </w:rPr>
        <w:t>Advocate T Mpofu</w:t>
      </w:r>
      <w:r w:rsidR="003232FC" w:rsidRPr="003232FC">
        <w:rPr>
          <w:rFonts w:ascii="Times New Roman" w:hAnsi="Times New Roman" w:cs="Times New Roman"/>
          <w:sz w:val="24"/>
          <w:szCs w:val="24"/>
        </w:rPr>
        <w:t>,</w:t>
      </w:r>
      <w:r w:rsidRPr="003232FC">
        <w:rPr>
          <w:rFonts w:ascii="Times New Roman" w:hAnsi="Times New Roman" w:cs="Times New Roman"/>
          <w:sz w:val="24"/>
          <w:szCs w:val="24"/>
        </w:rPr>
        <w:t xml:space="preserve"> for the applicants</w:t>
      </w:r>
    </w:p>
    <w:p w14:paraId="7C683EDB" w14:textId="62D33DF6" w:rsidR="003232FC" w:rsidRPr="003232FC" w:rsidRDefault="003232FC" w:rsidP="003232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First r</w:t>
      </w:r>
      <w:r w:rsidRPr="003232FC">
        <w:rPr>
          <w:rFonts w:ascii="Times New Roman" w:hAnsi="Times New Roman" w:cs="Times New Roman"/>
          <w:sz w:val="24"/>
          <w:szCs w:val="24"/>
        </w:rPr>
        <w:t>espondent in default</w:t>
      </w:r>
    </w:p>
    <w:p w14:paraId="4C33255A" w14:textId="582A3630" w:rsidR="00C07C1C" w:rsidRPr="00420699" w:rsidRDefault="00C07C1C" w:rsidP="00C07C1C">
      <w:pPr>
        <w:spacing w:after="0" w:line="240" w:lineRule="auto"/>
        <w:jc w:val="both"/>
        <w:rPr>
          <w:rFonts w:ascii="Times New Roman" w:hAnsi="Times New Roman" w:cs="Times New Roman"/>
          <w:i/>
          <w:sz w:val="24"/>
          <w:szCs w:val="24"/>
        </w:rPr>
      </w:pPr>
      <w:r w:rsidRPr="00420699">
        <w:rPr>
          <w:rFonts w:ascii="Times New Roman" w:hAnsi="Times New Roman" w:cs="Times New Roman"/>
          <w:i/>
          <w:sz w:val="24"/>
          <w:szCs w:val="24"/>
        </w:rPr>
        <w:t>KM Guveya</w:t>
      </w:r>
      <w:r w:rsidR="003232FC">
        <w:rPr>
          <w:rFonts w:ascii="Times New Roman" w:hAnsi="Times New Roman" w:cs="Times New Roman"/>
          <w:i/>
          <w:sz w:val="24"/>
          <w:szCs w:val="24"/>
        </w:rPr>
        <w:t>,</w:t>
      </w:r>
      <w:r w:rsidRPr="00420699">
        <w:rPr>
          <w:rFonts w:ascii="Times New Roman" w:hAnsi="Times New Roman" w:cs="Times New Roman"/>
          <w:i/>
          <w:sz w:val="24"/>
          <w:szCs w:val="24"/>
        </w:rPr>
        <w:t xml:space="preserve"> </w:t>
      </w:r>
      <w:r w:rsidR="003232FC">
        <w:rPr>
          <w:rFonts w:ascii="Times New Roman" w:hAnsi="Times New Roman" w:cs="Times New Roman"/>
          <w:sz w:val="24"/>
          <w:szCs w:val="24"/>
        </w:rPr>
        <w:t>for the second r</w:t>
      </w:r>
      <w:r w:rsidRPr="003232FC">
        <w:rPr>
          <w:rFonts w:ascii="Times New Roman" w:hAnsi="Times New Roman" w:cs="Times New Roman"/>
          <w:sz w:val="24"/>
          <w:szCs w:val="24"/>
        </w:rPr>
        <w:t>espondent</w:t>
      </w:r>
    </w:p>
    <w:p w14:paraId="0D93A895" w14:textId="77777777" w:rsidR="00625072" w:rsidRDefault="00625072" w:rsidP="00C07C1C">
      <w:pPr>
        <w:jc w:val="both"/>
        <w:rPr>
          <w:rFonts w:ascii="Times New Roman" w:hAnsi="Times New Roman" w:cs="Times New Roman"/>
          <w:sz w:val="24"/>
          <w:szCs w:val="24"/>
        </w:rPr>
      </w:pPr>
    </w:p>
    <w:p w14:paraId="74B71FF0" w14:textId="1ABECA68" w:rsidR="00C07C1C" w:rsidRDefault="00C07C1C" w:rsidP="00370124">
      <w:pPr>
        <w:spacing w:line="360" w:lineRule="auto"/>
        <w:jc w:val="both"/>
        <w:rPr>
          <w:rFonts w:ascii="Times New Roman" w:hAnsi="Times New Roman" w:cs="Times New Roman"/>
          <w:sz w:val="24"/>
          <w:szCs w:val="24"/>
        </w:rPr>
      </w:pPr>
      <w:r>
        <w:rPr>
          <w:rFonts w:ascii="Times New Roman" w:hAnsi="Times New Roman" w:cs="Times New Roman"/>
          <w:b/>
          <w:i/>
          <w:sz w:val="24"/>
          <w:szCs w:val="24"/>
        </w:rPr>
        <w:t xml:space="preserve">           </w:t>
      </w:r>
      <w:r w:rsidRPr="00370124">
        <w:rPr>
          <w:rFonts w:ascii="Times New Roman" w:hAnsi="Times New Roman" w:cs="Times New Roman"/>
          <w:b/>
          <w:sz w:val="24"/>
          <w:szCs w:val="24"/>
        </w:rPr>
        <w:t>NDUNA J</w:t>
      </w:r>
      <w:r w:rsidRPr="00370124">
        <w:rPr>
          <w:rFonts w:ascii="Times New Roman" w:hAnsi="Times New Roman" w:cs="Times New Roman"/>
          <w:sz w:val="24"/>
          <w:szCs w:val="24"/>
        </w:rPr>
        <w:t>:</w:t>
      </w:r>
      <w:r>
        <w:rPr>
          <w:rFonts w:ascii="Times New Roman" w:hAnsi="Times New Roman" w:cs="Times New Roman"/>
          <w:sz w:val="24"/>
          <w:szCs w:val="24"/>
        </w:rPr>
        <w:t xml:space="preserve"> The applicants appeared before the first Respondent in a criminal trial at Bulawayo. On appearance for trial</w:t>
      </w:r>
      <w:r w:rsidR="00C41C84">
        <w:rPr>
          <w:rFonts w:ascii="Times New Roman" w:hAnsi="Times New Roman" w:cs="Times New Roman"/>
          <w:sz w:val="24"/>
          <w:szCs w:val="24"/>
        </w:rPr>
        <w:t>,</w:t>
      </w:r>
      <w:r>
        <w:rPr>
          <w:rFonts w:ascii="Times New Roman" w:hAnsi="Times New Roman" w:cs="Times New Roman"/>
          <w:sz w:val="24"/>
          <w:szCs w:val="24"/>
        </w:rPr>
        <w:t xml:space="preserve"> the two took exception to the charge. The exception was dismissed by the first respondent and following the dismissal</w:t>
      </w:r>
      <w:r w:rsidR="003B1FE5">
        <w:rPr>
          <w:rFonts w:ascii="Times New Roman" w:hAnsi="Times New Roman" w:cs="Times New Roman"/>
          <w:sz w:val="24"/>
          <w:szCs w:val="24"/>
        </w:rPr>
        <w:t>,</w:t>
      </w:r>
      <w:r>
        <w:rPr>
          <w:rFonts w:ascii="Times New Roman" w:hAnsi="Times New Roman" w:cs="Times New Roman"/>
          <w:sz w:val="24"/>
          <w:szCs w:val="24"/>
        </w:rPr>
        <w:t xml:space="preserve"> the two took the matter for review b</w:t>
      </w:r>
      <w:r w:rsidR="00C41C84">
        <w:rPr>
          <w:rFonts w:ascii="Times New Roman" w:hAnsi="Times New Roman" w:cs="Times New Roman"/>
          <w:sz w:val="24"/>
          <w:szCs w:val="24"/>
        </w:rPr>
        <w:t>efore</w:t>
      </w:r>
      <w:r>
        <w:rPr>
          <w:rFonts w:ascii="Times New Roman" w:hAnsi="Times New Roman" w:cs="Times New Roman"/>
          <w:sz w:val="24"/>
          <w:szCs w:val="24"/>
        </w:rPr>
        <w:t xml:space="preserve"> this court. The two pray for an order to the following effect: -</w:t>
      </w:r>
    </w:p>
    <w:p w14:paraId="305122CA" w14:textId="2467AA5C" w:rsidR="00C07C1C" w:rsidRPr="00C07C1C" w:rsidRDefault="00C07C1C" w:rsidP="00370124">
      <w:pPr>
        <w:pStyle w:val="ListParagraph"/>
        <w:numPr>
          <w:ilvl w:val="0"/>
          <w:numId w:val="1"/>
        </w:numPr>
        <w:spacing w:line="360" w:lineRule="auto"/>
        <w:jc w:val="both"/>
        <w:rPr>
          <w:rFonts w:ascii="Times New Roman" w:hAnsi="Times New Roman" w:cs="Times New Roman"/>
          <w:sz w:val="24"/>
          <w:szCs w:val="24"/>
        </w:rPr>
      </w:pPr>
      <w:r w:rsidRPr="00C07C1C">
        <w:rPr>
          <w:rFonts w:ascii="Times New Roman" w:hAnsi="Times New Roman" w:cs="Times New Roman"/>
          <w:sz w:val="24"/>
          <w:szCs w:val="24"/>
        </w:rPr>
        <w:t>The ruling of the 2</w:t>
      </w:r>
      <w:r w:rsidRPr="00BE6F7B">
        <w:rPr>
          <w:rFonts w:ascii="Times New Roman" w:hAnsi="Times New Roman" w:cs="Times New Roman"/>
          <w:sz w:val="24"/>
          <w:szCs w:val="24"/>
          <w:vertAlign w:val="superscript"/>
        </w:rPr>
        <w:t>nd</w:t>
      </w:r>
      <w:r w:rsidR="00C41C84">
        <w:rPr>
          <w:rFonts w:ascii="Times New Roman" w:hAnsi="Times New Roman" w:cs="Times New Roman"/>
          <w:sz w:val="24"/>
          <w:szCs w:val="24"/>
        </w:rPr>
        <w:t xml:space="preserve"> </w:t>
      </w:r>
      <w:r w:rsidRPr="00C07C1C">
        <w:rPr>
          <w:rFonts w:ascii="Times New Roman" w:hAnsi="Times New Roman" w:cs="Times New Roman"/>
          <w:sz w:val="24"/>
          <w:szCs w:val="24"/>
        </w:rPr>
        <w:t>Respondent delivered on 28 October 2025 in CRB 686–</w:t>
      </w:r>
      <w:r>
        <w:rPr>
          <w:rFonts w:ascii="Times New Roman" w:hAnsi="Times New Roman" w:cs="Times New Roman"/>
          <w:sz w:val="24"/>
          <w:szCs w:val="24"/>
        </w:rPr>
        <w:t xml:space="preserve">7/25 </w:t>
      </w:r>
      <w:r w:rsidRPr="00C07C1C">
        <w:rPr>
          <w:rFonts w:ascii="Times New Roman" w:hAnsi="Times New Roman" w:cs="Times New Roman"/>
          <w:sz w:val="24"/>
          <w:szCs w:val="24"/>
        </w:rPr>
        <w:t>dismissing the Applicants’ exception is hereby reviewed and set aside.</w:t>
      </w:r>
    </w:p>
    <w:p w14:paraId="33B068BD" w14:textId="77777777" w:rsidR="00C07C1C" w:rsidRDefault="00C07C1C" w:rsidP="00370124">
      <w:pPr>
        <w:pStyle w:val="ListParagraph"/>
        <w:numPr>
          <w:ilvl w:val="0"/>
          <w:numId w:val="1"/>
        </w:numPr>
        <w:spacing w:line="360" w:lineRule="auto"/>
        <w:jc w:val="both"/>
        <w:rPr>
          <w:rFonts w:ascii="Times New Roman" w:hAnsi="Times New Roman" w:cs="Times New Roman"/>
          <w:sz w:val="24"/>
          <w:szCs w:val="24"/>
        </w:rPr>
      </w:pPr>
      <w:r w:rsidRPr="00C07C1C">
        <w:rPr>
          <w:rFonts w:ascii="Times New Roman" w:hAnsi="Times New Roman" w:cs="Times New Roman"/>
          <w:sz w:val="24"/>
          <w:szCs w:val="24"/>
        </w:rPr>
        <w:t xml:space="preserve"> The charge of theft under s 113 of the Criminal Law (Codification and Reform)</w:t>
      </w:r>
      <w:r>
        <w:rPr>
          <w:rFonts w:ascii="Times New Roman" w:hAnsi="Times New Roman" w:cs="Times New Roman"/>
          <w:sz w:val="24"/>
          <w:szCs w:val="24"/>
        </w:rPr>
        <w:t xml:space="preserve"> </w:t>
      </w:r>
      <w:r w:rsidRPr="00C07C1C">
        <w:rPr>
          <w:rFonts w:ascii="Times New Roman" w:hAnsi="Times New Roman" w:cs="Times New Roman"/>
          <w:sz w:val="24"/>
          <w:szCs w:val="24"/>
        </w:rPr>
        <w:t>Act [</w:t>
      </w:r>
      <w:r w:rsidRPr="00BE6F7B">
        <w:rPr>
          <w:rFonts w:ascii="Times New Roman" w:hAnsi="Times New Roman" w:cs="Times New Roman"/>
          <w:i/>
          <w:sz w:val="24"/>
          <w:szCs w:val="24"/>
        </w:rPr>
        <w:t>Chapter 9:23</w:t>
      </w:r>
      <w:r w:rsidRPr="00C07C1C">
        <w:rPr>
          <w:rFonts w:ascii="Times New Roman" w:hAnsi="Times New Roman" w:cs="Times New Roman"/>
          <w:sz w:val="24"/>
          <w:szCs w:val="24"/>
        </w:rPr>
        <w:t>] preferred against the Applicants in CRB 686–7/25 is hereby quashed for failure to disclose any offence known to law.</w:t>
      </w:r>
    </w:p>
    <w:p w14:paraId="11AEEDD5" w14:textId="77777777" w:rsidR="00420699" w:rsidRDefault="00C07C1C" w:rsidP="00370124">
      <w:pPr>
        <w:pStyle w:val="ListParagraph"/>
        <w:numPr>
          <w:ilvl w:val="0"/>
          <w:numId w:val="1"/>
        </w:numPr>
        <w:spacing w:line="360" w:lineRule="auto"/>
        <w:jc w:val="both"/>
        <w:rPr>
          <w:rFonts w:ascii="Times New Roman" w:hAnsi="Times New Roman" w:cs="Times New Roman"/>
          <w:sz w:val="24"/>
          <w:szCs w:val="24"/>
        </w:rPr>
      </w:pPr>
      <w:r w:rsidRPr="00C07C1C">
        <w:rPr>
          <w:rFonts w:ascii="Times New Roman" w:hAnsi="Times New Roman" w:cs="Times New Roman"/>
          <w:sz w:val="24"/>
          <w:szCs w:val="24"/>
        </w:rPr>
        <w:t>The continuation of proceedings in CRB 686–7/25 is declared an abuse of process and is permanently stayed.</w:t>
      </w:r>
    </w:p>
    <w:p w14:paraId="7EE6CFAE" w14:textId="77777777" w:rsidR="0026779B" w:rsidRDefault="0026779B" w:rsidP="00370124">
      <w:pPr>
        <w:spacing w:line="360" w:lineRule="auto"/>
        <w:jc w:val="both"/>
        <w:rPr>
          <w:rFonts w:ascii="Times New Roman" w:hAnsi="Times New Roman" w:cs="Times New Roman"/>
          <w:b/>
          <w:sz w:val="24"/>
          <w:szCs w:val="24"/>
          <w:lang w:val="en-US"/>
        </w:rPr>
      </w:pPr>
    </w:p>
    <w:p w14:paraId="77BA351A" w14:textId="77777777" w:rsidR="00420699" w:rsidRPr="00420699" w:rsidRDefault="00420699" w:rsidP="00370124">
      <w:pPr>
        <w:spacing w:line="360" w:lineRule="auto"/>
        <w:jc w:val="both"/>
        <w:rPr>
          <w:rFonts w:ascii="Times New Roman" w:hAnsi="Times New Roman" w:cs="Times New Roman"/>
          <w:b/>
          <w:sz w:val="24"/>
          <w:szCs w:val="24"/>
          <w:lang w:val="en-US"/>
        </w:rPr>
      </w:pPr>
      <w:r w:rsidRPr="00420699">
        <w:rPr>
          <w:rFonts w:ascii="Times New Roman" w:hAnsi="Times New Roman" w:cs="Times New Roman"/>
          <w:b/>
          <w:sz w:val="24"/>
          <w:szCs w:val="24"/>
          <w:lang w:val="en-US"/>
        </w:rPr>
        <w:lastRenderedPageBreak/>
        <w:t xml:space="preserve">FACTUAL BACKGROUND </w:t>
      </w:r>
    </w:p>
    <w:p w14:paraId="769E8B6E" w14:textId="02943C90" w:rsidR="00420699" w:rsidRPr="00420699" w:rsidRDefault="00420699" w:rsidP="00370124">
      <w:pPr>
        <w:spacing w:line="360" w:lineRule="auto"/>
        <w:ind w:firstLine="720"/>
        <w:jc w:val="both"/>
        <w:rPr>
          <w:rFonts w:ascii="Times New Roman" w:hAnsi="Times New Roman" w:cs="Times New Roman"/>
          <w:sz w:val="24"/>
          <w:szCs w:val="24"/>
          <w:lang w:val="en-US"/>
        </w:rPr>
      </w:pPr>
      <w:r w:rsidRPr="00420699">
        <w:rPr>
          <w:rFonts w:ascii="Times New Roman" w:hAnsi="Times New Roman" w:cs="Times New Roman"/>
          <w:sz w:val="24"/>
          <w:szCs w:val="24"/>
          <w:lang w:val="en-US"/>
        </w:rPr>
        <w:t xml:space="preserve">The dispute arises from criminal proceedings instituted under CRB 686–7/25, in which the Applicants were charged with theft in contravention of section 113 of the Criminal Law (Codification </w:t>
      </w:r>
      <w:r>
        <w:rPr>
          <w:rFonts w:ascii="Times New Roman" w:hAnsi="Times New Roman" w:cs="Times New Roman"/>
          <w:sz w:val="24"/>
          <w:szCs w:val="24"/>
          <w:lang w:val="en-US"/>
        </w:rPr>
        <w:t>and Reform) Act [</w:t>
      </w:r>
      <w:r w:rsidRPr="00BE6F7B">
        <w:rPr>
          <w:rFonts w:ascii="Times New Roman" w:hAnsi="Times New Roman" w:cs="Times New Roman"/>
          <w:i/>
          <w:sz w:val="24"/>
          <w:szCs w:val="24"/>
          <w:lang w:val="en-US"/>
        </w:rPr>
        <w:t>Chapter 9:23</w:t>
      </w:r>
      <w:r>
        <w:rPr>
          <w:rFonts w:ascii="Times New Roman" w:hAnsi="Times New Roman" w:cs="Times New Roman"/>
          <w:sz w:val="24"/>
          <w:szCs w:val="24"/>
          <w:lang w:val="en-US"/>
        </w:rPr>
        <w:t>].</w:t>
      </w:r>
      <w:r w:rsidRPr="00420699">
        <w:rPr>
          <w:rFonts w:ascii="Times New Roman" w:hAnsi="Times New Roman" w:cs="Times New Roman"/>
          <w:sz w:val="24"/>
          <w:szCs w:val="24"/>
          <w:lang w:val="en-US"/>
        </w:rPr>
        <w:t>The charge stems from a commercial transaction involving contractual cancellation and refund payments. The Applicants maintain that the matter was civil in nature and that it related to contractual obligations and subsequent refund arrangements. Related civil litigation under case number HC1958/2020 was ultimately dismissed. Despite this civil background, the Applicants were prosecuted criminally and raised an exception to the charge on the basis that it failed to disclose an offence known to</w:t>
      </w:r>
    </w:p>
    <w:p w14:paraId="3B57ECB4" w14:textId="77777777" w:rsidR="00420699" w:rsidRPr="00420699" w:rsidRDefault="00420699" w:rsidP="00370124">
      <w:pPr>
        <w:spacing w:line="360" w:lineRule="auto"/>
        <w:jc w:val="both"/>
        <w:rPr>
          <w:rFonts w:ascii="Times New Roman" w:hAnsi="Times New Roman" w:cs="Times New Roman"/>
          <w:sz w:val="24"/>
          <w:szCs w:val="24"/>
          <w:lang w:val="en-US"/>
        </w:rPr>
      </w:pPr>
      <w:r w:rsidRPr="00420699">
        <w:rPr>
          <w:rFonts w:ascii="Times New Roman" w:hAnsi="Times New Roman" w:cs="Times New Roman"/>
          <w:sz w:val="24"/>
          <w:szCs w:val="24"/>
          <w:lang w:val="en-US"/>
        </w:rPr>
        <w:t>On 28 October 2025, the Regional Magistrate dismissed the Applicants’ exception and ruled that the charge was triable. The Applicants contend that the decision constitutes a gross irregularity, is grossly unreasonable, and reflects a misdirection in law. They argue that the charge sheet does not set out the essential elements of theft, including identification of the property, ownership, unlawful appropriation, and intention to permanently deprive.</w:t>
      </w:r>
    </w:p>
    <w:p w14:paraId="759CADB1" w14:textId="77777777" w:rsidR="00420699" w:rsidRPr="00420699" w:rsidRDefault="00420699" w:rsidP="00370124">
      <w:pPr>
        <w:spacing w:line="360" w:lineRule="auto"/>
        <w:ind w:firstLine="720"/>
        <w:jc w:val="both"/>
        <w:rPr>
          <w:rFonts w:ascii="Times New Roman" w:hAnsi="Times New Roman" w:cs="Times New Roman"/>
          <w:sz w:val="24"/>
          <w:szCs w:val="24"/>
          <w:lang w:val="en-US"/>
        </w:rPr>
      </w:pPr>
      <w:r w:rsidRPr="00420699">
        <w:rPr>
          <w:rFonts w:ascii="Times New Roman" w:hAnsi="Times New Roman" w:cs="Times New Roman"/>
          <w:sz w:val="24"/>
          <w:szCs w:val="24"/>
          <w:lang w:val="en-US"/>
        </w:rPr>
        <w:t>The Applicants further submit that the continuation of the proceedings amounts to an abuse of process, particularly in light of the prior dismissal of the related civil claim. They contend that the criminal prosecution seeks to revive issues previously ventilated in civil proceedings, thereby undermining procedural fairness. They also assert that the record of proceedings reveals inconsistencies and omissions which compromise the integrity of the process.</w:t>
      </w:r>
    </w:p>
    <w:p w14:paraId="6ACC8440" w14:textId="623A1726" w:rsidR="00420699" w:rsidRPr="00420699" w:rsidRDefault="00420699" w:rsidP="003701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On the day of the hearing</w:t>
      </w:r>
      <w:r w:rsidR="00C41C84">
        <w:rPr>
          <w:rFonts w:ascii="Times New Roman" w:hAnsi="Times New Roman" w:cs="Times New Roman"/>
          <w:sz w:val="24"/>
          <w:szCs w:val="24"/>
          <w:lang w:val="en-US"/>
        </w:rPr>
        <w:t>,</w:t>
      </w:r>
      <w:r>
        <w:rPr>
          <w:rFonts w:ascii="Times New Roman" w:hAnsi="Times New Roman" w:cs="Times New Roman"/>
          <w:sz w:val="24"/>
          <w:szCs w:val="24"/>
          <w:lang w:val="en-US"/>
        </w:rPr>
        <w:t xml:space="preserve"> the 2</w:t>
      </w:r>
      <w:r w:rsidRPr="00420699">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w:t>
      </w:r>
      <w:r w:rsidRPr="00420699">
        <w:rPr>
          <w:rFonts w:ascii="Times New Roman" w:hAnsi="Times New Roman" w:cs="Times New Roman"/>
          <w:sz w:val="24"/>
          <w:szCs w:val="24"/>
          <w:lang w:val="en-US"/>
        </w:rPr>
        <w:t>respondent entered appea</w:t>
      </w:r>
      <w:r>
        <w:rPr>
          <w:rFonts w:ascii="Times New Roman" w:hAnsi="Times New Roman" w:cs="Times New Roman"/>
          <w:sz w:val="24"/>
          <w:szCs w:val="24"/>
          <w:lang w:val="en-US"/>
        </w:rPr>
        <w:t>r</w:t>
      </w:r>
      <w:r w:rsidR="00370124">
        <w:rPr>
          <w:rFonts w:ascii="Times New Roman" w:hAnsi="Times New Roman" w:cs="Times New Roman"/>
          <w:sz w:val="24"/>
          <w:szCs w:val="24"/>
          <w:lang w:val="en-US"/>
        </w:rPr>
        <w:t>ed and</w:t>
      </w:r>
      <w:r>
        <w:rPr>
          <w:rFonts w:ascii="Times New Roman" w:hAnsi="Times New Roman" w:cs="Times New Roman"/>
          <w:sz w:val="24"/>
          <w:szCs w:val="24"/>
          <w:lang w:val="en-US"/>
        </w:rPr>
        <w:t xml:space="preserve"> raised a preliminary point to strike out additional pleadings which had been filed by the applicant.</w:t>
      </w:r>
      <w:r w:rsidRPr="00420699">
        <w:rPr>
          <w:rFonts w:ascii="Times New Roman" w:hAnsi="Times New Roman" w:cs="Times New Roman"/>
          <w:sz w:val="24"/>
          <w:szCs w:val="24"/>
          <w:lang w:val="en-US"/>
        </w:rPr>
        <w:t xml:space="preserve"> Upon that appearance, the applicant</w:t>
      </w:r>
      <w:r w:rsidR="00B96775">
        <w:rPr>
          <w:rFonts w:ascii="Times New Roman" w:hAnsi="Times New Roman" w:cs="Times New Roman"/>
          <w:sz w:val="24"/>
          <w:szCs w:val="24"/>
          <w:lang w:val="en-US"/>
        </w:rPr>
        <w:t xml:space="preserve"> also</w:t>
      </w:r>
      <w:r w:rsidRPr="00420699">
        <w:rPr>
          <w:rFonts w:ascii="Times New Roman" w:hAnsi="Times New Roman" w:cs="Times New Roman"/>
          <w:sz w:val="24"/>
          <w:szCs w:val="24"/>
          <w:lang w:val="en-US"/>
        </w:rPr>
        <w:t xml:space="preserve"> raised a preliminary objection. The applicant contends that the legal practitioner representing the second respondent ought not to have been permitted to act, on the basis that he is the deponent to the affidavits filed of record. Having deposed to the affidavits, he assumed the position of a witness and is thereby precluded from acting as counsel in the same proceedings.</w:t>
      </w:r>
    </w:p>
    <w:p w14:paraId="42FA708E" w14:textId="77777777" w:rsidR="00420699" w:rsidRDefault="00420699" w:rsidP="00370124">
      <w:pPr>
        <w:spacing w:line="360" w:lineRule="auto"/>
        <w:ind w:firstLine="720"/>
        <w:jc w:val="both"/>
        <w:rPr>
          <w:rFonts w:ascii="Times New Roman" w:hAnsi="Times New Roman" w:cs="Times New Roman"/>
          <w:sz w:val="24"/>
          <w:szCs w:val="24"/>
          <w:lang w:val="en-US"/>
        </w:rPr>
      </w:pPr>
      <w:r w:rsidRPr="00420699">
        <w:rPr>
          <w:rFonts w:ascii="Times New Roman" w:hAnsi="Times New Roman" w:cs="Times New Roman"/>
          <w:sz w:val="24"/>
          <w:szCs w:val="24"/>
          <w:lang w:val="en-US"/>
        </w:rPr>
        <w:t xml:space="preserve">The second respondent, in response, argues that the legal practitioner’s involvement was limited to the initial hearing. It is contended that he intended only to </w:t>
      </w:r>
      <w:r w:rsidRPr="00420699">
        <w:rPr>
          <w:rFonts w:ascii="Times New Roman" w:hAnsi="Times New Roman" w:cs="Times New Roman"/>
          <w:sz w:val="24"/>
          <w:szCs w:val="24"/>
          <w:lang w:val="en-US"/>
        </w:rPr>
        <w:lastRenderedPageBreak/>
        <w:t>address the court on the application to strike out certain pleadings and thereafter relinquish conduct of the matter to another practitioner.</w:t>
      </w:r>
    </w:p>
    <w:p w14:paraId="1CBCC13E" w14:textId="77777777" w:rsidR="00420699" w:rsidRPr="00420699" w:rsidRDefault="00420699" w:rsidP="00370124">
      <w:pPr>
        <w:spacing w:line="360" w:lineRule="auto"/>
        <w:jc w:val="both"/>
        <w:rPr>
          <w:rFonts w:ascii="Times New Roman" w:hAnsi="Times New Roman" w:cs="Times New Roman"/>
          <w:b/>
          <w:sz w:val="24"/>
          <w:szCs w:val="24"/>
          <w:lang w:val="en-US"/>
        </w:rPr>
      </w:pPr>
      <w:r w:rsidRPr="00420699">
        <w:rPr>
          <w:rFonts w:ascii="Times New Roman" w:hAnsi="Times New Roman" w:cs="Times New Roman"/>
          <w:b/>
          <w:sz w:val="24"/>
          <w:szCs w:val="24"/>
          <w:lang w:val="en-US"/>
        </w:rPr>
        <w:t>APPLICATION OF THE LAW</w:t>
      </w:r>
    </w:p>
    <w:p w14:paraId="229C1C13" w14:textId="77777777" w:rsidR="00420699" w:rsidRPr="00420699" w:rsidRDefault="00420699" w:rsidP="00370124">
      <w:pPr>
        <w:spacing w:line="360" w:lineRule="auto"/>
        <w:ind w:firstLine="720"/>
        <w:jc w:val="both"/>
        <w:rPr>
          <w:rFonts w:ascii="Times New Roman" w:hAnsi="Times New Roman" w:cs="Times New Roman"/>
          <w:sz w:val="24"/>
          <w:szCs w:val="24"/>
          <w:lang w:val="en-US"/>
        </w:rPr>
      </w:pPr>
      <w:r w:rsidRPr="00420699">
        <w:rPr>
          <w:rFonts w:ascii="Times New Roman" w:hAnsi="Times New Roman" w:cs="Times New Roman"/>
          <w:sz w:val="24"/>
          <w:szCs w:val="24"/>
          <w:lang w:val="en-US"/>
        </w:rPr>
        <w:t>It is common cause that the legal practitioner addressed the court and sought the striking out of specified pleadings. He maintains that his role was confined to arguing that interlocutory issue. The applicant challenges this approach and submits that such a division of roles is impermissible. Once a legal practitioner deposes to affidavits in contested proceedings, he cannot competently assume the role of advocate in the same matter. The objection is therefore directed at the propriety of the dual role undertaken.</w:t>
      </w:r>
    </w:p>
    <w:p w14:paraId="13286BFC" w14:textId="77777777" w:rsidR="00420699" w:rsidRPr="00420699" w:rsidRDefault="00420699" w:rsidP="00370124">
      <w:pPr>
        <w:spacing w:line="360" w:lineRule="auto"/>
        <w:ind w:firstLine="720"/>
        <w:jc w:val="both"/>
        <w:rPr>
          <w:rFonts w:ascii="Times New Roman" w:hAnsi="Times New Roman" w:cs="Times New Roman"/>
          <w:sz w:val="24"/>
          <w:szCs w:val="24"/>
          <w:lang w:val="en-US"/>
        </w:rPr>
      </w:pPr>
      <w:r w:rsidRPr="00420699">
        <w:rPr>
          <w:rFonts w:ascii="Times New Roman" w:hAnsi="Times New Roman" w:cs="Times New Roman"/>
          <w:sz w:val="24"/>
          <w:szCs w:val="24"/>
          <w:lang w:val="en-US"/>
        </w:rPr>
        <w:t>The matter before the court is a single, indivisible proceeding. It cannot be fragmented by allocating representation of one party to one legal practitioner and another party to a different practitioner in a manner that treats the proceedings as separate causes.</w:t>
      </w:r>
      <w:r>
        <w:rPr>
          <w:rFonts w:ascii="Times New Roman" w:hAnsi="Times New Roman" w:cs="Times New Roman"/>
          <w:sz w:val="24"/>
          <w:szCs w:val="24"/>
          <w:lang w:val="en-US"/>
        </w:rPr>
        <w:t xml:space="preserve"> Both practitioners were</w:t>
      </w:r>
      <w:r w:rsidRPr="00420699">
        <w:rPr>
          <w:rFonts w:ascii="Times New Roman" w:hAnsi="Times New Roman" w:cs="Times New Roman"/>
          <w:sz w:val="24"/>
          <w:szCs w:val="24"/>
          <w:lang w:val="en-US"/>
        </w:rPr>
        <w:t xml:space="preserve"> act</w:t>
      </w:r>
      <w:r>
        <w:rPr>
          <w:rFonts w:ascii="Times New Roman" w:hAnsi="Times New Roman" w:cs="Times New Roman"/>
          <w:sz w:val="24"/>
          <w:szCs w:val="24"/>
          <w:lang w:val="en-US"/>
        </w:rPr>
        <w:t>ing</w:t>
      </w:r>
      <w:r w:rsidRPr="00420699">
        <w:rPr>
          <w:rFonts w:ascii="Times New Roman" w:hAnsi="Times New Roman" w:cs="Times New Roman"/>
          <w:sz w:val="24"/>
          <w:szCs w:val="24"/>
          <w:lang w:val="en-US"/>
        </w:rPr>
        <w:t xml:space="preserve"> on behalf of the same authority, namely the Prosecutor-General. Their participation formed part of one continuous and unified representation in the same proceedings. It is therefore impermissible to isolate the conduct of one practitioner from that of the other as though distinct mandates existed.</w:t>
      </w:r>
    </w:p>
    <w:p w14:paraId="10C36F20" w14:textId="56B23AB8" w:rsidR="00420699" w:rsidRPr="00420699" w:rsidRDefault="00420699" w:rsidP="00370124">
      <w:pPr>
        <w:spacing w:line="360" w:lineRule="auto"/>
        <w:ind w:firstLine="720"/>
        <w:jc w:val="both"/>
        <w:rPr>
          <w:rFonts w:ascii="Times New Roman" w:hAnsi="Times New Roman" w:cs="Times New Roman"/>
          <w:sz w:val="24"/>
          <w:szCs w:val="24"/>
          <w:lang w:val="en-US"/>
        </w:rPr>
      </w:pPr>
      <w:r w:rsidRPr="00420699">
        <w:rPr>
          <w:rFonts w:ascii="Times New Roman" w:hAnsi="Times New Roman" w:cs="Times New Roman"/>
          <w:sz w:val="24"/>
          <w:szCs w:val="24"/>
          <w:lang w:val="en-US"/>
        </w:rPr>
        <w:t xml:space="preserve">The second legal practitioner </w:t>
      </w:r>
      <w:r w:rsidR="00BE6F7B">
        <w:rPr>
          <w:rFonts w:ascii="Times New Roman" w:hAnsi="Times New Roman" w:cs="Times New Roman"/>
          <w:sz w:val="24"/>
          <w:szCs w:val="24"/>
          <w:lang w:val="en-US"/>
        </w:rPr>
        <w:t>for the 2</w:t>
      </w:r>
      <w:r w:rsidR="00BE6F7B" w:rsidRPr="00BE6F7B">
        <w:rPr>
          <w:rFonts w:ascii="Times New Roman" w:hAnsi="Times New Roman" w:cs="Times New Roman"/>
          <w:sz w:val="24"/>
          <w:szCs w:val="24"/>
          <w:vertAlign w:val="superscript"/>
          <w:lang w:val="en-US"/>
        </w:rPr>
        <w:t>nd</w:t>
      </w:r>
      <w:r w:rsidR="00BE6F7B">
        <w:rPr>
          <w:rFonts w:ascii="Times New Roman" w:hAnsi="Times New Roman" w:cs="Times New Roman"/>
          <w:sz w:val="24"/>
          <w:szCs w:val="24"/>
          <w:lang w:val="en-US"/>
        </w:rPr>
        <w:t xml:space="preserve"> Respondent </w:t>
      </w:r>
      <w:r w:rsidRPr="00420699">
        <w:rPr>
          <w:rFonts w:ascii="Times New Roman" w:hAnsi="Times New Roman" w:cs="Times New Roman"/>
          <w:sz w:val="24"/>
          <w:szCs w:val="24"/>
          <w:lang w:val="en-US"/>
        </w:rPr>
        <w:t>has adopted and relied upon the same pleadings filed by the first. Those pleadings remain part of the same defective process. The proceedings cannot be cured by a superficial change in representation while the foundational documents remain tainted.</w:t>
      </w:r>
      <w:r>
        <w:rPr>
          <w:rFonts w:ascii="Times New Roman" w:hAnsi="Times New Roman" w:cs="Times New Roman"/>
          <w:sz w:val="24"/>
          <w:szCs w:val="24"/>
          <w:lang w:val="en-US"/>
        </w:rPr>
        <w:t xml:space="preserve"> </w:t>
      </w:r>
      <w:r w:rsidRPr="00420699">
        <w:rPr>
          <w:rFonts w:ascii="Times New Roman" w:hAnsi="Times New Roman" w:cs="Times New Roman"/>
          <w:sz w:val="24"/>
          <w:szCs w:val="24"/>
          <w:lang w:val="en-US"/>
        </w:rPr>
        <w:t>The matter is not divisible in law or in fact in the manner suggested. The attempted separation is artificial and without legal effect.</w:t>
      </w:r>
    </w:p>
    <w:p w14:paraId="348AEA87" w14:textId="02DDB89E" w:rsidR="007C5490" w:rsidRDefault="007C5490" w:rsidP="003701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7C5490">
        <w:rPr>
          <w:rFonts w:ascii="Times New Roman" w:hAnsi="Times New Roman" w:cs="Times New Roman"/>
          <w:i/>
          <w:sz w:val="24"/>
          <w:szCs w:val="24"/>
        </w:rPr>
        <w:t xml:space="preserve">Wendall Robert Parson vs Gillian Therese </w:t>
      </w:r>
      <w:r w:rsidR="00420699" w:rsidRPr="007C5490">
        <w:rPr>
          <w:rFonts w:ascii="Times New Roman" w:hAnsi="Times New Roman" w:cs="Times New Roman"/>
          <w:i/>
          <w:sz w:val="24"/>
          <w:szCs w:val="24"/>
        </w:rPr>
        <w:t xml:space="preserve">Jackson </w:t>
      </w:r>
      <w:r w:rsidR="00420699" w:rsidRPr="00BE6F7B">
        <w:rPr>
          <w:rFonts w:ascii="Times New Roman" w:hAnsi="Times New Roman" w:cs="Times New Roman"/>
          <w:sz w:val="24"/>
          <w:szCs w:val="24"/>
        </w:rPr>
        <w:t>HH</w:t>
      </w:r>
      <w:r w:rsidR="00C41C84" w:rsidRPr="00BE6F7B">
        <w:rPr>
          <w:rFonts w:ascii="Times New Roman" w:hAnsi="Times New Roman" w:cs="Times New Roman"/>
          <w:sz w:val="24"/>
          <w:szCs w:val="24"/>
        </w:rPr>
        <w:t xml:space="preserve"> </w:t>
      </w:r>
      <w:r w:rsidR="00420699" w:rsidRPr="00BE6F7B">
        <w:rPr>
          <w:rFonts w:ascii="Times New Roman" w:hAnsi="Times New Roman" w:cs="Times New Roman"/>
          <w:sz w:val="24"/>
          <w:szCs w:val="24"/>
        </w:rPr>
        <w:t>792</w:t>
      </w:r>
      <w:r w:rsidR="00370124">
        <w:rPr>
          <w:rFonts w:ascii="Times New Roman" w:hAnsi="Times New Roman" w:cs="Times New Roman"/>
          <w:sz w:val="24"/>
          <w:szCs w:val="24"/>
        </w:rPr>
        <w:t>-</w:t>
      </w:r>
      <w:r w:rsidRPr="00BE6F7B">
        <w:rPr>
          <w:rFonts w:ascii="Times New Roman" w:hAnsi="Times New Roman" w:cs="Times New Roman"/>
          <w:sz w:val="24"/>
          <w:szCs w:val="24"/>
        </w:rPr>
        <w:t>17</w:t>
      </w:r>
      <w:r w:rsidR="00420699" w:rsidRPr="00BE6F7B">
        <w:rPr>
          <w:rFonts w:ascii="Times New Roman" w:hAnsi="Times New Roman" w:cs="Times New Roman"/>
          <w:sz w:val="24"/>
          <w:szCs w:val="24"/>
        </w:rPr>
        <w:t xml:space="preserve"> p6</w:t>
      </w:r>
      <w:r>
        <w:rPr>
          <w:rFonts w:ascii="Times New Roman" w:hAnsi="Times New Roman" w:cs="Times New Roman"/>
          <w:sz w:val="24"/>
          <w:szCs w:val="24"/>
        </w:rPr>
        <w:t xml:space="preserve"> it was held that such an arrangement does not meet the scale</w:t>
      </w:r>
      <w:r w:rsidR="00420699">
        <w:rPr>
          <w:rFonts w:ascii="Times New Roman" w:hAnsi="Times New Roman" w:cs="Times New Roman"/>
          <w:sz w:val="24"/>
          <w:szCs w:val="24"/>
        </w:rPr>
        <w:t>s of justice where it was stated</w:t>
      </w:r>
      <w:r w:rsidR="00C41C84">
        <w:rPr>
          <w:rFonts w:ascii="Times New Roman" w:hAnsi="Times New Roman" w:cs="Times New Roman"/>
          <w:sz w:val="24"/>
          <w:szCs w:val="24"/>
        </w:rPr>
        <w:t>:</w:t>
      </w:r>
    </w:p>
    <w:p w14:paraId="505416F5" w14:textId="77777777" w:rsidR="007C5490" w:rsidRPr="00420699" w:rsidRDefault="00420699" w:rsidP="00370124">
      <w:pPr>
        <w:spacing w:line="240" w:lineRule="auto"/>
        <w:ind w:left="720"/>
        <w:jc w:val="both"/>
        <w:rPr>
          <w:rFonts w:ascii="Times New Roman" w:hAnsi="Times New Roman" w:cs="Times New Roman"/>
          <w:sz w:val="24"/>
          <w:szCs w:val="24"/>
        </w:rPr>
      </w:pPr>
      <w:r w:rsidRPr="00420699">
        <w:rPr>
          <w:rFonts w:ascii="Times New Roman" w:hAnsi="Times New Roman" w:cs="Times New Roman"/>
          <w:sz w:val="24"/>
          <w:szCs w:val="24"/>
        </w:rPr>
        <w:t>“</w:t>
      </w:r>
      <w:r w:rsidR="007C5490" w:rsidRPr="00420699">
        <w:rPr>
          <w:rFonts w:ascii="Times New Roman" w:hAnsi="Times New Roman" w:cs="Times New Roman"/>
          <w:sz w:val="24"/>
          <w:szCs w:val="24"/>
        </w:rPr>
        <w:t>It must follow therefore that despite the concession by Mr Samkange, I hold the view that allowing a legal practitioner to use the same papers prepared by a conflicted legal practitioner is irregular and improper.</w:t>
      </w:r>
      <w:r w:rsidR="007C5490" w:rsidRPr="00420699">
        <w:t xml:space="preserve"> </w:t>
      </w:r>
      <w:r w:rsidR="007C5490" w:rsidRPr="00420699">
        <w:rPr>
          <w:rFonts w:ascii="Times New Roman" w:hAnsi="Times New Roman" w:cs="Times New Roman"/>
          <w:sz w:val="24"/>
          <w:szCs w:val="24"/>
        </w:rPr>
        <w:t>It is only in exceptional circumstances that such a situation should be condoned</w:t>
      </w:r>
      <w:r w:rsidRPr="00420699">
        <w:rPr>
          <w:rFonts w:ascii="Times New Roman" w:hAnsi="Times New Roman" w:cs="Times New Roman"/>
          <w:sz w:val="24"/>
          <w:szCs w:val="24"/>
        </w:rPr>
        <w:t>”</w:t>
      </w:r>
      <w:r w:rsidR="007C5490" w:rsidRPr="00420699">
        <w:rPr>
          <w:rFonts w:ascii="Times New Roman" w:hAnsi="Times New Roman" w:cs="Times New Roman"/>
          <w:sz w:val="24"/>
          <w:szCs w:val="24"/>
        </w:rPr>
        <w:t>.</w:t>
      </w:r>
    </w:p>
    <w:p w14:paraId="45018DA5" w14:textId="77777777" w:rsidR="007C5490" w:rsidRDefault="007C5490" w:rsidP="003701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matter in Wendall (supra) was an urgent matter. This application is not. The applicants did have time to put their house in order. It was not put in that order.</w:t>
      </w:r>
    </w:p>
    <w:p w14:paraId="67A3C835" w14:textId="356A04BA" w:rsidR="007C5490" w:rsidRPr="00420699" w:rsidRDefault="007C5490" w:rsidP="00370124">
      <w:pPr>
        <w:pStyle w:val="Default"/>
        <w:spacing w:line="360" w:lineRule="auto"/>
        <w:ind w:firstLine="720"/>
        <w:jc w:val="both"/>
        <w:rPr>
          <w:rFonts w:ascii="Times New Roman" w:hAnsi="Times New Roman" w:cs="Times New Roman"/>
          <w:i/>
        </w:rPr>
      </w:pPr>
      <w:r>
        <w:rPr>
          <w:rFonts w:ascii="Times New Roman" w:hAnsi="Times New Roman" w:cs="Times New Roman"/>
        </w:rPr>
        <w:lastRenderedPageBreak/>
        <w:t>The South African</w:t>
      </w:r>
      <w:r w:rsidR="00420699">
        <w:rPr>
          <w:rFonts w:ascii="Times New Roman" w:hAnsi="Times New Roman" w:cs="Times New Roman"/>
        </w:rPr>
        <w:t xml:space="preserve"> </w:t>
      </w:r>
      <w:r w:rsidR="00C41C84">
        <w:rPr>
          <w:rFonts w:ascii="Times New Roman" w:hAnsi="Times New Roman" w:cs="Times New Roman"/>
        </w:rPr>
        <w:t>C</w:t>
      </w:r>
      <w:r w:rsidR="00420699">
        <w:rPr>
          <w:rFonts w:ascii="Times New Roman" w:hAnsi="Times New Roman" w:cs="Times New Roman"/>
        </w:rPr>
        <w:t>ourt in</w:t>
      </w:r>
      <w:r w:rsidR="00420699" w:rsidRPr="00420699">
        <w:rPr>
          <w:rFonts w:eastAsia="Times New Roman"/>
          <w:color w:val="64473A"/>
          <w:sz w:val="36"/>
          <w:szCs w:val="36"/>
        </w:rPr>
        <w:t xml:space="preserve"> </w:t>
      </w:r>
      <w:r w:rsidR="00420699" w:rsidRPr="00420699">
        <w:rPr>
          <w:rFonts w:ascii="Times New Roman" w:hAnsi="Times New Roman" w:cs="Times New Roman"/>
          <w:i/>
        </w:rPr>
        <w:t>Director of Public Prosecutions KwaZulu-Natal v Mzanywa and Another</w:t>
      </w:r>
      <w:r w:rsidR="00420699">
        <w:rPr>
          <w:rFonts w:ascii="Times New Roman" w:hAnsi="Times New Roman" w:cs="Times New Roman"/>
        </w:rPr>
        <w:t xml:space="preserve"> </w:t>
      </w:r>
      <w:r w:rsidR="00420699" w:rsidRPr="00420699">
        <w:rPr>
          <w:rFonts w:ascii="Times New Roman" w:hAnsi="Times New Roman" w:cs="Times New Roman"/>
          <w:i/>
        </w:rPr>
        <w:t>[2023] ZAKZPHC 108</w:t>
      </w:r>
      <w:r w:rsidR="00420699">
        <w:rPr>
          <w:rFonts w:ascii="Times New Roman" w:hAnsi="Times New Roman" w:cs="Times New Roman"/>
          <w:i/>
        </w:rPr>
        <w:t xml:space="preserve"> </w:t>
      </w:r>
      <w:r>
        <w:rPr>
          <w:rFonts w:ascii="Times New Roman" w:hAnsi="Times New Roman" w:cs="Times New Roman"/>
        </w:rPr>
        <w:t>expressed</w:t>
      </w:r>
      <w:r w:rsidR="00420699">
        <w:rPr>
          <w:rFonts w:ascii="Times New Roman" w:hAnsi="Times New Roman" w:cs="Times New Roman"/>
        </w:rPr>
        <w:t xml:space="preserve"> the same position as follows: </w:t>
      </w:r>
    </w:p>
    <w:p w14:paraId="11448E38" w14:textId="77777777" w:rsidR="007C5490" w:rsidRPr="00420699" w:rsidRDefault="007C5490" w:rsidP="00370124">
      <w:pPr>
        <w:pStyle w:val="Default"/>
        <w:ind w:left="720"/>
        <w:jc w:val="both"/>
        <w:rPr>
          <w:sz w:val="23"/>
          <w:szCs w:val="23"/>
        </w:rPr>
      </w:pPr>
      <w:r>
        <w:t xml:space="preserve"> </w:t>
      </w:r>
      <w:r w:rsidR="00420699">
        <w:rPr>
          <w:rFonts w:ascii="Times New Roman" w:hAnsi="Times New Roman" w:cs="Times New Roman"/>
        </w:rPr>
        <w:t>“</w:t>
      </w:r>
      <w:r w:rsidRPr="00420699">
        <w:rPr>
          <w:rFonts w:ascii="Times New Roman" w:hAnsi="Times New Roman" w:cs="Times New Roman"/>
        </w:rPr>
        <w:t>Mr Muziwodumo Miza (Mr Miza) is the public prosecutor who appeared for the applicant and who prosecuted the second respondent. He is the same person who deposed to the founding affidavit in these review proceedings. He is also the person who drew the applicant’s heads of argument. Thankfully, despite his name appearing on the heads of argument, he is not the counsel who appeared before us to argue the matter, as it is obviously totally undesirable that counsel should personally argue a matter in which he or she has deposed to the founding affidavit. That is because: ‘… if he is a witness he compromises his capacity to give the conduct of the case his objective professional attention</w:t>
      </w:r>
      <w:r w:rsidR="00420699">
        <w:rPr>
          <w:rFonts w:ascii="Times New Roman" w:hAnsi="Times New Roman" w:cs="Times New Roman"/>
        </w:rPr>
        <w:t>”.</w:t>
      </w:r>
    </w:p>
    <w:p w14:paraId="27341356" w14:textId="77777777" w:rsidR="00370124" w:rsidRDefault="00370124" w:rsidP="00370124">
      <w:pPr>
        <w:spacing w:line="360" w:lineRule="auto"/>
        <w:ind w:firstLine="720"/>
        <w:jc w:val="both"/>
        <w:rPr>
          <w:rFonts w:ascii="Times New Roman" w:hAnsi="Times New Roman" w:cs="Times New Roman"/>
          <w:sz w:val="24"/>
          <w:szCs w:val="24"/>
          <w:lang w:val="en-US"/>
        </w:rPr>
      </w:pPr>
    </w:p>
    <w:p w14:paraId="34055F24" w14:textId="77777777" w:rsidR="00420699" w:rsidRPr="00420699" w:rsidRDefault="00420699" w:rsidP="00370124">
      <w:pPr>
        <w:spacing w:line="360" w:lineRule="auto"/>
        <w:ind w:firstLine="720"/>
        <w:jc w:val="both"/>
        <w:rPr>
          <w:rFonts w:ascii="Times New Roman" w:hAnsi="Times New Roman" w:cs="Times New Roman"/>
          <w:sz w:val="24"/>
          <w:szCs w:val="24"/>
        </w:rPr>
      </w:pPr>
      <w:r w:rsidRPr="00420699">
        <w:rPr>
          <w:rFonts w:ascii="Times New Roman" w:hAnsi="Times New Roman" w:cs="Times New Roman"/>
          <w:sz w:val="24"/>
          <w:szCs w:val="24"/>
          <w:lang w:val="en-US"/>
        </w:rPr>
        <w:t>The court finds that the conduct of the legal practitioner representing the respondents is legally improper. A deponent to an affidavit assumes the position of a witness. A witness cannot simultaneously act as legal counsel in the same matter, as this creates a conflict of roles, unless appearing in person. Acting in both capacities re</w:t>
      </w:r>
      <w:r>
        <w:rPr>
          <w:rFonts w:ascii="Times New Roman" w:hAnsi="Times New Roman" w:cs="Times New Roman"/>
          <w:sz w:val="24"/>
          <w:szCs w:val="24"/>
          <w:lang w:val="en-US"/>
        </w:rPr>
        <w:t xml:space="preserve">nders the proceedings irregular as held in </w:t>
      </w:r>
      <w:r w:rsidRPr="00420699">
        <w:rPr>
          <w:rFonts w:ascii="Times New Roman" w:hAnsi="Times New Roman" w:cs="Times New Roman"/>
          <w:i/>
          <w:sz w:val="24"/>
          <w:szCs w:val="24"/>
        </w:rPr>
        <w:t xml:space="preserve">MacFoy </w:t>
      </w:r>
      <w:r w:rsidRPr="00420699">
        <w:rPr>
          <w:rFonts w:ascii="Times New Roman" w:hAnsi="Times New Roman" w:cs="Times New Roman"/>
          <w:sz w:val="24"/>
          <w:szCs w:val="24"/>
        </w:rPr>
        <w:t>v</w:t>
      </w:r>
      <w:r w:rsidRPr="00420699">
        <w:rPr>
          <w:rFonts w:ascii="Times New Roman" w:hAnsi="Times New Roman" w:cs="Times New Roman"/>
          <w:i/>
          <w:sz w:val="24"/>
          <w:szCs w:val="24"/>
        </w:rPr>
        <w:t xml:space="preserve"> United Africa</w:t>
      </w:r>
      <w:r w:rsidRPr="00420699">
        <w:rPr>
          <w:rFonts w:ascii="Times New Roman" w:hAnsi="Times New Roman" w:cs="Times New Roman"/>
          <w:sz w:val="24"/>
          <w:szCs w:val="24"/>
        </w:rPr>
        <w:t xml:space="preserve"> Co Ltd [1961] 3 All ER 1169 at 1172 that: </w:t>
      </w:r>
    </w:p>
    <w:p w14:paraId="4D1FA478" w14:textId="77777777" w:rsidR="00420699" w:rsidRDefault="00420699" w:rsidP="00370124">
      <w:pPr>
        <w:spacing w:line="240" w:lineRule="auto"/>
        <w:ind w:left="720"/>
        <w:jc w:val="both"/>
        <w:rPr>
          <w:rFonts w:ascii="Times New Roman" w:hAnsi="Times New Roman" w:cs="Times New Roman"/>
          <w:sz w:val="24"/>
          <w:szCs w:val="24"/>
        </w:rPr>
      </w:pPr>
      <w:r w:rsidRPr="00420699">
        <w:rPr>
          <w:rFonts w:ascii="Times New Roman" w:hAnsi="Times New Roman" w:cs="Times New Roman"/>
          <w:sz w:val="24"/>
          <w:szCs w:val="24"/>
        </w:rPr>
        <w:t xml:space="preserve">“If an act is void, then, it is in law a nullity. It is not only bad but incurably bad … And every proceeding which is founded on it is also bad and incurably bad.  You cannot put something on nothing and expect it to stay there. It will collapse.” </w:t>
      </w:r>
    </w:p>
    <w:p w14:paraId="512ABE5B" w14:textId="77777777" w:rsidR="00420699" w:rsidRPr="00420699" w:rsidRDefault="00420699" w:rsidP="00370124">
      <w:pPr>
        <w:spacing w:line="360" w:lineRule="auto"/>
        <w:ind w:firstLine="720"/>
        <w:jc w:val="both"/>
        <w:rPr>
          <w:rFonts w:ascii="Times New Roman" w:hAnsi="Times New Roman" w:cs="Times New Roman"/>
          <w:sz w:val="24"/>
          <w:szCs w:val="24"/>
          <w:lang w:val="en-US"/>
        </w:rPr>
      </w:pPr>
      <w:r w:rsidRPr="00420699">
        <w:rPr>
          <w:rFonts w:ascii="Times New Roman" w:hAnsi="Times New Roman" w:cs="Times New Roman"/>
          <w:sz w:val="24"/>
          <w:szCs w:val="24"/>
          <w:lang w:val="en-US"/>
        </w:rPr>
        <w:t>The applicant’s objection is therefore upheld.</w:t>
      </w:r>
    </w:p>
    <w:p w14:paraId="6FD57D80" w14:textId="77777777" w:rsidR="00420699" w:rsidRDefault="00420699" w:rsidP="00370124">
      <w:pPr>
        <w:spacing w:line="360" w:lineRule="auto"/>
        <w:ind w:firstLine="720"/>
        <w:jc w:val="both"/>
        <w:rPr>
          <w:rFonts w:ascii="Times New Roman" w:hAnsi="Times New Roman" w:cs="Times New Roman"/>
          <w:sz w:val="24"/>
          <w:szCs w:val="24"/>
          <w:lang w:val="en-US"/>
        </w:rPr>
      </w:pPr>
      <w:r w:rsidRPr="00420699">
        <w:rPr>
          <w:rFonts w:ascii="Times New Roman" w:hAnsi="Times New Roman" w:cs="Times New Roman"/>
          <w:sz w:val="24"/>
          <w:szCs w:val="24"/>
          <w:lang w:val="en-US"/>
        </w:rPr>
        <w:t>The subsequent involvement of a second legal practitioner does not cure the defect. The pleadings and heads of argument remain those prepared and filed by the initial practitioner who had already assumed the role of a witness. Heads of argument must be filed by a duly acting legal representative, not by a witness. Consequently, the purporte</w:t>
      </w:r>
      <w:r>
        <w:rPr>
          <w:rFonts w:ascii="Times New Roman" w:hAnsi="Times New Roman" w:cs="Times New Roman"/>
          <w:sz w:val="24"/>
          <w:szCs w:val="24"/>
          <w:lang w:val="en-US"/>
        </w:rPr>
        <w:t xml:space="preserve">d heads of argument are invalid and they in turn breach of Rule 59 (22) of the High Court Rules of 2021 which states </w:t>
      </w:r>
    </w:p>
    <w:p w14:paraId="6C3C8C89" w14:textId="77777777" w:rsidR="00420699" w:rsidRDefault="00420699" w:rsidP="0037012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420699">
        <w:rPr>
          <w:rFonts w:ascii="Times New Roman" w:hAnsi="Times New Roman" w:cs="Times New Roman"/>
          <w:sz w:val="24"/>
          <w:szCs w:val="24"/>
        </w:rPr>
        <w:t>Where heads of argument that are required to be filed are not filed within the period specified in sub rule (21), the respondent concerned shall be barred and the court or judge may deal with the matter as unopposed or direct that it be set down for hearing on the unopposed roll</w:t>
      </w:r>
      <w:r>
        <w:rPr>
          <w:rFonts w:ascii="Times New Roman" w:hAnsi="Times New Roman" w:cs="Times New Roman"/>
          <w:sz w:val="24"/>
          <w:szCs w:val="24"/>
        </w:rPr>
        <w:t>”</w:t>
      </w:r>
      <w:r w:rsidRPr="00420699">
        <w:rPr>
          <w:rFonts w:ascii="Times New Roman" w:hAnsi="Times New Roman" w:cs="Times New Roman"/>
          <w:sz w:val="24"/>
          <w:szCs w:val="24"/>
        </w:rPr>
        <w:t>.</w:t>
      </w:r>
    </w:p>
    <w:p w14:paraId="11BDAB50" w14:textId="7A264A06" w:rsidR="006C5F53" w:rsidRPr="00420699" w:rsidRDefault="00420699" w:rsidP="00370124">
      <w:pPr>
        <w:spacing w:line="360" w:lineRule="auto"/>
        <w:ind w:firstLine="720"/>
        <w:jc w:val="both"/>
        <w:rPr>
          <w:rFonts w:ascii="Times New Roman" w:hAnsi="Times New Roman" w:cs="Times New Roman"/>
          <w:sz w:val="24"/>
          <w:szCs w:val="24"/>
          <w:lang w:val="en-US"/>
        </w:rPr>
      </w:pPr>
      <w:r w:rsidRPr="00420699">
        <w:rPr>
          <w:rFonts w:ascii="Times New Roman" w:hAnsi="Times New Roman" w:cs="Times New Roman"/>
          <w:sz w:val="24"/>
          <w:szCs w:val="24"/>
          <w:lang w:val="en-US"/>
        </w:rPr>
        <w:t>The result is that the second respondent is effectively barred, as there are no valid heads of argument properly before the court.</w:t>
      </w:r>
      <w:r>
        <w:rPr>
          <w:rFonts w:ascii="Times New Roman" w:hAnsi="Times New Roman" w:cs="Times New Roman"/>
          <w:sz w:val="24"/>
          <w:szCs w:val="24"/>
          <w:lang w:val="en-US"/>
        </w:rPr>
        <w:t xml:space="preserve"> </w:t>
      </w:r>
      <w:r w:rsidRPr="00420699">
        <w:rPr>
          <w:rFonts w:ascii="Times New Roman" w:hAnsi="Times New Roman" w:cs="Times New Roman"/>
          <w:sz w:val="24"/>
          <w:szCs w:val="24"/>
          <w:lang w:val="en-US"/>
        </w:rPr>
        <w:t xml:space="preserve">There was no impropriety in seeking a postponement in order to regularise representation and ensure compliance with </w:t>
      </w:r>
      <w:r w:rsidRPr="00420699">
        <w:rPr>
          <w:rFonts w:ascii="Times New Roman" w:hAnsi="Times New Roman" w:cs="Times New Roman"/>
          <w:sz w:val="24"/>
          <w:szCs w:val="24"/>
          <w:lang w:val="en-US"/>
        </w:rPr>
        <w:lastRenderedPageBreak/>
        <w:t>procedural requirements.</w:t>
      </w:r>
      <w:r w:rsidR="006C5F53">
        <w:rPr>
          <w:rFonts w:ascii="Times New Roman" w:hAnsi="Times New Roman" w:cs="Times New Roman"/>
          <w:sz w:val="24"/>
          <w:szCs w:val="24"/>
        </w:rPr>
        <w:t>Therefore clearly there is no opposition to the application for review in this case.</w:t>
      </w:r>
      <w:r w:rsidR="00853252">
        <w:rPr>
          <w:rFonts w:ascii="Times New Roman" w:hAnsi="Times New Roman" w:cs="Times New Roman"/>
          <w:sz w:val="24"/>
          <w:szCs w:val="24"/>
        </w:rPr>
        <w:t xml:space="preserve"> The application is</w:t>
      </w:r>
      <w:r w:rsidR="00FD72B8">
        <w:rPr>
          <w:rFonts w:ascii="Times New Roman" w:hAnsi="Times New Roman" w:cs="Times New Roman"/>
          <w:sz w:val="24"/>
          <w:szCs w:val="24"/>
        </w:rPr>
        <w:t xml:space="preserve"> upheld and the review succeeds. It is therefore ordered as follows: -</w:t>
      </w:r>
    </w:p>
    <w:p w14:paraId="289744F8" w14:textId="0C219CE4" w:rsidR="00FD72B8" w:rsidRPr="00420699" w:rsidRDefault="00FD72B8" w:rsidP="00370124">
      <w:pPr>
        <w:spacing w:line="360" w:lineRule="auto"/>
        <w:ind w:left="1440" w:hanging="720"/>
        <w:jc w:val="both"/>
        <w:rPr>
          <w:rFonts w:ascii="Times New Roman" w:hAnsi="Times New Roman" w:cs="Times New Roman"/>
          <w:sz w:val="24"/>
          <w:szCs w:val="24"/>
        </w:rPr>
      </w:pPr>
      <w:r w:rsidRPr="00420699">
        <w:rPr>
          <w:rFonts w:ascii="Times New Roman" w:hAnsi="Times New Roman" w:cs="Times New Roman"/>
          <w:sz w:val="24"/>
          <w:szCs w:val="24"/>
        </w:rPr>
        <w:t xml:space="preserve">1. </w:t>
      </w:r>
      <w:r w:rsidR="00370124">
        <w:rPr>
          <w:rFonts w:ascii="Times New Roman" w:hAnsi="Times New Roman" w:cs="Times New Roman"/>
          <w:sz w:val="24"/>
          <w:szCs w:val="24"/>
        </w:rPr>
        <w:tab/>
      </w:r>
      <w:r w:rsidR="00853252">
        <w:rPr>
          <w:rFonts w:ascii="Times New Roman" w:hAnsi="Times New Roman" w:cs="Times New Roman"/>
          <w:sz w:val="24"/>
          <w:szCs w:val="24"/>
        </w:rPr>
        <w:t>The ruling of the 1st</w:t>
      </w:r>
      <w:bookmarkStart w:id="0" w:name="_GoBack"/>
      <w:bookmarkEnd w:id="0"/>
      <w:r w:rsidRPr="00420699">
        <w:rPr>
          <w:rFonts w:ascii="Times New Roman" w:hAnsi="Times New Roman" w:cs="Times New Roman"/>
          <w:sz w:val="24"/>
          <w:szCs w:val="24"/>
        </w:rPr>
        <w:t xml:space="preserve"> Respondent delivered on 28th October 2025 in CRB 686–7/25 be and is hereby reviewed and set aside.</w:t>
      </w:r>
    </w:p>
    <w:p w14:paraId="4E3DA487" w14:textId="7C95C354" w:rsidR="00FD72B8" w:rsidRPr="00420699" w:rsidRDefault="00FD72B8" w:rsidP="00370124">
      <w:pPr>
        <w:spacing w:line="360" w:lineRule="auto"/>
        <w:ind w:left="1440" w:hanging="720"/>
        <w:jc w:val="both"/>
        <w:rPr>
          <w:rFonts w:ascii="Times New Roman" w:hAnsi="Times New Roman" w:cs="Times New Roman"/>
          <w:sz w:val="24"/>
          <w:szCs w:val="24"/>
        </w:rPr>
      </w:pPr>
      <w:r w:rsidRPr="00420699">
        <w:rPr>
          <w:rFonts w:ascii="Times New Roman" w:hAnsi="Times New Roman" w:cs="Times New Roman"/>
          <w:sz w:val="24"/>
          <w:szCs w:val="24"/>
        </w:rPr>
        <w:t xml:space="preserve">2. </w:t>
      </w:r>
      <w:r w:rsidR="00370124">
        <w:rPr>
          <w:rFonts w:ascii="Times New Roman" w:hAnsi="Times New Roman" w:cs="Times New Roman"/>
          <w:sz w:val="24"/>
          <w:szCs w:val="24"/>
        </w:rPr>
        <w:tab/>
      </w:r>
      <w:r w:rsidRPr="00420699">
        <w:rPr>
          <w:rFonts w:ascii="Times New Roman" w:hAnsi="Times New Roman" w:cs="Times New Roman"/>
          <w:sz w:val="24"/>
          <w:szCs w:val="24"/>
        </w:rPr>
        <w:t>The criminal charge preferred under Section 113 of the Criminal Law (Code) is set aside as being incompetent at law.</w:t>
      </w:r>
    </w:p>
    <w:p w14:paraId="2DDD9EFE" w14:textId="18737537" w:rsidR="00FD72B8" w:rsidRPr="00420699" w:rsidRDefault="00FD72B8" w:rsidP="00370124">
      <w:pPr>
        <w:spacing w:line="360" w:lineRule="auto"/>
        <w:ind w:left="720"/>
        <w:jc w:val="both"/>
        <w:rPr>
          <w:rFonts w:ascii="Times New Roman" w:hAnsi="Times New Roman" w:cs="Times New Roman"/>
          <w:sz w:val="24"/>
          <w:szCs w:val="24"/>
        </w:rPr>
      </w:pPr>
      <w:r w:rsidRPr="00420699">
        <w:rPr>
          <w:rFonts w:ascii="Times New Roman" w:hAnsi="Times New Roman" w:cs="Times New Roman"/>
          <w:sz w:val="24"/>
          <w:szCs w:val="24"/>
        </w:rPr>
        <w:t xml:space="preserve">3. </w:t>
      </w:r>
      <w:r w:rsidR="00370124">
        <w:rPr>
          <w:rFonts w:ascii="Times New Roman" w:hAnsi="Times New Roman" w:cs="Times New Roman"/>
          <w:sz w:val="24"/>
          <w:szCs w:val="24"/>
        </w:rPr>
        <w:tab/>
      </w:r>
      <w:r w:rsidRPr="00420699">
        <w:rPr>
          <w:rFonts w:ascii="Times New Roman" w:hAnsi="Times New Roman" w:cs="Times New Roman"/>
          <w:sz w:val="24"/>
          <w:szCs w:val="24"/>
        </w:rPr>
        <w:t>There is no order as to costs</w:t>
      </w:r>
    </w:p>
    <w:p w14:paraId="2A2948D9" w14:textId="77777777" w:rsidR="00FD72B8" w:rsidRPr="00420699" w:rsidRDefault="00FD72B8" w:rsidP="00370124">
      <w:pPr>
        <w:spacing w:line="360" w:lineRule="auto"/>
        <w:jc w:val="both"/>
        <w:rPr>
          <w:rFonts w:ascii="Times New Roman" w:hAnsi="Times New Roman" w:cs="Times New Roman"/>
          <w:sz w:val="24"/>
          <w:szCs w:val="24"/>
        </w:rPr>
      </w:pPr>
    </w:p>
    <w:p w14:paraId="07C17284" w14:textId="77777777" w:rsidR="00D33BC0" w:rsidRDefault="00D33BC0" w:rsidP="00D33BC0">
      <w:pPr>
        <w:pStyle w:val="NoSpacing"/>
        <w:rPr>
          <w:rFonts w:ascii="Times New Roman" w:hAnsi="Times New Roman" w:cs="Times New Roman"/>
          <w:i/>
          <w:sz w:val="24"/>
          <w:szCs w:val="24"/>
        </w:rPr>
      </w:pPr>
    </w:p>
    <w:p w14:paraId="2352D7DF" w14:textId="77777777" w:rsidR="00D33BC0" w:rsidRDefault="00D33BC0" w:rsidP="00D33BC0">
      <w:pPr>
        <w:pStyle w:val="NoSpacing"/>
        <w:rPr>
          <w:rFonts w:ascii="Times New Roman" w:hAnsi="Times New Roman" w:cs="Times New Roman"/>
          <w:i/>
          <w:sz w:val="24"/>
          <w:szCs w:val="24"/>
        </w:rPr>
      </w:pPr>
    </w:p>
    <w:p w14:paraId="3C3043E0" w14:textId="77777777" w:rsidR="00D33BC0" w:rsidRDefault="00D33BC0" w:rsidP="00D33BC0">
      <w:pPr>
        <w:pStyle w:val="NoSpacing"/>
        <w:rPr>
          <w:rFonts w:ascii="Times New Roman" w:hAnsi="Times New Roman" w:cs="Times New Roman"/>
          <w:i/>
          <w:sz w:val="24"/>
          <w:szCs w:val="24"/>
        </w:rPr>
      </w:pPr>
    </w:p>
    <w:p w14:paraId="1DA0098E" w14:textId="24FE9C31" w:rsidR="00C53FE0" w:rsidRPr="00D33BC0" w:rsidRDefault="00C53FE0" w:rsidP="00D33BC0">
      <w:pPr>
        <w:pStyle w:val="NoSpacing"/>
        <w:rPr>
          <w:rFonts w:ascii="Times New Roman" w:hAnsi="Times New Roman" w:cs="Times New Roman"/>
          <w:sz w:val="24"/>
          <w:szCs w:val="24"/>
        </w:rPr>
      </w:pPr>
      <w:r w:rsidRPr="00D33BC0">
        <w:rPr>
          <w:rFonts w:ascii="Times New Roman" w:hAnsi="Times New Roman" w:cs="Times New Roman"/>
          <w:i/>
          <w:sz w:val="24"/>
          <w:szCs w:val="24"/>
        </w:rPr>
        <w:t>Coghlan &amp; Welsh</w:t>
      </w:r>
      <w:r w:rsidRPr="00D33BC0">
        <w:rPr>
          <w:rFonts w:ascii="Times New Roman" w:hAnsi="Times New Roman" w:cs="Times New Roman"/>
          <w:sz w:val="24"/>
          <w:szCs w:val="24"/>
        </w:rPr>
        <w:t xml:space="preserve">, applicants’ legal practitioners </w:t>
      </w:r>
    </w:p>
    <w:p w14:paraId="0CDC66C1" w14:textId="5B137545" w:rsidR="00FD72B8" w:rsidRPr="00D33BC0" w:rsidRDefault="00FD72B8" w:rsidP="00D33BC0">
      <w:pPr>
        <w:pStyle w:val="NoSpacing"/>
        <w:rPr>
          <w:rFonts w:ascii="Times New Roman" w:hAnsi="Times New Roman" w:cs="Times New Roman"/>
          <w:sz w:val="24"/>
          <w:szCs w:val="24"/>
        </w:rPr>
      </w:pPr>
      <w:r w:rsidRPr="00D33BC0">
        <w:rPr>
          <w:rFonts w:ascii="Times New Roman" w:hAnsi="Times New Roman" w:cs="Times New Roman"/>
          <w:i/>
          <w:sz w:val="24"/>
          <w:szCs w:val="24"/>
        </w:rPr>
        <w:t>National Prosecuting Authority</w:t>
      </w:r>
      <w:r w:rsidR="00C53FE0" w:rsidRPr="00D33BC0">
        <w:rPr>
          <w:rFonts w:ascii="Times New Roman" w:hAnsi="Times New Roman" w:cs="Times New Roman"/>
          <w:sz w:val="24"/>
          <w:szCs w:val="24"/>
        </w:rPr>
        <w:t xml:space="preserve">, </w:t>
      </w:r>
      <w:r w:rsidR="00D33BC0" w:rsidRPr="00D33BC0">
        <w:rPr>
          <w:rFonts w:ascii="Times New Roman" w:hAnsi="Times New Roman" w:cs="Times New Roman"/>
          <w:sz w:val="24"/>
          <w:szCs w:val="24"/>
        </w:rPr>
        <w:t>2</w:t>
      </w:r>
      <w:r w:rsidR="00D33BC0" w:rsidRPr="00D33BC0">
        <w:rPr>
          <w:rFonts w:ascii="Times New Roman" w:hAnsi="Times New Roman" w:cs="Times New Roman"/>
          <w:sz w:val="24"/>
          <w:szCs w:val="24"/>
          <w:vertAlign w:val="superscript"/>
        </w:rPr>
        <w:t>nd</w:t>
      </w:r>
      <w:r w:rsidR="00D33BC0" w:rsidRPr="00D33BC0">
        <w:rPr>
          <w:rFonts w:ascii="Times New Roman" w:hAnsi="Times New Roman" w:cs="Times New Roman"/>
          <w:sz w:val="24"/>
          <w:szCs w:val="24"/>
        </w:rPr>
        <w:t xml:space="preserve"> respondent’s legal practitioners</w:t>
      </w:r>
    </w:p>
    <w:p w14:paraId="138F1080" w14:textId="77777777" w:rsidR="00FD72B8" w:rsidRPr="00D33BC0" w:rsidRDefault="00FD72B8" w:rsidP="00D33BC0">
      <w:pPr>
        <w:pStyle w:val="NoSpacing"/>
        <w:rPr>
          <w:rFonts w:ascii="Times New Roman" w:hAnsi="Times New Roman" w:cs="Times New Roman"/>
          <w:sz w:val="24"/>
          <w:szCs w:val="24"/>
        </w:rPr>
      </w:pPr>
    </w:p>
    <w:p w14:paraId="7278C6A7" w14:textId="77777777" w:rsidR="007C5490" w:rsidRPr="00D33BC0" w:rsidRDefault="007C5490" w:rsidP="00D33BC0">
      <w:pPr>
        <w:pStyle w:val="NoSpacing"/>
        <w:rPr>
          <w:rFonts w:ascii="Times New Roman" w:hAnsi="Times New Roman" w:cs="Times New Roman"/>
          <w:sz w:val="24"/>
          <w:szCs w:val="24"/>
        </w:rPr>
      </w:pPr>
    </w:p>
    <w:sectPr w:rsidR="007C5490" w:rsidRPr="00D33BC0" w:rsidSect="002A732D">
      <w:headerReference w:type="default" r:id="rId7"/>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FA1BB" w14:textId="77777777" w:rsidR="00132D2C" w:rsidRDefault="00132D2C" w:rsidP="00502451">
      <w:pPr>
        <w:spacing w:after="0" w:line="240" w:lineRule="auto"/>
      </w:pPr>
      <w:r>
        <w:separator/>
      </w:r>
    </w:p>
  </w:endnote>
  <w:endnote w:type="continuationSeparator" w:id="0">
    <w:p w14:paraId="2CA8E03C" w14:textId="77777777" w:rsidR="00132D2C" w:rsidRDefault="00132D2C" w:rsidP="00502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Aptos Display">
    <w:altName w:val="Calibri"/>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D7D1E" w14:textId="77777777" w:rsidR="00132D2C" w:rsidRDefault="00132D2C" w:rsidP="00502451">
      <w:pPr>
        <w:spacing w:after="0" w:line="240" w:lineRule="auto"/>
      </w:pPr>
      <w:r>
        <w:separator/>
      </w:r>
    </w:p>
  </w:footnote>
  <w:footnote w:type="continuationSeparator" w:id="0">
    <w:p w14:paraId="11FDB247" w14:textId="77777777" w:rsidR="00132D2C" w:rsidRDefault="00132D2C" w:rsidP="00502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648323"/>
      <w:docPartObj>
        <w:docPartGallery w:val="Page Numbers (Top of Page)"/>
        <w:docPartUnique/>
      </w:docPartObj>
    </w:sdtPr>
    <w:sdtEndPr>
      <w:rPr>
        <w:rFonts w:ascii="Times New Roman" w:hAnsi="Times New Roman" w:cs="Times New Roman"/>
        <w:noProof/>
        <w:sz w:val="24"/>
        <w:szCs w:val="24"/>
      </w:rPr>
    </w:sdtEndPr>
    <w:sdtContent>
      <w:p w14:paraId="7020EA50" w14:textId="0E3E6F6A" w:rsidR="00420699" w:rsidRPr="00022900" w:rsidRDefault="00420699">
        <w:pPr>
          <w:pStyle w:val="Header"/>
          <w:jc w:val="right"/>
          <w:rPr>
            <w:rFonts w:ascii="Times New Roman" w:hAnsi="Times New Roman" w:cs="Times New Roman"/>
            <w:noProof/>
            <w:sz w:val="24"/>
            <w:szCs w:val="24"/>
          </w:rPr>
        </w:pPr>
        <w:r w:rsidRPr="00022900">
          <w:rPr>
            <w:rFonts w:ascii="Times New Roman" w:hAnsi="Times New Roman" w:cs="Times New Roman"/>
            <w:sz w:val="24"/>
            <w:szCs w:val="24"/>
          </w:rPr>
          <w:fldChar w:fldCharType="begin"/>
        </w:r>
        <w:r w:rsidRPr="00022900">
          <w:rPr>
            <w:rFonts w:ascii="Times New Roman" w:hAnsi="Times New Roman" w:cs="Times New Roman"/>
            <w:sz w:val="24"/>
            <w:szCs w:val="24"/>
          </w:rPr>
          <w:instrText xml:space="preserve"> PAGE   \* MERGEFORMAT </w:instrText>
        </w:r>
        <w:r w:rsidRPr="00022900">
          <w:rPr>
            <w:rFonts w:ascii="Times New Roman" w:hAnsi="Times New Roman" w:cs="Times New Roman"/>
            <w:sz w:val="24"/>
            <w:szCs w:val="24"/>
          </w:rPr>
          <w:fldChar w:fldCharType="separate"/>
        </w:r>
        <w:r w:rsidR="00853252">
          <w:rPr>
            <w:rFonts w:ascii="Times New Roman" w:hAnsi="Times New Roman" w:cs="Times New Roman"/>
            <w:noProof/>
            <w:sz w:val="24"/>
            <w:szCs w:val="24"/>
          </w:rPr>
          <w:t>5</w:t>
        </w:r>
        <w:r w:rsidRPr="00022900">
          <w:rPr>
            <w:rFonts w:ascii="Times New Roman" w:hAnsi="Times New Roman" w:cs="Times New Roman"/>
            <w:noProof/>
            <w:sz w:val="24"/>
            <w:szCs w:val="24"/>
          </w:rPr>
          <w:fldChar w:fldCharType="end"/>
        </w:r>
      </w:p>
      <w:p w14:paraId="39C9F3BA" w14:textId="3A46FB1A" w:rsidR="00420699" w:rsidRPr="00022900" w:rsidRDefault="00022900" w:rsidP="00420699">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27/26</w:t>
        </w:r>
      </w:p>
    </w:sdtContent>
  </w:sdt>
  <w:p w14:paraId="1397F95E" w14:textId="77777777" w:rsidR="00420699" w:rsidRPr="00022900" w:rsidRDefault="00420699" w:rsidP="00420699">
    <w:pPr>
      <w:pStyle w:val="Header"/>
      <w:jc w:val="right"/>
      <w:rPr>
        <w:rFonts w:ascii="Times New Roman" w:hAnsi="Times New Roman" w:cs="Times New Roman"/>
        <w:noProof/>
        <w:sz w:val="24"/>
        <w:szCs w:val="24"/>
      </w:rPr>
    </w:pPr>
    <w:r w:rsidRPr="00022900">
      <w:rPr>
        <w:rFonts w:ascii="Times New Roman" w:hAnsi="Times New Roman" w:cs="Times New Roman"/>
        <w:sz w:val="24"/>
        <w:szCs w:val="24"/>
      </w:rPr>
      <w:t xml:space="preserve"> </w:t>
    </w:r>
    <w:r w:rsidRPr="00022900">
      <w:rPr>
        <w:rFonts w:ascii="Times New Roman" w:hAnsi="Times New Roman" w:cs="Times New Roman"/>
        <w:noProof/>
        <w:sz w:val="24"/>
        <w:szCs w:val="24"/>
      </w:rPr>
      <w:t>HCBC 1358/25</w:t>
    </w:r>
  </w:p>
  <w:p w14:paraId="484659F9" w14:textId="77777777" w:rsidR="007C5490" w:rsidRPr="00022900" w:rsidRDefault="007C549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FB7E04"/>
    <w:multiLevelType w:val="hybridMultilevel"/>
    <w:tmpl w:val="84288ED8"/>
    <w:lvl w:ilvl="0" w:tplc="0E288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C1C"/>
    <w:rsid w:val="00022900"/>
    <w:rsid w:val="00106BD9"/>
    <w:rsid w:val="00132D2C"/>
    <w:rsid w:val="001A657A"/>
    <w:rsid w:val="00213E81"/>
    <w:rsid w:val="00223598"/>
    <w:rsid w:val="0026779B"/>
    <w:rsid w:val="002A732D"/>
    <w:rsid w:val="003232FC"/>
    <w:rsid w:val="00370124"/>
    <w:rsid w:val="003B1FE5"/>
    <w:rsid w:val="00420699"/>
    <w:rsid w:val="004A6F63"/>
    <w:rsid w:val="00502451"/>
    <w:rsid w:val="00625072"/>
    <w:rsid w:val="006C5F53"/>
    <w:rsid w:val="007C5490"/>
    <w:rsid w:val="007E51DA"/>
    <w:rsid w:val="007F4ECD"/>
    <w:rsid w:val="00853252"/>
    <w:rsid w:val="00944603"/>
    <w:rsid w:val="009632AB"/>
    <w:rsid w:val="009A4647"/>
    <w:rsid w:val="00A60C46"/>
    <w:rsid w:val="00B66622"/>
    <w:rsid w:val="00B96775"/>
    <w:rsid w:val="00BA723E"/>
    <w:rsid w:val="00BE6F7B"/>
    <w:rsid w:val="00BF24E0"/>
    <w:rsid w:val="00C07C1C"/>
    <w:rsid w:val="00C20023"/>
    <w:rsid w:val="00C23CD8"/>
    <w:rsid w:val="00C41C84"/>
    <w:rsid w:val="00C53FE0"/>
    <w:rsid w:val="00C64EEB"/>
    <w:rsid w:val="00D33BC0"/>
    <w:rsid w:val="00DD5639"/>
    <w:rsid w:val="00EB6606"/>
    <w:rsid w:val="00F64940"/>
    <w:rsid w:val="00FD72B8"/>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1D55"/>
  <w15:chartTrackingRefBased/>
  <w15:docId w15:val="{924CDFA3-736D-469F-AA98-3277DE46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C1C"/>
    <w:rPr>
      <w:lang w:val="en-ZW"/>
    </w:rPr>
  </w:style>
  <w:style w:type="paragraph" w:styleId="Heading2">
    <w:name w:val="heading 2"/>
    <w:basedOn w:val="Normal"/>
    <w:next w:val="Normal"/>
    <w:link w:val="Heading2Char"/>
    <w:uiPriority w:val="9"/>
    <w:semiHidden/>
    <w:unhideWhenUsed/>
    <w:qFormat/>
    <w:rsid w:val="004206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C1C"/>
    <w:pPr>
      <w:ind w:left="720"/>
      <w:contextualSpacing/>
    </w:pPr>
  </w:style>
  <w:style w:type="paragraph" w:styleId="Header">
    <w:name w:val="header"/>
    <w:basedOn w:val="Normal"/>
    <w:link w:val="HeaderChar"/>
    <w:uiPriority w:val="99"/>
    <w:unhideWhenUsed/>
    <w:rsid w:val="00502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451"/>
    <w:rPr>
      <w:lang w:val="en-ZW"/>
    </w:rPr>
  </w:style>
  <w:style w:type="paragraph" w:styleId="Footer">
    <w:name w:val="footer"/>
    <w:basedOn w:val="Normal"/>
    <w:link w:val="FooterChar"/>
    <w:uiPriority w:val="99"/>
    <w:unhideWhenUsed/>
    <w:rsid w:val="00502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451"/>
    <w:rPr>
      <w:lang w:val="en-ZW"/>
    </w:rPr>
  </w:style>
  <w:style w:type="paragraph" w:customStyle="1" w:styleId="Default">
    <w:name w:val="Default"/>
    <w:rsid w:val="007C549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420699"/>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420699"/>
    <w:rPr>
      <w:rFonts w:asciiTheme="majorHAnsi" w:eastAsiaTheme="majorEastAsia" w:hAnsiTheme="majorHAnsi" w:cstheme="majorBidi"/>
      <w:color w:val="2F5496" w:themeColor="accent1" w:themeShade="BF"/>
      <w:sz w:val="26"/>
      <w:szCs w:val="26"/>
      <w:lang w:val="en-ZW"/>
    </w:rPr>
  </w:style>
  <w:style w:type="character" w:styleId="CommentReference">
    <w:name w:val="annotation reference"/>
    <w:basedOn w:val="DefaultParagraphFont"/>
    <w:uiPriority w:val="99"/>
    <w:semiHidden/>
    <w:unhideWhenUsed/>
    <w:rsid w:val="00C41C84"/>
    <w:rPr>
      <w:sz w:val="16"/>
      <w:szCs w:val="16"/>
    </w:rPr>
  </w:style>
  <w:style w:type="paragraph" w:styleId="CommentText">
    <w:name w:val="annotation text"/>
    <w:basedOn w:val="Normal"/>
    <w:link w:val="CommentTextChar"/>
    <w:uiPriority w:val="99"/>
    <w:semiHidden/>
    <w:unhideWhenUsed/>
    <w:rsid w:val="00C41C84"/>
    <w:pPr>
      <w:spacing w:line="240" w:lineRule="auto"/>
    </w:pPr>
    <w:rPr>
      <w:sz w:val="20"/>
      <w:szCs w:val="20"/>
    </w:rPr>
  </w:style>
  <w:style w:type="character" w:customStyle="1" w:styleId="CommentTextChar">
    <w:name w:val="Comment Text Char"/>
    <w:basedOn w:val="DefaultParagraphFont"/>
    <w:link w:val="CommentText"/>
    <w:uiPriority w:val="99"/>
    <w:semiHidden/>
    <w:rsid w:val="00C41C84"/>
    <w:rPr>
      <w:sz w:val="20"/>
      <w:szCs w:val="20"/>
      <w:lang w:val="en-ZW"/>
    </w:rPr>
  </w:style>
  <w:style w:type="paragraph" w:styleId="CommentSubject">
    <w:name w:val="annotation subject"/>
    <w:basedOn w:val="CommentText"/>
    <w:next w:val="CommentText"/>
    <w:link w:val="CommentSubjectChar"/>
    <w:uiPriority w:val="99"/>
    <w:semiHidden/>
    <w:unhideWhenUsed/>
    <w:rsid w:val="00C41C84"/>
    <w:rPr>
      <w:b/>
      <w:bCs/>
    </w:rPr>
  </w:style>
  <w:style w:type="character" w:customStyle="1" w:styleId="CommentSubjectChar">
    <w:name w:val="Comment Subject Char"/>
    <w:basedOn w:val="CommentTextChar"/>
    <w:link w:val="CommentSubject"/>
    <w:uiPriority w:val="99"/>
    <w:semiHidden/>
    <w:rsid w:val="00C41C84"/>
    <w:rPr>
      <w:b/>
      <w:bCs/>
      <w:sz w:val="20"/>
      <w:szCs w:val="20"/>
      <w:lang w:val="en-ZW"/>
    </w:rPr>
  </w:style>
  <w:style w:type="paragraph" w:styleId="BalloonText">
    <w:name w:val="Balloon Text"/>
    <w:basedOn w:val="Normal"/>
    <w:link w:val="BalloonTextChar"/>
    <w:uiPriority w:val="99"/>
    <w:semiHidden/>
    <w:unhideWhenUsed/>
    <w:rsid w:val="00C41C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C84"/>
    <w:rPr>
      <w:rFonts w:ascii="Segoe UI" w:hAnsi="Segoe UI" w:cs="Segoe UI"/>
      <w:sz w:val="18"/>
      <w:szCs w:val="18"/>
      <w:lang w:val="en-ZW"/>
    </w:rPr>
  </w:style>
  <w:style w:type="paragraph" w:styleId="Revision">
    <w:name w:val="Revision"/>
    <w:hidden/>
    <w:uiPriority w:val="99"/>
    <w:semiHidden/>
    <w:rsid w:val="007E51DA"/>
    <w:pPr>
      <w:spacing w:after="0" w:line="240" w:lineRule="auto"/>
    </w:pPr>
    <w:rPr>
      <w:lang w:val="en-ZW"/>
    </w:rPr>
  </w:style>
  <w:style w:type="paragraph" w:styleId="NoSpacing">
    <w:name w:val="No Spacing"/>
    <w:uiPriority w:val="1"/>
    <w:qFormat/>
    <w:rsid w:val="00D33BC0"/>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818458">
      <w:bodyDiv w:val="1"/>
      <w:marLeft w:val="0"/>
      <w:marRight w:val="0"/>
      <w:marTop w:val="0"/>
      <w:marBottom w:val="0"/>
      <w:divBdr>
        <w:top w:val="none" w:sz="0" w:space="0" w:color="auto"/>
        <w:left w:val="none" w:sz="0" w:space="0" w:color="auto"/>
        <w:bottom w:val="none" w:sz="0" w:space="0" w:color="auto"/>
        <w:right w:val="none" w:sz="0" w:space="0" w:color="auto"/>
      </w:divBdr>
    </w:div>
    <w:div w:id="931400577">
      <w:bodyDiv w:val="1"/>
      <w:marLeft w:val="0"/>
      <w:marRight w:val="0"/>
      <w:marTop w:val="0"/>
      <w:marBottom w:val="0"/>
      <w:divBdr>
        <w:top w:val="none" w:sz="0" w:space="0" w:color="auto"/>
        <w:left w:val="none" w:sz="0" w:space="0" w:color="auto"/>
        <w:bottom w:val="none" w:sz="0" w:space="0" w:color="auto"/>
        <w:right w:val="none" w:sz="0" w:space="0" w:color="auto"/>
      </w:divBdr>
    </w:div>
    <w:div w:id="1415281921">
      <w:bodyDiv w:val="1"/>
      <w:marLeft w:val="0"/>
      <w:marRight w:val="0"/>
      <w:marTop w:val="0"/>
      <w:marBottom w:val="0"/>
      <w:divBdr>
        <w:top w:val="none" w:sz="0" w:space="0" w:color="auto"/>
        <w:left w:val="none" w:sz="0" w:space="0" w:color="auto"/>
        <w:bottom w:val="none" w:sz="0" w:space="0" w:color="auto"/>
        <w:right w:val="none" w:sz="0" w:space="0" w:color="auto"/>
      </w:divBdr>
    </w:div>
    <w:div w:id="2082217692">
      <w:bodyDiv w:val="1"/>
      <w:marLeft w:val="0"/>
      <w:marRight w:val="0"/>
      <w:marTop w:val="0"/>
      <w:marBottom w:val="0"/>
      <w:divBdr>
        <w:top w:val="none" w:sz="0" w:space="0" w:color="auto"/>
        <w:left w:val="none" w:sz="0" w:space="0" w:color="auto"/>
        <w:bottom w:val="none" w:sz="0" w:space="0" w:color="auto"/>
        <w:right w:val="none" w:sz="0" w:space="0" w:color="auto"/>
      </w:divBdr>
      <w:divsChild>
        <w:div w:id="1499349043">
          <w:marLeft w:val="0"/>
          <w:marRight w:val="0"/>
          <w:marTop w:val="0"/>
          <w:marBottom w:val="0"/>
          <w:divBdr>
            <w:top w:val="none" w:sz="0" w:space="0" w:color="auto"/>
            <w:left w:val="none" w:sz="0" w:space="0" w:color="auto"/>
            <w:bottom w:val="none" w:sz="0" w:space="0" w:color="auto"/>
            <w:right w:val="none" w:sz="0" w:space="0" w:color="auto"/>
          </w:divBdr>
          <w:divsChild>
            <w:div w:id="1874221391">
              <w:marLeft w:val="0"/>
              <w:marRight w:val="0"/>
              <w:marTop w:val="0"/>
              <w:marBottom w:val="0"/>
              <w:divBdr>
                <w:top w:val="none" w:sz="0" w:space="0" w:color="auto"/>
                <w:left w:val="none" w:sz="0" w:space="0" w:color="auto"/>
                <w:bottom w:val="none" w:sz="0" w:space="0" w:color="auto"/>
                <w:right w:val="none" w:sz="0" w:space="0" w:color="auto"/>
              </w:divBdr>
              <w:divsChild>
                <w:div w:id="1569531119">
                  <w:marLeft w:val="0"/>
                  <w:marRight w:val="0"/>
                  <w:marTop w:val="0"/>
                  <w:marBottom w:val="0"/>
                  <w:divBdr>
                    <w:top w:val="none" w:sz="0" w:space="0" w:color="auto"/>
                    <w:left w:val="none" w:sz="0" w:space="0" w:color="auto"/>
                    <w:bottom w:val="none" w:sz="0" w:space="0" w:color="auto"/>
                    <w:right w:val="none" w:sz="0" w:space="0" w:color="auto"/>
                  </w:divBdr>
                  <w:divsChild>
                    <w:div w:id="34669030">
                      <w:marLeft w:val="0"/>
                      <w:marRight w:val="0"/>
                      <w:marTop w:val="0"/>
                      <w:marBottom w:val="0"/>
                      <w:divBdr>
                        <w:top w:val="none" w:sz="0" w:space="0" w:color="auto"/>
                        <w:left w:val="none" w:sz="0" w:space="0" w:color="auto"/>
                        <w:bottom w:val="none" w:sz="0" w:space="0" w:color="auto"/>
                        <w:right w:val="none" w:sz="0" w:space="0" w:color="auto"/>
                      </w:divBdr>
                      <w:divsChild>
                        <w:div w:id="799152206">
                          <w:marLeft w:val="0"/>
                          <w:marRight w:val="0"/>
                          <w:marTop w:val="0"/>
                          <w:marBottom w:val="0"/>
                          <w:divBdr>
                            <w:top w:val="none" w:sz="0" w:space="0" w:color="auto"/>
                            <w:left w:val="none" w:sz="0" w:space="0" w:color="auto"/>
                            <w:bottom w:val="none" w:sz="0" w:space="0" w:color="auto"/>
                            <w:right w:val="none" w:sz="0" w:space="0" w:color="auto"/>
                          </w:divBdr>
                          <w:divsChild>
                            <w:div w:id="1189294301">
                              <w:marLeft w:val="0"/>
                              <w:marRight w:val="0"/>
                              <w:marTop w:val="0"/>
                              <w:marBottom w:val="0"/>
                              <w:divBdr>
                                <w:top w:val="none" w:sz="0" w:space="0" w:color="auto"/>
                                <w:left w:val="none" w:sz="0" w:space="0" w:color="auto"/>
                                <w:bottom w:val="none" w:sz="0" w:space="0" w:color="auto"/>
                                <w:right w:val="none" w:sz="0" w:space="0" w:color="auto"/>
                              </w:divBdr>
                              <w:divsChild>
                                <w:div w:id="160203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5</Pages>
  <Words>1372</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nduna</dc:creator>
  <cp:keywords/>
  <dc:description/>
  <cp:lastModifiedBy>ALVIN</cp:lastModifiedBy>
  <cp:revision>14</cp:revision>
  <dcterms:created xsi:type="dcterms:W3CDTF">2026-02-25T02:49:00Z</dcterms:created>
  <dcterms:modified xsi:type="dcterms:W3CDTF">2026-02-27T09:00:00Z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6ae95602-b213-4f68-a8d1-62caca8e46b3</vt:lpwstr>
  </property>
</Properties>
</file>