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E15654" w14:textId="44312DFD" w:rsidR="004D6F34" w:rsidRPr="00ED1C5E" w:rsidRDefault="004D6F34" w:rsidP="00ED1C5E">
      <w:pPr>
        <w:spacing w:after="0" w:line="240" w:lineRule="auto"/>
        <w:rPr>
          <w:rFonts w:ascii="Times New Roman" w:hAnsi="Times New Roman" w:cs="Times New Roman"/>
        </w:rPr>
      </w:pPr>
      <w:bookmarkStart w:id="0" w:name="_GoBack"/>
      <w:bookmarkEnd w:id="0"/>
      <w:r w:rsidRPr="00ED1C5E">
        <w:rPr>
          <w:rFonts w:ascii="Times New Roman" w:hAnsi="Times New Roman" w:cs="Times New Roman"/>
        </w:rPr>
        <w:t xml:space="preserve">HAMATI TRUST </w:t>
      </w:r>
    </w:p>
    <w:p w14:paraId="41B99FAB" w14:textId="28C16565" w:rsidR="004D6F34" w:rsidRPr="00ED1C5E" w:rsidRDefault="00565274" w:rsidP="00ED1C5E">
      <w:pPr>
        <w:spacing w:after="0" w:line="240" w:lineRule="auto"/>
        <w:rPr>
          <w:rFonts w:ascii="Times New Roman" w:hAnsi="Times New Roman" w:cs="Times New Roman"/>
        </w:rPr>
      </w:pPr>
      <w:r w:rsidRPr="00ED1C5E">
        <w:rPr>
          <w:rFonts w:ascii="Times New Roman" w:hAnsi="Times New Roman" w:cs="Times New Roman"/>
        </w:rPr>
        <w:t>versus</w:t>
      </w:r>
    </w:p>
    <w:p w14:paraId="092F4415" w14:textId="2DBE29B7" w:rsidR="004D6F34" w:rsidRDefault="004D6F34" w:rsidP="00ED1C5E">
      <w:pPr>
        <w:spacing w:after="0" w:line="240" w:lineRule="auto"/>
        <w:rPr>
          <w:rFonts w:ascii="Times New Roman" w:hAnsi="Times New Roman" w:cs="Times New Roman"/>
        </w:rPr>
      </w:pPr>
      <w:r w:rsidRPr="00ED1C5E">
        <w:rPr>
          <w:rFonts w:ascii="Times New Roman" w:hAnsi="Times New Roman" w:cs="Times New Roman"/>
        </w:rPr>
        <w:t xml:space="preserve">PRISCILLA TIMBA </w:t>
      </w:r>
    </w:p>
    <w:p w14:paraId="525EC75B" w14:textId="77777777" w:rsidR="00ED1C5E" w:rsidRDefault="00ED1C5E" w:rsidP="00ED1C5E">
      <w:pPr>
        <w:spacing w:after="0" w:line="240" w:lineRule="auto"/>
        <w:rPr>
          <w:rFonts w:ascii="Times New Roman" w:hAnsi="Times New Roman" w:cs="Times New Roman"/>
        </w:rPr>
      </w:pPr>
    </w:p>
    <w:p w14:paraId="01324CBB" w14:textId="77777777" w:rsidR="00ED1C5E" w:rsidRPr="00ED1C5E" w:rsidRDefault="00ED1C5E" w:rsidP="00ED1C5E">
      <w:pPr>
        <w:spacing w:after="0" w:line="240" w:lineRule="auto"/>
        <w:rPr>
          <w:rFonts w:ascii="Times New Roman" w:hAnsi="Times New Roman" w:cs="Times New Roman"/>
        </w:rPr>
      </w:pPr>
    </w:p>
    <w:p w14:paraId="54286EB5" w14:textId="5DEB38AF" w:rsidR="00565274" w:rsidRPr="00ED1C5E" w:rsidRDefault="00565274" w:rsidP="00ED1C5E">
      <w:pPr>
        <w:spacing w:after="0" w:line="240" w:lineRule="auto"/>
        <w:rPr>
          <w:rFonts w:ascii="Times New Roman" w:hAnsi="Times New Roman" w:cs="Times New Roman"/>
        </w:rPr>
      </w:pPr>
      <w:r w:rsidRPr="00ED1C5E">
        <w:rPr>
          <w:rFonts w:ascii="Times New Roman" w:hAnsi="Times New Roman" w:cs="Times New Roman"/>
        </w:rPr>
        <w:t>HIGH COURT OF ZIMBABWE</w:t>
      </w:r>
    </w:p>
    <w:p w14:paraId="76EA87DA" w14:textId="55063FA1" w:rsidR="00565274" w:rsidRPr="00ED1C5E" w:rsidRDefault="00565274" w:rsidP="00ED1C5E">
      <w:pPr>
        <w:spacing w:after="0" w:line="240" w:lineRule="auto"/>
        <w:rPr>
          <w:rFonts w:ascii="Times New Roman" w:hAnsi="Times New Roman" w:cs="Times New Roman"/>
          <w:b/>
          <w:bCs/>
        </w:rPr>
      </w:pPr>
      <w:r w:rsidRPr="00ED1C5E">
        <w:rPr>
          <w:rFonts w:ascii="Times New Roman" w:hAnsi="Times New Roman" w:cs="Times New Roman"/>
          <w:b/>
          <w:bCs/>
        </w:rPr>
        <w:t>KATIYO J</w:t>
      </w:r>
    </w:p>
    <w:p w14:paraId="543CAF1E" w14:textId="3F38F852" w:rsidR="00565274" w:rsidRDefault="00565274" w:rsidP="00ED1C5E">
      <w:pPr>
        <w:spacing w:after="0" w:line="240" w:lineRule="auto"/>
        <w:rPr>
          <w:rFonts w:ascii="Times New Roman" w:hAnsi="Times New Roman" w:cs="Times New Roman"/>
        </w:rPr>
      </w:pPr>
      <w:r w:rsidRPr="00ED1C5E">
        <w:rPr>
          <w:rFonts w:ascii="Times New Roman" w:hAnsi="Times New Roman" w:cs="Times New Roman"/>
        </w:rPr>
        <w:t>HARARE; 3 March 2026</w:t>
      </w:r>
    </w:p>
    <w:p w14:paraId="4992FEDB" w14:textId="77777777" w:rsidR="00ED1C5E" w:rsidRDefault="00ED1C5E" w:rsidP="00ED1C5E">
      <w:pPr>
        <w:spacing w:after="0" w:line="240" w:lineRule="auto"/>
        <w:rPr>
          <w:rFonts w:ascii="Times New Roman" w:hAnsi="Times New Roman" w:cs="Times New Roman"/>
        </w:rPr>
      </w:pPr>
    </w:p>
    <w:p w14:paraId="0BC43AB2" w14:textId="77777777" w:rsidR="00ED1C5E" w:rsidRPr="00ED1C5E" w:rsidRDefault="00ED1C5E" w:rsidP="00ED1C5E">
      <w:pPr>
        <w:spacing w:after="0" w:line="240" w:lineRule="auto"/>
        <w:rPr>
          <w:rFonts w:ascii="Times New Roman" w:hAnsi="Times New Roman" w:cs="Times New Roman"/>
        </w:rPr>
      </w:pPr>
    </w:p>
    <w:p w14:paraId="69BB7C1D" w14:textId="361366B8" w:rsidR="00565274" w:rsidRPr="00ED1C5E" w:rsidRDefault="00565274" w:rsidP="00ED1C5E">
      <w:pPr>
        <w:spacing w:after="0" w:line="240" w:lineRule="auto"/>
        <w:rPr>
          <w:rFonts w:ascii="Times New Roman" w:hAnsi="Times New Roman" w:cs="Times New Roman"/>
          <w:b/>
          <w:bCs/>
        </w:rPr>
      </w:pPr>
      <w:r w:rsidRPr="00ED1C5E">
        <w:rPr>
          <w:rFonts w:ascii="Times New Roman" w:hAnsi="Times New Roman" w:cs="Times New Roman"/>
          <w:b/>
          <w:bCs/>
        </w:rPr>
        <w:t>Opposed Matter</w:t>
      </w:r>
    </w:p>
    <w:p w14:paraId="31AC0A73" w14:textId="77777777" w:rsidR="00ED1C5E" w:rsidRDefault="00ED1C5E" w:rsidP="00ED1C5E">
      <w:pPr>
        <w:spacing w:after="0" w:line="240" w:lineRule="auto"/>
        <w:rPr>
          <w:rFonts w:ascii="Times New Roman" w:hAnsi="Times New Roman" w:cs="Times New Roman"/>
        </w:rPr>
      </w:pPr>
    </w:p>
    <w:p w14:paraId="65E82E19" w14:textId="77777777" w:rsidR="00ED1C5E" w:rsidRPr="00ED1C5E" w:rsidRDefault="00ED1C5E" w:rsidP="00ED1C5E">
      <w:pPr>
        <w:spacing w:after="0" w:line="240" w:lineRule="auto"/>
        <w:rPr>
          <w:rFonts w:ascii="Times New Roman" w:hAnsi="Times New Roman" w:cs="Times New Roman"/>
        </w:rPr>
      </w:pPr>
    </w:p>
    <w:p w14:paraId="59B24564" w14:textId="53DE3D7F" w:rsidR="00565274" w:rsidRPr="00ED1C5E" w:rsidRDefault="00565274" w:rsidP="00ED1C5E">
      <w:pPr>
        <w:spacing w:after="0" w:line="240" w:lineRule="auto"/>
        <w:rPr>
          <w:rFonts w:ascii="Times New Roman" w:hAnsi="Times New Roman" w:cs="Times New Roman"/>
        </w:rPr>
      </w:pPr>
      <w:r w:rsidRPr="00ED1C5E">
        <w:rPr>
          <w:rFonts w:ascii="Times New Roman" w:hAnsi="Times New Roman" w:cs="Times New Roman"/>
          <w:i/>
          <w:iCs/>
        </w:rPr>
        <w:t>T S Manjengwa</w:t>
      </w:r>
      <w:r w:rsidRPr="00ED1C5E">
        <w:rPr>
          <w:rFonts w:ascii="Times New Roman" w:hAnsi="Times New Roman" w:cs="Times New Roman"/>
        </w:rPr>
        <w:t>, for the applicant</w:t>
      </w:r>
    </w:p>
    <w:p w14:paraId="1F2CFC15" w14:textId="0A959B8F" w:rsidR="00565274" w:rsidRDefault="00565274" w:rsidP="00ED1C5E">
      <w:pPr>
        <w:spacing w:after="0" w:line="240" w:lineRule="auto"/>
        <w:rPr>
          <w:rFonts w:ascii="Times New Roman" w:hAnsi="Times New Roman" w:cs="Times New Roman"/>
        </w:rPr>
      </w:pPr>
      <w:r w:rsidRPr="00ED1C5E">
        <w:rPr>
          <w:rFonts w:ascii="Times New Roman" w:hAnsi="Times New Roman" w:cs="Times New Roman"/>
          <w:i/>
          <w:iCs/>
        </w:rPr>
        <w:t xml:space="preserve">R </w:t>
      </w:r>
      <w:proofErr w:type="spellStart"/>
      <w:r w:rsidRPr="00ED1C5E">
        <w:rPr>
          <w:rFonts w:ascii="Times New Roman" w:hAnsi="Times New Roman" w:cs="Times New Roman"/>
          <w:i/>
          <w:iCs/>
        </w:rPr>
        <w:t>Kadani</w:t>
      </w:r>
      <w:proofErr w:type="spellEnd"/>
      <w:r w:rsidRPr="00ED1C5E">
        <w:rPr>
          <w:rFonts w:ascii="Times New Roman" w:hAnsi="Times New Roman" w:cs="Times New Roman"/>
        </w:rPr>
        <w:t>, for the respondent</w:t>
      </w:r>
    </w:p>
    <w:p w14:paraId="27A772C9" w14:textId="77777777" w:rsidR="00ED1C5E" w:rsidRDefault="00ED1C5E" w:rsidP="00ED1C5E">
      <w:pPr>
        <w:spacing w:after="0" w:line="240" w:lineRule="auto"/>
        <w:rPr>
          <w:rFonts w:ascii="Times New Roman" w:hAnsi="Times New Roman" w:cs="Times New Roman"/>
        </w:rPr>
      </w:pPr>
    </w:p>
    <w:p w14:paraId="27794369" w14:textId="77777777" w:rsidR="00ED1C5E" w:rsidRPr="00ED1C5E" w:rsidRDefault="00ED1C5E" w:rsidP="00ED1C5E">
      <w:pPr>
        <w:spacing w:after="0" w:line="240" w:lineRule="auto"/>
        <w:rPr>
          <w:rFonts w:ascii="Times New Roman" w:hAnsi="Times New Roman" w:cs="Times New Roman"/>
        </w:rPr>
      </w:pPr>
    </w:p>
    <w:p w14:paraId="6F1839B9" w14:textId="2667452D" w:rsidR="00565274" w:rsidRDefault="00565274" w:rsidP="00ED1C5E">
      <w:pPr>
        <w:spacing w:after="0" w:line="240" w:lineRule="auto"/>
        <w:rPr>
          <w:rFonts w:ascii="Times New Roman" w:hAnsi="Times New Roman" w:cs="Times New Roman"/>
        </w:rPr>
      </w:pPr>
      <w:r w:rsidRPr="00ED1C5E">
        <w:rPr>
          <w:rFonts w:ascii="Times New Roman" w:hAnsi="Times New Roman" w:cs="Times New Roman"/>
        </w:rPr>
        <w:t>KATIYO J</w:t>
      </w:r>
    </w:p>
    <w:p w14:paraId="3100F805" w14:textId="77777777" w:rsidR="00ED1C5E" w:rsidRPr="00ED1C5E" w:rsidRDefault="00ED1C5E" w:rsidP="00ED1C5E">
      <w:pPr>
        <w:spacing w:after="0" w:line="240" w:lineRule="auto"/>
        <w:rPr>
          <w:rFonts w:ascii="Times New Roman" w:hAnsi="Times New Roman" w:cs="Times New Roman"/>
        </w:rPr>
      </w:pPr>
    </w:p>
    <w:p w14:paraId="219853A3" w14:textId="77777777" w:rsidR="004D6F34" w:rsidRPr="00ED1C5E" w:rsidRDefault="004D6F34" w:rsidP="00ED1C5E">
      <w:pPr>
        <w:spacing w:line="360" w:lineRule="auto"/>
        <w:rPr>
          <w:rFonts w:ascii="Times New Roman" w:hAnsi="Times New Roman" w:cs="Times New Roman"/>
          <w:b/>
          <w:bCs/>
        </w:rPr>
      </w:pPr>
      <w:r w:rsidRPr="00ED1C5E">
        <w:rPr>
          <w:rFonts w:ascii="Times New Roman" w:hAnsi="Times New Roman" w:cs="Times New Roman"/>
          <w:b/>
          <w:bCs/>
        </w:rPr>
        <w:t>Introduction</w:t>
      </w:r>
    </w:p>
    <w:p w14:paraId="6BCD5FAA" w14:textId="77777777" w:rsidR="004D6F34" w:rsidRPr="00ED1C5E" w:rsidRDefault="004D6F34" w:rsidP="00ED1C5E">
      <w:pPr>
        <w:spacing w:after="0" w:line="360" w:lineRule="auto"/>
        <w:ind w:firstLine="720"/>
        <w:jc w:val="both"/>
        <w:rPr>
          <w:rFonts w:ascii="Times New Roman" w:hAnsi="Times New Roman" w:cs="Times New Roman"/>
        </w:rPr>
      </w:pPr>
      <w:r w:rsidRPr="00ED1C5E">
        <w:rPr>
          <w:rFonts w:ascii="Times New Roman" w:hAnsi="Times New Roman" w:cs="Times New Roman"/>
        </w:rPr>
        <w:t>This matter came before me as a special case in terms of Rule 52 of the High Court Rules, 2021. The parties, being co-owners in equal undivided shares of an immovable property known as Lot 2 of Brooke Estates, also known as 69 Hawkshead Drive, Philadelphia, Harare (“the property”), requested the Court to determine specific questions of law arising from their dispute.</w:t>
      </w:r>
    </w:p>
    <w:p w14:paraId="40DBF997" w14:textId="77777777" w:rsidR="004D6F34" w:rsidRPr="00ED1C5E" w:rsidRDefault="004D6F34" w:rsidP="00ED1C5E">
      <w:pPr>
        <w:spacing w:after="0" w:line="360" w:lineRule="auto"/>
        <w:ind w:firstLine="720"/>
        <w:jc w:val="both"/>
        <w:rPr>
          <w:rFonts w:ascii="Times New Roman" w:hAnsi="Times New Roman" w:cs="Times New Roman"/>
        </w:rPr>
      </w:pPr>
      <w:r w:rsidRPr="00ED1C5E">
        <w:rPr>
          <w:rFonts w:ascii="Times New Roman" w:hAnsi="Times New Roman" w:cs="Times New Roman"/>
        </w:rPr>
        <w:t xml:space="preserve">The plaintiff instituted proceedings founded upon the </w:t>
      </w:r>
      <w:proofErr w:type="spellStart"/>
      <w:r w:rsidRPr="00ED1C5E">
        <w:rPr>
          <w:rFonts w:ascii="Times New Roman" w:hAnsi="Times New Roman" w:cs="Times New Roman"/>
          <w:i/>
          <w:iCs/>
        </w:rPr>
        <w:t>actio</w:t>
      </w:r>
      <w:proofErr w:type="spellEnd"/>
      <w:r w:rsidRPr="00ED1C5E">
        <w:rPr>
          <w:rFonts w:ascii="Times New Roman" w:hAnsi="Times New Roman" w:cs="Times New Roman"/>
          <w:i/>
          <w:iCs/>
        </w:rPr>
        <w:t xml:space="preserve"> </w:t>
      </w:r>
      <w:proofErr w:type="spellStart"/>
      <w:r w:rsidRPr="00ED1C5E">
        <w:rPr>
          <w:rFonts w:ascii="Times New Roman" w:hAnsi="Times New Roman" w:cs="Times New Roman"/>
          <w:i/>
          <w:iCs/>
        </w:rPr>
        <w:t>communi</w:t>
      </w:r>
      <w:proofErr w:type="spellEnd"/>
      <w:r w:rsidRPr="00ED1C5E">
        <w:rPr>
          <w:rFonts w:ascii="Times New Roman" w:hAnsi="Times New Roman" w:cs="Times New Roman"/>
          <w:i/>
          <w:iCs/>
        </w:rPr>
        <w:t xml:space="preserve"> </w:t>
      </w:r>
      <w:proofErr w:type="spellStart"/>
      <w:r w:rsidRPr="00ED1C5E">
        <w:rPr>
          <w:rFonts w:ascii="Times New Roman" w:hAnsi="Times New Roman" w:cs="Times New Roman"/>
          <w:i/>
          <w:iCs/>
        </w:rPr>
        <w:t>dividundo</w:t>
      </w:r>
      <w:proofErr w:type="spellEnd"/>
      <w:r w:rsidRPr="00ED1C5E">
        <w:rPr>
          <w:rFonts w:ascii="Times New Roman" w:hAnsi="Times New Roman" w:cs="Times New Roman"/>
        </w:rPr>
        <w:t>, seeking division of the jointly owned property and ancillary relief in the form of compensation for the defendant’s exclusive occupation thereof since September 2020.</w:t>
      </w:r>
    </w:p>
    <w:p w14:paraId="5202E102" w14:textId="77777777" w:rsidR="004D6F34" w:rsidRPr="00ED1C5E" w:rsidRDefault="004D6F34" w:rsidP="00ED1C5E">
      <w:pPr>
        <w:spacing w:after="0" w:line="360" w:lineRule="auto"/>
        <w:ind w:firstLine="720"/>
        <w:jc w:val="both"/>
        <w:rPr>
          <w:rFonts w:ascii="Times New Roman" w:hAnsi="Times New Roman" w:cs="Times New Roman"/>
        </w:rPr>
      </w:pPr>
      <w:r w:rsidRPr="00ED1C5E">
        <w:rPr>
          <w:rFonts w:ascii="Times New Roman" w:hAnsi="Times New Roman" w:cs="Times New Roman"/>
        </w:rPr>
        <w:t>The parties agreed upon a stated case and framed six questions of law for determination. I am indebted to counsel for their comprehensive heads of argument.</w:t>
      </w:r>
    </w:p>
    <w:p w14:paraId="1CC79256" w14:textId="4AFDA5AF" w:rsidR="004D6F34" w:rsidRPr="00ED1C5E" w:rsidRDefault="004D6F34" w:rsidP="00ED1C5E">
      <w:pPr>
        <w:spacing w:after="0" w:line="360" w:lineRule="auto"/>
        <w:ind w:firstLine="720"/>
        <w:jc w:val="both"/>
        <w:rPr>
          <w:rFonts w:ascii="Times New Roman" w:hAnsi="Times New Roman" w:cs="Times New Roman"/>
          <w:b/>
          <w:bCs/>
        </w:rPr>
      </w:pPr>
      <w:r w:rsidRPr="00ED1C5E">
        <w:rPr>
          <w:rFonts w:ascii="Times New Roman" w:hAnsi="Times New Roman" w:cs="Times New Roman"/>
        </w:rPr>
        <w:t>This judgment addresses those questions and, for the reasons that follow, resolves them in favour of the plaintiff.</w:t>
      </w:r>
      <w:r w:rsidR="00ED1C5E">
        <w:rPr>
          <w:rFonts w:ascii="Times New Roman" w:hAnsi="Times New Roman" w:cs="Times New Roman"/>
        </w:rPr>
        <w:t xml:space="preserve"> </w:t>
      </w:r>
      <w:r w:rsidRPr="00ED1C5E">
        <w:rPr>
          <w:rFonts w:ascii="Times New Roman" w:hAnsi="Times New Roman" w:cs="Times New Roman"/>
          <w:b/>
          <w:bCs/>
        </w:rPr>
        <w:t>The Applicable Legal Principles</w:t>
      </w:r>
      <w:r w:rsidR="00ED1C5E">
        <w:rPr>
          <w:rFonts w:ascii="Times New Roman" w:hAnsi="Times New Roman" w:cs="Times New Roman"/>
          <w:b/>
          <w:bCs/>
        </w:rPr>
        <w:t>.</w:t>
      </w:r>
    </w:p>
    <w:p w14:paraId="2F45B8B2" w14:textId="77777777" w:rsidR="004D6F34" w:rsidRPr="00ED1C5E" w:rsidRDefault="004D6F34" w:rsidP="00ED1C5E">
      <w:pPr>
        <w:spacing w:line="360" w:lineRule="auto"/>
        <w:ind w:firstLine="720"/>
        <w:jc w:val="both"/>
        <w:rPr>
          <w:rFonts w:ascii="Times New Roman" w:hAnsi="Times New Roman" w:cs="Times New Roman"/>
        </w:rPr>
      </w:pPr>
      <w:r w:rsidRPr="00ED1C5E">
        <w:rPr>
          <w:rFonts w:ascii="Times New Roman" w:hAnsi="Times New Roman" w:cs="Times New Roman"/>
        </w:rPr>
        <w:t xml:space="preserve">The </w:t>
      </w:r>
      <w:proofErr w:type="spellStart"/>
      <w:r w:rsidRPr="00ED1C5E">
        <w:rPr>
          <w:rFonts w:ascii="Times New Roman" w:hAnsi="Times New Roman" w:cs="Times New Roman"/>
          <w:i/>
          <w:iCs/>
        </w:rPr>
        <w:t>actio</w:t>
      </w:r>
      <w:proofErr w:type="spellEnd"/>
      <w:r w:rsidRPr="00ED1C5E">
        <w:rPr>
          <w:rFonts w:ascii="Times New Roman" w:hAnsi="Times New Roman" w:cs="Times New Roman"/>
          <w:i/>
          <w:iCs/>
        </w:rPr>
        <w:t xml:space="preserve"> </w:t>
      </w:r>
      <w:proofErr w:type="spellStart"/>
      <w:r w:rsidRPr="00ED1C5E">
        <w:rPr>
          <w:rFonts w:ascii="Times New Roman" w:hAnsi="Times New Roman" w:cs="Times New Roman"/>
          <w:i/>
          <w:iCs/>
        </w:rPr>
        <w:t>communi</w:t>
      </w:r>
      <w:proofErr w:type="spellEnd"/>
      <w:r w:rsidRPr="00ED1C5E">
        <w:rPr>
          <w:rFonts w:ascii="Times New Roman" w:hAnsi="Times New Roman" w:cs="Times New Roman"/>
          <w:i/>
          <w:iCs/>
        </w:rPr>
        <w:t xml:space="preserve"> </w:t>
      </w:r>
      <w:proofErr w:type="spellStart"/>
      <w:r w:rsidRPr="00ED1C5E">
        <w:rPr>
          <w:rFonts w:ascii="Times New Roman" w:hAnsi="Times New Roman" w:cs="Times New Roman"/>
          <w:i/>
          <w:iCs/>
        </w:rPr>
        <w:t>dividundo</w:t>
      </w:r>
      <w:proofErr w:type="spellEnd"/>
      <w:r w:rsidRPr="00ED1C5E">
        <w:rPr>
          <w:rFonts w:ascii="Times New Roman" w:hAnsi="Times New Roman" w:cs="Times New Roman"/>
        </w:rPr>
        <w:t xml:space="preserve"> is deeply rooted in Roman-Dutch law. Its nature and scope were authoritatively articulated in </w:t>
      </w:r>
      <w:r w:rsidRPr="00ED1C5E">
        <w:rPr>
          <w:rFonts w:ascii="Times New Roman" w:hAnsi="Times New Roman" w:cs="Times New Roman"/>
          <w:i/>
          <w:iCs/>
        </w:rPr>
        <w:t>Robson</w:t>
      </w:r>
      <w:r w:rsidRPr="00ED1C5E">
        <w:rPr>
          <w:rFonts w:ascii="Times New Roman" w:hAnsi="Times New Roman" w:cs="Times New Roman"/>
        </w:rPr>
        <w:t xml:space="preserve"> v</w:t>
      </w:r>
      <w:r w:rsidRPr="00ED1C5E">
        <w:rPr>
          <w:rFonts w:ascii="Times New Roman" w:hAnsi="Times New Roman" w:cs="Times New Roman"/>
          <w:i/>
          <w:iCs/>
        </w:rPr>
        <w:t xml:space="preserve"> Theron</w:t>
      </w:r>
      <w:r w:rsidRPr="00ED1C5E">
        <w:rPr>
          <w:rFonts w:ascii="Times New Roman" w:hAnsi="Times New Roman" w:cs="Times New Roman"/>
        </w:rPr>
        <w:t>, where it was held that:</w:t>
      </w:r>
    </w:p>
    <w:p w14:paraId="20CB5B22" w14:textId="77777777" w:rsidR="004D6F34" w:rsidRPr="00ED1C5E" w:rsidRDefault="004D6F34" w:rsidP="00ED1C5E">
      <w:pPr>
        <w:numPr>
          <w:ilvl w:val="0"/>
          <w:numId w:val="1"/>
        </w:numPr>
        <w:spacing w:line="360" w:lineRule="auto"/>
        <w:jc w:val="both"/>
        <w:rPr>
          <w:rFonts w:ascii="Times New Roman" w:hAnsi="Times New Roman" w:cs="Times New Roman"/>
        </w:rPr>
      </w:pPr>
      <w:r w:rsidRPr="00ED1C5E">
        <w:rPr>
          <w:rFonts w:ascii="Times New Roman" w:hAnsi="Times New Roman" w:cs="Times New Roman"/>
        </w:rPr>
        <w:t>No co-owner is obliged to remain in co-ownership against his will.</w:t>
      </w:r>
    </w:p>
    <w:p w14:paraId="3473F25B" w14:textId="77777777" w:rsidR="004D6F34" w:rsidRPr="00ED1C5E" w:rsidRDefault="004D6F34" w:rsidP="00ED1C5E">
      <w:pPr>
        <w:numPr>
          <w:ilvl w:val="0"/>
          <w:numId w:val="1"/>
        </w:numPr>
        <w:spacing w:line="360" w:lineRule="auto"/>
        <w:jc w:val="both"/>
        <w:rPr>
          <w:rFonts w:ascii="Times New Roman" w:hAnsi="Times New Roman" w:cs="Times New Roman"/>
        </w:rPr>
      </w:pPr>
      <w:r w:rsidRPr="00ED1C5E">
        <w:rPr>
          <w:rFonts w:ascii="Times New Roman" w:hAnsi="Times New Roman" w:cs="Times New Roman"/>
        </w:rPr>
        <w:t>The action lies for the division of joint property.</w:t>
      </w:r>
    </w:p>
    <w:p w14:paraId="5F256014" w14:textId="77777777" w:rsidR="004D6F34" w:rsidRPr="00ED1C5E" w:rsidRDefault="004D6F34" w:rsidP="00ED1C5E">
      <w:pPr>
        <w:numPr>
          <w:ilvl w:val="0"/>
          <w:numId w:val="1"/>
        </w:numPr>
        <w:spacing w:line="360" w:lineRule="auto"/>
        <w:jc w:val="both"/>
        <w:rPr>
          <w:rFonts w:ascii="Times New Roman" w:hAnsi="Times New Roman" w:cs="Times New Roman"/>
        </w:rPr>
      </w:pPr>
      <w:r w:rsidRPr="00ED1C5E">
        <w:rPr>
          <w:rFonts w:ascii="Times New Roman" w:hAnsi="Times New Roman" w:cs="Times New Roman"/>
        </w:rPr>
        <w:lastRenderedPageBreak/>
        <w:t>It extends to ancillary claims relating to profits enjoyed or expenses incurred in connection with the joint property.</w:t>
      </w:r>
    </w:p>
    <w:p w14:paraId="37E3C2FF" w14:textId="77777777" w:rsidR="004D6F34" w:rsidRPr="00ED1C5E" w:rsidRDefault="004D6F34" w:rsidP="00ED1C5E">
      <w:pPr>
        <w:numPr>
          <w:ilvl w:val="0"/>
          <w:numId w:val="1"/>
        </w:numPr>
        <w:spacing w:line="360" w:lineRule="auto"/>
        <w:jc w:val="both"/>
        <w:rPr>
          <w:rFonts w:ascii="Times New Roman" w:hAnsi="Times New Roman" w:cs="Times New Roman"/>
        </w:rPr>
      </w:pPr>
      <w:r w:rsidRPr="00ED1C5E">
        <w:rPr>
          <w:rFonts w:ascii="Times New Roman" w:hAnsi="Times New Roman" w:cs="Times New Roman"/>
        </w:rPr>
        <w:t>The Court exercises a wide equitable discretion in determining the appropriate mode of division.</w:t>
      </w:r>
    </w:p>
    <w:p w14:paraId="1D251FE9" w14:textId="77777777" w:rsidR="00ED1C5E" w:rsidRDefault="004D6F34" w:rsidP="00ED1C5E">
      <w:pPr>
        <w:spacing w:after="0" w:line="360" w:lineRule="auto"/>
        <w:ind w:firstLine="360"/>
        <w:jc w:val="both"/>
        <w:rPr>
          <w:rFonts w:ascii="Times New Roman" w:hAnsi="Times New Roman" w:cs="Times New Roman"/>
        </w:rPr>
      </w:pPr>
      <w:r w:rsidRPr="00ED1C5E">
        <w:rPr>
          <w:rFonts w:ascii="Times New Roman" w:hAnsi="Times New Roman" w:cs="Times New Roman"/>
        </w:rPr>
        <w:t xml:space="preserve">The same principles were reaffirmed in </w:t>
      </w:r>
      <w:r w:rsidRPr="00ED1C5E">
        <w:rPr>
          <w:rFonts w:ascii="Times New Roman" w:hAnsi="Times New Roman" w:cs="Times New Roman"/>
          <w:i/>
          <w:iCs/>
        </w:rPr>
        <w:t xml:space="preserve">Chisvo </w:t>
      </w:r>
      <w:r w:rsidRPr="00ED1C5E">
        <w:rPr>
          <w:rFonts w:ascii="Times New Roman" w:hAnsi="Times New Roman" w:cs="Times New Roman"/>
        </w:rPr>
        <w:t>v</w:t>
      </w:r>
      <w:r w:rsidRPr="00ED1C5E">
        <w:rPr>
          <w:rFonts w:ascii="Times New Roman" w:hAnsi="Times New Roman" w:cs="Times New Roman"/>
          <w:i/>
          <w:iCs/>
        </w:rPr>
        <w:t xml:space="preserve"> The Sheriff of Zimbabwe NO and 4 Others,</w:t>
      </w:r>
      <w:r w:rsidRPr="00ED1C5E">
        <w:rPr>
          <w:rFonts w:ascii="Times New Roman" w:hAnsi="Times New Roman" w:cs="Times New Roman"/>
        </w:rPr>
        <w:t xml:space="preserve"> where the Court emphasized that each co-owner may insist on partition at any time and, failing agreement, the Court will make an order that is fair and equitable, including physical division, buy-out, or sale.</w:t>
      </w:r>
    </w:p>
    <w:p w14:paraId="5ED74BE4" w14:textId="4C66BE94" w:rsidR="004D6F34" w:rsidRPr="00ED1C5E" w:rsidRDefault="004D6F34" w:rsidP="00ED1C5E">
      <w:pPr>
        <w:spacing w:line="360" w:lineRule="auto"/>
        <w:ind w:firstLine="360"/>
        <w:jc w:val="both"/>
        <w:rPr>
          <w:rFonts w:ascii="Times New Roman" w:hAnsi="Times New Roman" w:cs="Times New Roman"/>
        </w:rPr>
      </w:pPr>
      <w:r w:rsidRPr="00ED1C5E">
        <w:rPr>
          <w:rFonts w:ascii="Times New Roman" w:hAnsi="Times New Roman" w:cs="Times New Roman"/>
        </w:rPr>
        <w:t>It is therefore beyond dispute that the plaintiff is entitled, in principle, to seek partition and associated equitable relief.</w:t>
      </w:r>
    </w:p>
    <w:p w14:paraId="04875774" w14:textId="77777777" w:rsidR="004D6F34" w:rsidRPr="00ED1C5E" w:rsidRDefault="004D6F34" w:rsidP="00ED1C5E">
      <w:pPr>
        <w:spacing w:line="360" w:lineRule="auto"/>
        <w:jc w:val="both"/>
        <w:rPr>
          <w:rFonts w:ascii="Times New Roman" w:hAnsi="Times New Roman" w:cs="Times New Roman"/>
          <w:b/>
          <w:bCs/>
        </w:rPr>
      </w:pPr>
      <w:r w:rsidRPr="00ED1C5E">
        <w:rPr>
          <w:rFonts w:ascii="Times New Roman" w:hAnsi="Times New Roman" w:cs="Times New Roman"/>
          <w:b/>
          <w:bCs/>
        </w:rPr>
        <w:t>Question (</w:t>
      </w:r>
      <w:proofErr w:type="spellStart"/>
      <w:r w:rsidRPr="00ED1C5E">
        <w:rPr>
          <w:rFonts w:ascii="Times New Roman" w:hAnsi="Times New Roman" w:cs="Times New Roman"/>
          <w:b/>
          <w:bCs/>
        </w:rPr>
        <w:t>i</w:t>
      </w:r>
      <w:proofErr w:type="spellEnd"/>
      <w:r w:rsidRPr="00ED1C5E">
        <w:rPr>
          <w:rFonts w:ascii="Times New Roman" w:hAnsi="Times New Roman" w:cs="Times New Roman"/>
          <w:b/>
          <w:bCs/>
        </w:rPr>
        <w:t>): Whether the Court May Order Subdivision</w:t>
      </w:r>
    </w:p>
    <w:p w14:paraId="5732A6A6" w14:textId="77777777" w:rsidR="004D6F34" w:rsidRPr="00ED1C5E" w:rsidRDefault="004D6F34" w:rsidP="00ED1C5E">
      <w:pPr>
        <w:spacing w:after="0" w:line="360" w:lineRule="auto"/>
        <w:ind w:firstLine="720"/>
        <w:jc w:val="both"/>
        <w:rPr>
          <w:rFonts w:ascii="Times New Roman" w:hAnsi="Times New Roman" w:cs="Times New Roman"/>
        </w:rPr>
      </w:pPr>
      <w:r w:rsidRPr="00ED1C5E">
        <w:rPr>
          <w:rFonts w:ascii="Times New Roman" w:hAnsi="Times New Roman" w:cs="Times New Roman"/>
        </w:rPr>
        <w:t>The first question is whether this Court may order subdivision of the property in light of the Regional, Town and Country Planning Act [</w:t>
      </w:r>
      <w:r w:rsidRPr="00ED1C5E">
        <w:rPr>
          <w:rFonts w:ascii="Times New Roman" w:hAnsi="Times New Roman" w:cs="Times New Roman"/>
          <w:i/>
          <w:iCs/>
        </w:rPr>
        <w:t>Chapter 29:12</w:t>
      </w:r>
      <w:r w:rsidRPr="00ED1C5E">
        <w:rPr>
          <w:rFonts w:ascii="Times New Roman" w:hAnsi="Times New Roman" w:cs="Times New Roman"/>
        </w:rPr>
        <w:t>].</w:t>
      </w:r>
    </w:p>
    <w:p w14:paraId="4D302045" w14:textId="77777777" w:rsidR="004D6F34" w:rsidRPr="00ED1C5E" w:rsidRDefault="004D6F34" w:rsidP="00ED1C5E">
      <w:pPr>
        <w:spacing w:after="0" w:line="360" w:lineRule="auto"/>
        <w:ind w:firstLine="720"/>
        <w:jc w:val="both"/>
        <w:rPr>
          <w:rFonts w:ascii="Times New Roman" w:hAnsi="Times New Roman" w:cs="Times New Roman"/>
        </w:rPr>
      </w:pPr>
      <w:r w:rsidRPr="00ED1C5E">
        <w:rPr>
          <w:rFonts w:ascii="Times New Roman" w:hAnsi="Times New Roman" w:cs="Times New Roman"/>
        </w:rPr>
        <w:t>The defendant argued that subdivision falls within the prerogative of the planning authority and that the Court cannot encroach upon that statutory discretion.</w:t>
      </w:r>
    </w:p>
    <w:p w14:paraId="4A52DB78" w14:textId="77777777" w:rsidR="004D6F34" w:rsidRPr="00ED1C5E" w:rsidRDefault="004D6F34" w:rsidP="00ED1C5E">
      <w:pPr>
        <w:spacing w:after="0" w:line="360" w:lineRule="auto"/>
        <w:ind w:firstLine="720"/>
        <w:jc w:val="both"/>
        <w:rPr>
          <w:rFonts w:ascii="Times New Roman" w:hAnsi="Times New Roman" w:cs="Times New Roman"/>
        </w:rPr>
      </w:pPr>
      <w:r w:rsidRPr="00ED1C5E">
        <w:rPr>
          <w:rFonts w:ascii="Times New Roman" w:hAnsi="Times New Roman" w:cs="Times New Roman"/>
        </w:rPr>
        <w:t>It is correct that subdivision requires compliance with statute. However, the issue is not whether this Court may usurp the planning authority’s function, but whether it may order that subdivision be pursued subject to statutory approval.</w:t>
      </w:r>
    </w:p>
    <w:p w14:paraId="67BA73B7" w14:textId="77777777" w:rsidR="004D6F34" w:rsidRPr="00ED1C5E" w:rsidRDefault="004D6F34" w:rsidP="00ED1C5E">
      <w:pPr>
        <w:spacing w:after="0" w:line="360" w:lineRule="auto"/>
        <w:ind w:firstLine="720"/>
        <w:jc w:val="both"/>
        <w:rPr>
          <w:rFonts w:ascii="Times New Roman" w:hAnsi="Times New Roman" w:cs="Times New Roman"/>
        </w:rPr>
      </w:pPr>
      <w:r w:rsidRPr="00ED1C5E">
        <w:rPr>
          <w:rFonts w:ascii="Times New Roman" w:hAnsi="Times New Roman" w:cs="Times New Roman"/>
        </w:rPr>
        <w:t xml:space="preserve">In </w:t>
      </w:r>
      <w:r w:rsidRPr="00ED1C5E">
        <w:rPr>
          <w:rFonts w:ascii="Times New Roman" w:hAnsi="Times New Roman" w:cs="Times New Roman"/>
          <w:i/>
          <w:iCs/>
        </w:rPr>
        <w:t xml:space="preserve">Fernandes </w:t>
      </w:r>
      <w:r w:rsidRPr="00ED1C5E">
        <w:rPr>
          <w:rFonts w:ascii="Times New Roman" w:hAnsi="Times New Roman" w:cs="Times New Roman"/>
        </w:rPr>
        <w:t>v</w:t>
      </w:r>
      <w:r w:rsidRPr="00ED1C5E">
        <w:rPr>
          <w:rFonts w:ascii="Times New Roman" w:hAnsi="Times New Roman" w:cs="Times New Roman"/>
          <w:i/>
          <w:iCs/>
        </w:rPr>
        <w:t xml:space="preserve"> Fernandes</w:t>
      </w:r>
      <w:r w:rsidRPr="00ED1C5E">
        <w:rPr>
          <w:rFonts w:ascii="Times New Roman" w:hAnsi="Times New Roman" w:cs="Times New Roman"/>
        </w:rPr>
        <w:t xml:space="preserve">, the Court held that where subdivision is properly pleaded and desirable, the Court may grant such relief subject to the requirements of the local planning authority. Similarly, in </w:t>
      </w:r>
      <w:r w:rsidRPr="00ED1C5E">
        <w:rPr>
          <w:rFonts w:ascii="Times New Roman" w:hAnsi="Times New Roman" w:cs="Times New Roman"/>
          <w:i/>
          <w:iCs/>
        </w:rPr>
        <w:t xml:space="preserve">Bennet NO </w:t>
      </w:r>
      <w:r w:rsidRPr="00ED1C5E">
        <w:rPr>
          <w:rFonts w:ascii="Times New Roman" w:hAnsi="Times New Roman" w:cs="Times New Roman"/>
        </w:rPr>
        <w:t>v</w:t>
      </w:r>
      <w:r w:rsidRPr="00ED1C5E">
        <w:rPr>
          <w:rFonts w:ascii="Times New Roman" w:hAnsi="Times New Roman" w:cs="Times New Roman"/>
          <w:i/>
          <w:iCs/>
        </w:rPr>
        <w:t xml:space="preserve"> Le Roux</w:t>
      </w:r>
      <w:r w:rsidRPr="00ED1C5E">
        <w:rPr>
          <w:rFonts w:ascii="Times New Roman" w:hAnsi="Times New Roman" w:cs="Times New Roman"/>
        </w:rPr>
        <w:t xml:space="preserve">, the Court affirmed that where partition can be </w:t>
      </w:r>
      <w:proofErr w:type="gramStart"/>
      <w:r w:rsidRPr="00ED1C5E">
        <w:rPr>
          <w:rFonts w:ascii="Times New Roman" w:hAnsi="Times New Roman" w:cs="Times New Roman"/>
        </w:rPr>
        <w:t>effected</w:t>
      </w:r>
      <w:proofErr w:type="gramEnd"/>
      <w:r w:rsidRPr="00ED1C5E">
        <w:rPr>
          <w:rFonts w:ascii="Times New Roman" w:hAnsi="Times New Roman" w:cs="Times New Roman"/>
        </w:rPr>
        <w:t xml:space="preserve"> physically and legally, and is not inequitable, it ought to be granted.</w:t>
      </w:r>
    </w:p>
    <w:p w14:paraId="76F62D9C" w14:textId="77777777" w:rsidR="004D6F34" w:rsidRPr="00ED1C5E" w:rsidRDefault="004D6F34" w:rsidP="00ED1C5E">
      <w:pPr>
        <w:spacing w:after="0" w:line="360" w:lineRule="auto"/>
        <w:ind w:firstLine="720"/>
        <w:jc w:val="both"/>
        <w:rPr>
          <w:rFonts w:ascii="Times New Roman" w:hAnsi="Times New Roman" w:cs="Times New Roman"/>
        </w:rPr>
      </w:pPr>
      <w:r w:rsidRPr="00ED1C5E">
        <w:rPr>
          <w:rFonts w:ascii="Times New Roman" w:hAnsi="Times New Roman" w:cs="Times New Roman"/>
        </w:rPr>
        <w:t>I am satisfied that subdivision is both physically possible and legally permissible, subject to statutory approval. Nothing before me suggests that subdivision would be impracticable, uneconomical, or prohibited.</w:t>
      </w:r>
    </w:p>
    <w:p w14:paraId="5D40BCB8" w14:textId="70457716" w:rsidR="004D6F34" w:rsidRPr="00ED1C5E" w:rsidRDefault="004D6F34" w:rsidP="00ED1C5E">
      <w:pPr>
        <w:spacing w:after="0" w:line="360" w:lineRule="auto"/>
        <w:ind w:firstLine="720"/>
        <w:jc w:val="both"/>
        <w:rPr>
          <w:rFonts w:ascii="Times New Roman" w:hAnsi="Times New Roman" w:cs="Times New Roman"/>
        </w:rPr>
      </w:pPr>
      <w:r w:rsidRPr="00ED1C5E">
        <w:rPr>
          <w:rFonts w:ascii="Times New Roman" w:hAnsi="Times New Roman" w:cs="Times New Roman"/>
        </w:rPr>
        <w:t xml:space="preserve">This Court will not order the planning authority to approve subdivision. However, consistent with </w:t>
      </w:r>
      <w:r w:rsidRPr="00ED1C5E">
        <w:rPr>
          <w:rFonts w:ascii="Times New Roman" w:hAnsi="Times New Roman" w:cs="Times New Roman"/>
          <w:i/>
          <w:iCs/>
        </w:rPr>
        <w:t>Fernandes</w:t>
      </w:r>
      <w:r w:rsidRPr="00ED1C5E">
        <w:rPr>
          <w:rFonts w:ascii="Times New Roman" w:hAnsi="Times New Roman" w:cs="Times New Roman"/>
        </w:rPr>
        <w:t xml:space="preserve">, it may order that the parties apply for subdivision, subject to compliance with </w:t>
      </w:r>
      <w:r w:rsidR="00ED1C5E">
        <w:rPr>
          <w:rFonts w:ascii="Times New Roman" w:hAnsi="Times New Roman" w:cs="Times New Roman"/>
        </w:rPr>
        <w:t>[</w:t>
      </w:r>
      <w:r w:rsidRPr="00ED1C5E">
        <w:rPr>
          <w:rFonts w:ascii="Times New Roman" w:hAnsi="Times New Roman" w:cs="Times New Roman"/>
          <w:i/>
          <w:iCs/>
        </w:rPr>
        <w:t>Chapter 29:12</w:t>
      </w:r>
      <w:r w:rsidR="00ED1C5E">
        <w:rPr>
          <w:rFonts w:ascii="Times New Roman" w:hAnsi="Times New Roman" w:cs="Times New Roman"/>
        </w:rPr>
        <w:t>]</w:t>
      </w:r>
      <w:r w:rsidRPr="00ED1C5E">
        <w:rPr>
          <w:rFonts w:ascii="Times New Roman" w:hAnsi="Times New Roman" w:cs="Times New Roman"/>
        </w:rPr>
        <w:t>.</w:t>
      </w:r>
    </w:p>
    <w:p w14:paraId="1794D336" w14:textId="77777777" w:rsidR="004D6F34" w:rsidRPr="00ED1C5E" w:rsidRDefault="004D6F34" w:rsidP="00ED690F">
      <w:pPr>
        <w:spacing w:line="360" w:lineRule="auto"/>
        <w:ind w:firstLine="720"/>
        <w:jc w:val="both"/>
        <w:rPr>
          <w:rFonts w:ascii="Times New Roman" w:hAnsi="Times New Roman" w:cs="Times New Roman"/>
        </w:rPr>
      </w:pPr>
      <w:r w:rsidRPr="00ED1C5E">
        <w:rPr>
          <w:rFonts w:ascii="Times New Roman" w:hAnsi="Times New Roman" w:cs="Times New Roman"/>
        </w:rPr>
        <w:t>Accordingly, Question (</w:t>
      </w:r>
      <w:proofErr w:type="spellStart"/>
      <w:r w:rsidRPr="00ED1C5E">
        <w:rPr>
          <w:rFonts w:ascii="Times New Roman" w:hAnsi="Times New Roman" w:cs="Times New Roman"/>
        </w:rPr>
        <w:t>i</w:t>
      </w:r>
      <w:proofErr w:type="spellEnd"/>
      <w:r w:rsidRPr="00ED1C5E">
        <w:rPr>
          <w:rFonts w:ascii="Times New Roman" w:hAnsi="Times New Roman" w:cs="Times New Roman"/>
        </w:rPr>
        <w:t>) is answered in the affirmative.</w:t>
      </w:r>
    </w:p>
    <w:p w14:paraId="58E22E92" w14:textId="77777777" w:rsidR="004D6F34" w:rsidRPr="00ED1C5E" w:rsidRDefault="004D6F34" w:rsidP="00ED1C5E">
      <w:pPr>
        <w:spacing w:line="360" w:lineRule="auto"/>
        <w:jc w:val="both"/>
        <w:rPr>
          <w:rFonts w:ascii="Times New Roman" w:hAnsi="Times New Roman" w:cs="Times New Roman"/>
          <w:b/>
          <w:bCs/>
        </w:rPr>
      </w:pPr>
      <w:r w:rsidRPr="00ED1C5E">
        <w:rPr>
          <w:rFonts w:ascii="Times New Roman" w:hAnsi="Times New Roman" w:cs="Times New Roman"/>
          <w:b/>
          <w:bCs/>
        </w:rPr>
        <w:t>Questions (ii) and (iii): Buy-Out and Equitable Period</w:t>
      </w:r>
    </w:p>
    <w:p w14:paraId="782176CB" w14:textId="77777777" w:rsidR="004D6F34" w:rsidRPr="00ED1C5E" w:rsidRDefault="004D6F34" w:rsidP="00ED690F">
      <w:pPr>
        <w:spacing w:after="0" w:line="360" w:lineRule="auto"/>
        <w:ind w:firstLine="720"/>
        <w:jc w:val="both"/>
        <w:rPr>
          <w:rFonts w:ascii="Times New Roman" w:hAnsi="Times New Roman" w:cs="Times New Roman"/>
        </w:rPr>
      </w:pPr>
      <w:r w:rsidRPr="00ED1C5E">
        <w:rPr>
          <w:rFonts w:ascii="Times New Roman" w:hAnsi="Times New Roman" w:cs="Times New Roman"/>
        </w:rPr>
        <w:lastRenderedPageBreak/>
        <w:t>These questions arise in the alternative.</w:t>
      </w:r>
    </w:p>
    <w:p w14:paraId="36D74F32" w14:textId="77777777" w:rsidR="004D6F34" w:rsidRPr="00ED1C5E" w:rsidRDefault="004D6F34" w:rsidP="00ED690F">
      <w:pPr>
        <w:spacing w:after="0" w:line="360" w:lineRule="auto"/>
        <w:ind w:firstLine="720"/>
        <w:jc w:val="both"/>
        <w:rPr>
          <w:rFonts w:ascii="Times New Roman" w:hAnsi="Times New Roman" w:cs="Times New Roman"/>
        </w:rPr>
      </w:pPr>
      <w:r w:rsidRPr="00ED1C5E">
        <w:rPr>
          <w:rFonts w:ascii="Times New Roman" w:hAnsi="Times New Roman" w:cs="Times New Roman"/>
        </w:rPr>
        <w:t>Should subdivision not ultimately be approved, the Court must determine whether one party should buy out the other and within what period.</w:t>
      </w:r>
    </w:p>
    <w:p w14:paraId="7D05F7F8" w14:textId="77777777" w:rsidR="004D6F34" w:rsidRPr="00ED1C5E" w:rsidRDefault="004D6F34" w:rsidP="00ED690F">
      <w:pPr>
        <w:spacing w:after="0" w:line="360" w:lineRule="auto"/>
        <w:ind w:firstLine="720"/>
        <w:jc w:val="both"/>
        <w:rPr>
          <w:rFonts w:ascii="Times New Roman" w:hAnsi="Times New Roman" w:cs="Times New Roman"/>
        </w:rPr>
      </w:pPr>
      <w:r w:rsidRPr="00ED1C5E">
        <w:rPr>
          <w:rFonts w:ascii="Times New Roman" w:hAnsi="Times New Roman" w:cs="Times New Roman"/>
        </w:rPr>
        <w:t xml:space="preserve">The equitable discretion described in </w:t>
      </w:r>
      <w:r w:rsidRPr="00ED1C5E">
        <w:rPr>
          <w:rFonts w:ascii="Times New Roman" w:hAnsi="Times New Roman" w:cs="Times New Roman"/>
          <w:i/>
          <w:iCs/>
        </w:rPr>
        <w:t>Robson</w:t>
      </w:r>
      <w:r w:rsidRPr="00ED1C5E">
        <w:rPr>
          <w:rFonts w:ascii="Times New Roman" w:hAnsi="Times New Roman" w:cs="Times New Roman"/>
        </w:rPr>
        <w:t xml:space="preserve"> and </w:t>
      </w:r>
      <w:r w:rsidRPr="00ED1C5E">
        <w:rPr>
          <w:rFonts w:ascii="Times New Roman" w:hAnsi="Times New Roman" w:cs="Times New Roman"/>
          <w:i/>
          <w:iCs/>
        </w:rPr>
        <w:t>Bennet</w:t>
      </w:r>
      <w:r w:rsidRPr="00ED1C5E">
        <w:rPr>
          <w:rFonts w:ascii="Times New Roman" w:hAnsi="Times New Roman" w:cs="Times New Roman"/>
        </w:rPr>
        <w:t xml:space="preserve"> allows the Court to award the property to one co-owner subject to payment of compensation to the other.</w:t>
      </w:r>
    </w:p>
    <w:p w14:paraId="6906D7E2" w14:textId="77777777" w:rsidR="004D6F34" w:rsidRPr="00ED1C5E" w:rsidRDefault="004D6F34" w:rsidP="00ED690F">
      <w:pPr>
        <w:spacing w:after="0" w:line="360" w:lineRule="auto"/>
        <w:ind w:firstLine="720"/>
        <w:jc w:val="both"/>
        <w:rPr>
          <w:rFonts w:ascii="Times New Roman" w:hAnsi="Times New Roman" w:cs="Times New Roman"/>
        </w:rPr>
      </w:pPr>
      <w:r w:rsidRPr="00ED1C5E">
        <w:rPr>
          <w:rFonts w:ascii="Times New Roman" w:hAnsi="Times New Roman" w:cs="Times New Roman"/>
        </w:rPr>
        <w:t>The real dispute concerns the time period. The defendant proposes 24 months. The plaintiff proposes 3 months.</w:t>
      </w:r>
    </w:p>
    <w:p w14:paraId="4694DD6E" w14:textId="77777777" w:rsidR="004D6F34" w:rsidRPr="00ED1C5E" w:rsidRDefault="004D6F34" w:rsidP="00ED690F">
      <w:pPr>
        <w:spacing w:line="360" w:lineRule="auto"/>
        <w:ind w:firstLine="360"/>
        <w:jc w:val="both"/>
        <w:rPr>
          <w:rFonts w:ascii="Times New Roman" w:hAnsi="Times New Roman" w:cs="Times New Roman"/>
        </w:rPr>
      </w:pPr>
      <w:r w:rsidRPr="00ED1C5E">
        <w:rPr>
          <w:rFonts w:ascii="Times New Roman" w:hAnsi="Times New Roman" w:cs="Times New Roman"/>
        </w:rPr>
        <w:t>The evidence is clear that:</w:t>
      </w:r>
    </w:p>
    <w:p w14:paraId="57FFA71E" w14:textId="77777777" w:rsidR="004D6F34" w:rsidRPr="00ED1C5E" w:rsidRDefault="004D6F34" w:rsidP="00ED1C5E">
      <w:pPr>
        <w:numPr>
          <w:ilvl w:val="0"/>
          <w:numId w:val="2"/>
        </w:numPr>
        <w:spacing w:line="360" w:lineRule="auto"/>
        <w:jc w:val="both"/>
        <w:rPr>
          <w:rFonts w:ascii="Times New Roman" w:hAnsi="Times New Roman" w:cs="Times New Roman"/>
        </w:rPr>
      </w:pPr>
      <w:r w:rsidRPr="00ED1C5E">
        <w:rPr>
          <w:rFonts w:ascii="Times New Roman" w:hAnsi="Times New Roman" w:cs="Times New Roman"/>
        </w:rPr>
        <w:t>The defendant has enjoyed exclusive occupation since September 2020.</w:t>
      </w:r>
    </w:p>
    <w:p w14:paraId="05BB01CB" w14:textId="77777777" w:rsidR="004D6F34" w:rsidRPr="00ED1C5E" w:rsidRDefault="004D6F34" w:rsidP="00ED1C5E">
      <w:pPr>
        <w:numPr>
          <w:ilvl w:val="0"/>
          <w:numId w:val="2"/>
        </w:numPr>
        <w:spacing w:line="360" w:lineRule="auto"/>
        <w:jc w:val="both"/>
        <w:rPr>
          <w:rFonts w:ascii="Times New Roman" w:hAnsi="Times New Roman" w:cs="Times New Roman"/>
        </w:rPr>
      </w:pPr>
      <w:r w:rsidRPr="00ED1C5E">
        <w:rPr>
          <w:rFonts w:ascii="Times New Roman" w:hAnsi="Times New Roman" w:cs="Times New Roman"/>
        </w:rPr>
        <w:t>The plaintiff has derived no benefit from the property.</w:t>
      </w:r>
    </w:p>
    <w:p w14:paraId="72407EB1" w14:textId="77777777" w:rsidR="004D6F34" w:rsidRPr="00ED1C5E" w:rsidRDefault="004D6F34" w:rsidP="00ED1C5E">
      <w:pPr>
        <w:numPr>
          <w:ilvl w:val="0"/>
          <w:numId w:val="2"/>
        </w:numPr>
        <w:spacing w:line="360" w:lineRule="auto"/>
        <w:jc w:val="both"/>
        <w:rPr>
          <w:rFonts w:ascii="Times New Roman" w:hAnsi="Times New Roman" w:cs="Times New Roman"/>
        </w:rPr>
      </w:pPr>
      <w:r w:rsidRPr="00ED1C5E">
        <w:rPr>
          <w:rFonts w:ascii="Times New Roman" w:hAnsi="Times New Roman" w:cs="Times New Roman"/>
        </w:rPr>
        <w:t>The defendant has long indicated an intention to purchase but has not done so.</w:t>
      </w:r>
    </w:p>
    <w:p w14:paraId="2F49441D" w14:textId="77777777" w:rsidR="004D6F34" w:rsidRPr="00ED1C5E" w:rsidRDefault="004D6F34" w:rsidP="00ED690F">
      <w:pPr>
        <w:spacing w:after="0" w:line="360" w:lineRule="auto"/>
        <w:ind w:firstLine="720"/>
        <w:jc w:val="both"/>
        <w:rPr>
          <w:rFonts w:ascii="Times New Roman" w:hAnsi="Times New Roman" w:cs="Times New Roman"/>
        </w:rPr>
      </w:pPr>
      <w:r w:rsidRPr="00ED1C5E">
        <w:rPr>
          <w:rFonts w:ascii="Times New Roman" w:hAnsi="Times New Roman" w:cs="Times New Roman"/>
        </w:rPr>
        <w:t>To grant a further 24 months would effectively entrench the defendant’s exclusive enjoyment for close to five years without equitable adjustment. That would be manifestly unjust.</w:t>
      </w:r>
    </w:p>
    <w:p w14:paraId="28C6D119" w14:textId="77777777" w:rsidR="004D6F34" w:rsidRPr="00ED1C5E" w:rsidRDefault="004D6F34" w:rsidP="00ED690F">
      <w:pPr>
        <w:spacing w:after="0" w:line="360" w:lineRule="auto"/>
        <w:ind w:firstLine="720"/>
        <w:jc w:val="both"/>
        <w:rPr>
          <w:rFonts w:ascii="Times New Roman" w:hAnsi="Times New Roman" w:cs="Times New Roman"/>
        </w:rPr>
      </w:pPr>
      <w:r w:rsidRPr="00ED1C5E">
        <w:rPr>
          <w:rFonts w:ascii="Times New Roman" w:hAnsi="Times New Roman" w:cs="Times New Roman"/>
        </w:rPr>
        <w:t>The Court’s discretion must be exercised judicially and equitably. In the circumstances, 90 days is fair and reasonable.</w:t>
      </w:r>
    </w:p>
    <w:p w14:paraId="6E506746" w14:textId="77777777" w:rsidR="004D6F34" w:rsidRPr="00ED1C5E" w:rsidRDefault="004D6F34" w:rsidP="00ED690F">
      <w:pPr>
        <w:spacing w:line="360" w:lineRule="auto"/>
        <w:ind w:firstLine="360"/>
        <w:jc w:val="both"/>
        <w:rPr>
          <w:rFonts w:ascii="Times New Roman" w:hAnsi="Times New Roman" w:cs="Times New Roman"/>
        </w:rPr>
      </w:pPr>
      <w:r w:rsidRPr="00ED1C5E">
        <w:rPr>
          <w:rFonts w:ascii="Times New Roman" w:hAnsi="Times New Roman" w:cs="Times New Roman"/>
        </w:rPr>
        <w:t>Accordingly:</w:t>
      </w:r>
    </w:p>
    <w:p w14:paraId="1D96D54E" w14:textId="77777777" w:rsidR="004D6F34" w:rsidRPr="00ED1C5E" w:rsidRDefault="004D6F34" w:rsidP="00ED1C5E">
      <w:pPr>
        <w:numPr>
          <w:ilvl w:val="0"/>
          <w:numId w:val="3"/>
        </w:numPr>
        <w:spacing w:line="360" w:lineRule="auto"/>
        <w:jc w:val="both"/>
        <w:rPr>
          <w:rFonts w:ascii="Times New Roman" w:hAnsi="Times New Roman" w:cs="Times New Roman"/>
        </w:rPr>
      </w:pPr>
      <w:r w:rsidRPr="00ED1C5E">
        <w:rPr>
          <w:rFonts w:ascii="Times New Roman" w:hAnsi="Times New Roman" w:cs="Times New Roman"/>
        </w:rPr>
        <w:t>If subdivision fails, the defendant shall have 90 days to purchase the plaintiff’s undivided half share at the agreed or valued price.</w:t>
      </w:r>
    </w:p>
    <w:p w14:paraId="3E81C1F7" w14:textId="77777777" w:rsidR="004D6F34" w:rsidRPr="00ED1C5E" w:rsidRDefault="004D6F34" w:rsidP="00ED1C5E">
      <w:pPr>
        <w:numPr>
          <w:ilvl w:val="0"/>
          <w:numId w:val="3"/>
        </w:numPr>
        <w:spacing w:line="360" w:lineRule="auto"/>
        <w:jc w:val="both"/>
        <w:rPr>
          <w:rFonts w:ascii="Times New Roman" w:hAnsi="Times New Roman" w:cs="Times New Roman"/>
        </w:rPr>
      </w:pPr>
      <w:r w:rsidRPr="00ED1C5E">
        <w:rPr>
          <w:rFonts w:ascii="Times New Roman" w:hAnsi="Times New Roman" w:cs="Times New Roman"/>
        </w:rPr>
        <w:t>Failing that, the plaintiff shall have 90 days to purchase the defendant’s share.</w:t>
      </w:r>
    </w:p>
    <w:p w14:paraId="12FAF627" w14:textId="77777777" w:rsidR="004D6F34" w:rsidRPr="00ED1C5E" w:rsidRDefault="004D6F34" w:rsidP="00ED1C5E">
      <w:pPr>
        <w:numPr>
          <w:ilvl w:val="0"/>
          <w:numId w:val="3"/>
        </w:numPr>
        <w:spacing w:line="360" w:lineRule="auto"/>
        <w:jc w:val="both"/>
        <w:rPr>
          <w:rFonts w:ascii="Times New Roman" w:hAnsi="Times New Roman" w:cs="Times New Roman"/>
        </w:rPr>
      </w:pPr>
      <w:r w:rsidRPr="00ED1C5E">
        <w:rPr>
          <w:rFonts w:ascii="Times New Roman" w:hAnsi="Times New Roman" w:cs="Times New Roman"/>
        </w:rPr>
        <w:t>Failing both, the property shall be sold by private auction and proceeds divided equally, subject to set-off.</w:t>
      </w:r>
    </w:p>
    <w:p w14:paraId="6A94ABF5" w14:textId="77777777" w:rsidR="004D6F34" w:rsidRPr="00ED1C5E" w:rsidRDefault="004D6F34" w:rsidP="00ED1C5E">
      <w:pPr>
        <w:spacing w:line="360" w:lineRule="auto"/>
        <w:jc w:val="both"/>
        <w:rPr>
          <w:rFonts w:ascii="Times New Roman" w:hAnsi="Times New Roman" w:cs="Times New Roman"/>
          <w:b/>
          <w:bCs/>
        </w:rPr>
      </w:pPr>
      <w:r w:rsidRPr="00ED1C5E">
        <w:rPr>
          <w:rFonts w:ascii="Times New Roman" w:hAnsi="Times New Roman" w:cs="Times New Roman"/>
          <w:b/>
          <w:bCs/>
        </w:rPr>
        <w:t>Question (v): Claim for Value of Occupation</w:t>
      </w:r>
    </w:p>
    <w:p w14:paraId="6495B47D" w14:textId="77777777" w:rsidR="004D6F34" w:rsidRPr="00ED1C5E" w:rsidRDefault="004D6F34" w:rsidP="00ED690F">
      <w:pPr>
        <w:spacing w:after="0" w:line="360" w:lineRule="auto"/>
        <w:ind w:firstLine="720"/>
        <w:jc w:val="both"/>
        <w:rPr>
          <w:rFonts w:ascii="Times New Roman" w:hAnsi="Times New Roman" w:cs="Times New Roman"/>
        </w:rPr>
      </w:pPr>
      <w:r w:rsidRPr="00ED1C5E">
        <w:rPr>
          <w:rFonts w:ascii="Times New Roman" w:hAnsi="Times New Roman" w:cs="Times New Roman"/>
        </w:rPr>
        <w:t xml:space="preserve">The </w:t>
      </w:r>
      <w:proofErr w:type="spellStart"/>
      <w:r w:rsidRPr="00ED1C5E">
        <w:rPr>
          <w:rFonts w:ascii="Times New Roman" w:hAnsi="Times New Roman" w:cs="Times New Roman"/>
          <w:i/>
          <w:iCs/>
        </w:rPr>
        <w:t>actio</w:t>
      </w:r>
      <w:proofErr w:type="spellEnd"/>
      <w:r w:rsidRPr="00ED1C5E">
        <w:rPr>
          <w:rFonts w:ascii="Times New Roman" w:hAnsi="Times New Roman" w:cs="Times New Roman"/>
          <w:i/>
          <w:iCs/>
        </w:rPr>
        <w:t xml:space="preserve"> </w:t>
      </w:r>
      <w:proofErr w:type="spellStart"/>
      <w:r w:rsidRPr="00ED1C5E">
        <w:rPr>
          <w:rFonts w:ascii="Times New Roman" w:hAnsi="Times New Roman" w:cs="Times New Roman"/>
          <w:i/>
          <w:iCs/>
        </w:rPr>
        <w:t>communi</w:t>
      </w:r>
      <w:proofErr w:type="spellEnd"/>
      <w:r w:rsidRPr="00ED1C5E">
        <w:rPr>
          <w:rFonts w:ascii="Times New Roman" w:hAnsi="Times New Roman" w:cs="Times New Roman"/>
          <w:i/>
          <w:iCs/>
        </w:rPr>
        <w:t xml:space="preserve"> </w:t>
      </w:r>
      <w:proofErr w:type="spellStart"/>
      <w:r w:rsidRPr="00ED1C5E">
        <w:rPr>
          <w:rFonts w:ascii="Times New Roman" w:hAnsi="Times New Roman" w:cs="Times New Roman"/>
          <w:i/>
          <w:iCs/>
        </w:rPr>
        <w:t>dividundo</w:t>
      </w:r>
      <w:proofErr w:type="spellEnd"/>
      <w:r w:rsidRPr="00ED1C5E">
        <w:rPr>
          <w:rFonts w:ascii="Times New Roman" w:hAnsi="Times New Roman" w:cs="Times New Roman"/>
        </w:rPr>
        <w:t xml:space="preserve"> includes claims for </w:t>
      </w:r>
      <w:proofErr w:type="spellStart"/>
      <w:r w:rsidRPr="00ED1C5E">
        <w:rPr>
          <w:rFonts w:ascii="Times New Roman" w:hAnsi="Times New Roman" w:cs="Times New Roman"/>
          <w:i/>
          <w:iCs/>
        </w:rPr>
        <w:t>praestationes</w:t>
      </w:r>
      <w:proofErr w:type="spellEnd"/>
      <w:r w:rsidRPr="00ED1C5E">
        <w:rPr>
          <w:rFonts w:ascii="Times New Roman" w:hAnsi="Times New Roman" w:cs="Times New Roman"/>
          <w:i/>
          <w:iCs/>
        </w:rPr>
        <w:t xml:space="preserve"> </w:t>
      </w:r>
      <w:proofErr w:type="spellStart"/>
      <w:r w:rsidRPr="00ED1C5E">
        <w:rPr>
          <w:rFonts w:ascii="Times New Roman" w:hAnsi="Times New Roman" w:cs="Times New Roman"/>
          <w:i/>
          <w:iCs/>
        </w:rPr>
        <w:t>personales</w:t>
      </w:r>
      <w:proofErr w:type="spellEnd"/>
      <w:r w:rsidRPr="00ED1C5E">
        <w:rPr>
          <w:rFonts w:ascii="Times New Roman" w:hAnsi="Times New Roman" w:cs="Times New Roman"/>
        </w:rPr>
        <w:t xml:space="preserve">. In </w:t>
      </w:r>
      <w:r w:rsidRPr="00ED1C5E">
        <w:rPr>
          <w:rFonts w:ascii="Times New Roman" w:hAnsi="Times New Roman" w:cs="Times New Roman"/>
          <w:i/>
          <w:iCs/>
        </w:rPr>
        <w:t xml:space="preserve">Robson </w:t>
      </w:r>
      <w:r w:rsidRPr="00ED690F">
        <w:rPr>
          <w:rFonts w:ascii="Times New Roman" w:hAnsi="Times New Roman" w:cs="Times New Roman"/>
        </w:rPr>
        <w:t xml:space="preserve">v </w:t>
      </w:r>
      <w:r w:rsidRPr="00ED1C5E">
        <w:rPr>
          <w:rFonts w:ascii="Times New Roman" w:hAnsi="Times New Roman" w:cs="Times New Roman"/>
          <w:i/>
          <w:iCs/>
        </w:rPr>
        <w:t>Theron</w:t>
      </w:r>
      <w:r w:rsidRPr="00ED1C5E">
        <w:rPr>
          <w:rFonts w:ascii="Times New Roman" w:hAnsi="Times New Roman" w:cs="Times New Roman"/>
        </w:rPr>
        <w:t>, it was made clear that a co-owner may claim profits enjoyed in connection with joint property.</w:t>
      </w:r>
    </w:p>
    <w:p w14:paraId="5E39FB1F" w14:textId="77777777" w:rsidR="004D6F34" w:rsidRPr="00ED1C5E" w:rsidRDefault="004D6F34" w:rsidP="00ED690F">
      <w:pPr>
        <w:spacing w:line="360" w:lineRule="auto"/>
        <w:ind w:firstLine="720"/>
        <w:jc w:val="both"/>
        <w:rPr>
          <w:rFonts w:ascii="Times New Roman" w:hAnsi="Times New Roman" w:cs="Times New Roman"/>
        </w:rPr>
      </w:pPr>
      <w:r w:rsidRPr="00ED1C5E">
        <w:rPr>
          <w:rFonts w:ascii="Times New Roman" w:hAnsi="Times New Roman" w:cs="Times New Roman"/>
        </w:rPr>
        <w:t xml:space="preserve">In </w:t>
      </w:r>
      <w:proofErr w:type="spellStart"/>
      <w:r w:rsidRPr="00ED690F">
        <w:rPr>
          <w:rFonts w:ascii="Times New Roman" w:hAnsi="Times New Roman" w:cs="Times New Roman"/>
          <w:i/>
          <w:iCs/>
        </w:rPr>
        <w:t>Bakaris</w:t>
      </w:r>
      <w:proofErr w:type="spellEnd"/>
      <w:r w:rsidRPr="00ED690F">
        <w:rPr>
          <w:rFonts w:ascii="Times New Roman" w:hAnsi="Times New Roman" w:cs="Times New Roman"/>
          <w:i/>
          <w:iCs/>
        </w:rPr>
        <w:t xml:space="preserve"> </w:t>
      </w:r>
      <w:r w:rsidRPr="00ED690F">
        <w:rPr>
          <w:rFonts w:ascii="Times New Roman" w:hAnsi="Times New Roman" w:cs="Times New Roman"/>
        </w:rPr>
        <w:t>v</w:t>
      </w:r>
      <w:r w:rsidRPr="00ED690F">
        <w:rPr>
          <w:rFonts w:ascii="Times New Roman" w:hAnsi="Times New Roman" w:cs="Times New Roman"/>
          <w:i/>
          <w:iCs/>
        </w:rPr>
        <w:t xml:space="preserve"> </w:t>
      </w:r>
      <w:proofErr w:type="spellStart"/>
      <w:r w:rsidRPr="00ED690F">
        <w:rPr>
          <w:rFonts w:ascii="Times New Roman" w:hAnsi="Times New Roman" w:cs="Times New Roman"/>
          <w:i/>
          <w:iCs/>
        </w:rPr>
        <w:t>Kattavenos</w:t>
      </w:r>
      <w:proofErr w:type="spellEnd"/>
      <w:r w:rsidRPr="00ED1C5E">
        <w:rPr>
          <w:rFonts w:ascii="Times New Roman" w:hAnsi="Times New Roman" w:cs="Times New Roman"/>
        </w:rPr>
        <w:t>, the Court confirmed that the action entails not only partition but adjustment of claims arising from disproportionate enjoyment.</w:t>
      </w:r>
    </w:p>
    <w:p w14:paraId="7163BAB0" w14:textId="77777777" w:rsidR="004D6F34" w:rsidRPr="00ED1C5E" w:rsidRDefault="004D6F34" w:rsidP="00ED690F">
      <w:pPr>
        <w:spacing w:after="0" w:line="360" w:lineRule="auto"/>
        <w:ind w:firstLine="720"/>
        <w:jc w:val="both"/>
        <w:rPr>
          <w:rFonts w:ascii="Times New Roman" w:hAnsi="Times New Roman" w:cs="Times New Roman"/>
        </w:rPr>
      </w:pPr>
      <w:r w:rsidRPr="00ED1C5E">
        <w:rPr>
          <w:rFonts w:ascii="Times New Roman" w:hAnsi="Times New Roman" w:cs="Times New Roman"/>
        </w:rPr>
        <w:lastRenderedPageBreak/>
        <w:t>The defendant has resided exclusively in the property since September 2020. She thereby enjoyed the benefit of occupation equivalent to rental value, notwithstanding owning only 50%.</w:t>
      </w:r>
    </w:p>
    <w:p w14:paraId="19FDD765" w14:textId="77777777" w:rsidR="004D6F34" w:rsidRPr="00ED1C5E" w:rsidRDefault="004D6F34" w:rsidP="00ED690F">
      <w:pPr>
        <w:spacing w:after="0" w:line="360" w:lineRule="auto"/>
        <w:ind w:firstLine="720"/>
        <w:jc w:val="both"/>
        <w:rPr>
          <w:rFonts w:ascii="Times New Roman" w:hAnsi="Times New Roman" w:cs="Times New Roman"/>
        </w:rPr>
      </w:pPr>
      <w:r w:rsidRPr="00ED1C5E">
        <w:rPr>
          <w:rFonts w:ascii="Times New Roman" w:hAnsi="Times New Roman" w:cs="Times New Roman"/>
        </w:rPr>
        <w:t>That constitutes a benefit derived from joint property.</w:t>
      </w:r>
    </w:p>
    <w:p w14:paraId="3A3CEF12" w14:textId="77777777" w:rsidR="004D6F34" w:rsidRPr="00ED1C5E" w:rsidRDefault="004D6F34" w:rsidP="00ED690F">
      <w:pPr>
        <w:spacing w:line="360" w:lineRule="auto"/>
        <w:ind w:firstLine="720"/>
        <w:jc w:val="both"/>
        <w:rPr>
          <w:rFonts w:ascii="Times New Roman" w:hAnsi="Times New Roman" w:cs="Times New Roman"/>
        </w:rPr>
      </w:pPr>
      <w:r w:rsidRPr="00ED1C5E">
        <w:rPr>
          <w:rFonts w:ascii="Times New Roman" w:hAnsi="Times New Roman" w:cs="Times New Roman"/>
        </w:rPr>
        <w:t>It is therefore just that the plaintiff be compensated for half of the fair monthly rental value from September 2020 until:</w:t>
      </w:r>
    </w:p>
    <w:p w14:paraId="4EAC53EA" w14:textId="77777777" w:rsidR="004D6F34" w:rsidRPr="00ED1C5E" w:rsidRDefault="004D6F34" w:rsidP="00ED1C5E">
      <w:pPr>
        <w:numPr>
          <w:ilvl w:val="0"/>
          <w:numId w:val="4"/>
        </w:numPr>
        <w:spacing w:line="360" w:lineRule="auto"/>
        <w:jc w:val="both"/>
        <w:rPr>
          <w:rFonts w:ascii="Times New Roman" w:hAnsi="Times New Roman" w:cs="Times New Roman"/>
        </w:rPr>
      </w:pPr>
      <w:r w:rsidRPr="00ED1C5E">
        <w:rPr>
          <w:rFonts w:ascii="Times New Roman" w:hAnsi="Times New Roman" w:cs="Times New Roman"/>
        </w:rPr>
        <w:t>transfer of a subdivided portion to the plaintiff; or</w:t>
      </w:r>
    </w:p>
    <w:p w14:paraId="441C11B2" w14:textId="77777777" w:rsidR="004D6F34" w:rsidRPr="00ED1C5E" w:rsidRDefault="004D6F34" w:rsidP="00ED1C5E">
      <w:pPr>
        <w:numPr>
          <w:ilvl w:val="0"/>
          <w:numId w:val="4"/>
        </w:numPr>
        <w:spacing w:line="360" w:lineRule="auto"/>
        <w:jc w:val="both"/>
        <w:rPr>
          <w:rFonts w:ascii="Times New Roman" w:hAnsi="Times New Roman" w:cs="Times New Roman"/>
        </w:rPr>
      </w:pPr>
      <w:r w:rsidRPr="00ED1C5E">
        <w:rPr>
          <w:rFonts w:ascii="Times New Roman" w:hAnsi="Times New Roman" w:cs="Times New Roman"/>
        </w:rPr>
        <w:t>buy-out payment; or</w:t>
      </w:r>
    </w:p>
    <w:p w14:paraId="3A65F179" w14:textId="67DE074D" w:rsidR="004D6F34" w:rsidRPr="00ED690F" w:rsidRDefault="004D6F34" w:rsidP="00ED1C5E">
      <w:pPr>
        <w:numPr>
          <w:ilvl w:val="0"/>
          <w:numId w:val="4"/>
        </w:numPr>
        <w:spacing w:line="360" w:lineRule="auto"/>
        <w:jc w:val="both"/>
        <w:rPr>
          <w:rFonts w:ascii="Times New Roman" w:hAnsi="Times New Roman" w:cs="Times New Roman"/>
        </w:rPr>
      </w:pPr>
      <w:r w:rsidRPr="00ED1C5E">
        <w:rPr>
          <w:rFonts w:ascii="Times New Roman" w:hAnsi="Times New Roman" w:cs="Times New Roman"/>
        </w:rPr>
        <w:t>sale and distribution of proceeds;</w:t>
      </w:r>
      <w:r w:rsidR="00ED690F">
        <w:rPr>
          <w:rFonts w:ascii="Times New Roman" w:hAnsi="Times New Roman" w:cs="Times New Roman"/>
        </w:rPr>
        <w:t xml:space="preserve"> </w:t>
      </w:r>
      <w:r w:rsidRPr="00ED690F">
        <w:rPr>
          <w:rFonts w:ascii="Times New Roman" w:hAnsi="Times New Roman" w:cs="Times New Roman"/>
        </w:rPr>
        <w:t>whichever occurs first.</w:t>
      </w:r>
    </w:p>
    <w:p w14:paraId="73ED7C6E" w14:textId="77777777" w:rsidR="004D6F34" w:rsidRPr="00ED1C5E" w:rsidRDefault="004D6F34" w:rsidP="00ED690F">
      <w:pPr>
        <w:spacing w:line="360" w:lineRule="auto"/>
        <w:ind w:firstLine="360"/>
        <w:jc w:val="both"/>
        <w:rPr>
          <w:rFonts w:ascii="Times New Roman" w:hAnsi="Times New Roman" w:cs="Times New Roman"/>
        </w:rPr>
      </w:pPr>
      <w:r w:rsidRPr="00ED1C5E">
        <w:rPr>
          <w:rFonts w:ascii="Times New Roman" w:hAnsi="Times New Roman" w:cs="Times New Roman"/>
        </w:rPr>
        <w:t>The valuation already directed by this Court shall determine the monthly figure.</w:t>
      </w:r>
    </w:p>
    <w:p w14:paraId="3225512A" w14:textId="4BCB04C4" w:rsidR="004D6F34" w:rsidRPr="00ED1C5E" w:rsidRDefault="004D6F34" w:rsidP="00ED1C5E">
      <w:pPr>
        <w:spacing w:line="360" w:lineRule="auto"/>
        <w:jc w:val="both"/>
        <w:rPr>
          <w:rFonts w:ascii="Times New Roman" w:hAnsi="Times New Roman" w:cs="Times New Roman"/>
        </w:rPr>
      </w:pPr>
      <w:r w:rsidRPr="00ED1C5E">
        <w:rPr>
          <w:rFonts w:ascii="Times New Roman" w:hAnsi="Times New Roman" w:cs="Times New Roman"/>
        </w:rPr>
        <w:t>Question (v) is answered in the affirmative.</w:t>
      </w:r>
    </w:p>
    <w:p w14:paraId="5CA77612" w14:textId="77777777" w:rsidR="004D6F34" w:rsidRPr="00ED1C5E" w:rsidRDefault="004D6F34" w:rsidP="00ED1C5E">
      <w:pPr>
        <w:spacing w:line="360" w:lineRule="auto"/>
        <w:jc w:val="both"/>
        <w:rPr>
          <w:rFonts w:ascii="Times New Roman" w:hAnsi="Times New Roman" w:cs="Times New Roman"/>
          <w:b/>
          <w:bCs/>
        </w:rPr>
      </w:pPr>
      <w:r w:rsidRPr="00ED1C5E">
        <w:rPr>
          <w:rFonts w:ascii="Times New Roman" w:hAnsi="Times New Roman" w:cs="Times New Roman"/>
          <w:b/>
          <w:bCs/>
        </w:rPr>
        <w:t>Question (vi): Costs</w:t>
      </w:r>
    </w:p>
    <w:p w14:paraId="1F698B20" w14:textId="77777777" w:rsidR="004D6F34" w:rsidRPr="00ED690F" w:rsidRDefault="004D6F34" w:rsidP="00ED690F">
      <w:pPr>
        <w:spacing w:after="0" w:line="360" w:lineRule="auto"/>
        <w:ind w:firstLine="720"/>
        <w:jc w:val="both"/>
        <w:rPr>
          <w:rFonts w:ascii="Times New Roman" w:hAnsi="Times New Roman" w:cs="Times New Roman"/>
          <w:i/>
          <w:iCs/>
        </w:rPr>
      </w:pPr>
      <w:r w:rsidRPr="00ED1C5E">
        <w:rPr>
          <w:rFonts w:ascii="Times New Roman" w:hAnsi="Times New Roman" w:cs="Times New Roman"/>
        </w:rPr>
        <w:t xml:space="preserve">The general rule is that costs follow the event. This principle was reaffirmed in </w:t>
      </w:r>
      <w:proofErr w:type="spellStart"/>
      <w:r w:rsidRPr="00ED690F">
        <w:rPr>
          <w:rFonts w:ascii="Times New Roman" w:hAnsi="Times New Roman" w:cs="Times New Roman"/>
          <w:i/>
          <w:iCs/>
        </w:rPr>
        <w:t>Svova</w:t>
      </w:r>
      <w:proofErr w:type="spellEnd"/>
      <w:r w:rsidRPr="00ED690F">
        <w:rPr>
          <w:rFonts w:ascii="Times New Roman" w:hAnsi="Times New Roman" w:cs="Times New Roman"/>
          <w:i/>
          <w:iCs/>
        </w:rPr>
        <w:t xml:space="preserve"> &amp; Others </w:t>
      </w:r>
      <w:r w:rsidRPr="00ED690F">
        <w:rPr>
          <w:rFonts w:ascii="Times New Roman" w:hAnsi="Times New Roman" w:cs="Times New Roman"/>
        </w:rPr>
        <w:t xml:space="preserve">v </w:t>
      </w:r>
      <w:r w:rsidRPr="00ED690F">
        <w:rPr>
          <w:rFonts w:ascii="Times New Roman" w:hAnsi="Times New Roman" w:cs="Times New Roman"/>
          <w:i/>
          <w:iCs/>
        </w:rPr>
        <w:t>National Social Security Authority.</w:t>
      </w:r>
    </w:p>
    <w:p w14:paraId="2F0B0465" w14:textId="77777777" w:rsidR="004D6F34" w:rsidRPr="00ED1C5E" w:rsidRDefault="004D6F34" w:rsidP="00ED690F">
      <w:pPr>
        <w:spacing w:after="0" w:line="360" w:lineRule="auto"/>
        <w:ind w:firstLine="720"/>
        <w:jc w:val="both"/>
        <w:rPr>
          <w:rFonts w:ascii="Times New Roman" w:hAnsi="Times New Roman" w:cs="Times New Roman"/>
        </w:rPr>
      </w:pPr>
      <w:r w:rsidRPr="00ED1C5E">
        <w:rPr>
          <w:rFonts w:ascii="Times New Roman" w:hAnsi="Times New Roman" w:cs="Times New Roman"/>
        </w:rPr>
        <w:t>The plaintiff has succeeded on the substantive questions of law and on the claim for occupation value.</w:t>
      </w:r>
    </w:p>
    <w:p w14:paraId="54B47241" w14:textId="77777777" w:rsidR="004D6F34" w:rsidRPr="00ED1C5E" w:rsidRDefault="004D6F34" w:rsidP="00ED690F">
      <w:pPr>
        <w:spacing w:after="0" w:line="360" w:lineRule="auto"/>
        <w:ind w:firstLine="720"/>
        <w:jc w:val="both"/>
        <w:rPr>
          <w:rFonts w:ascii="Times New Roman" w:hAnsi="Times New Roman" w:cs="Times New Roman"/>
        </w:rPr>
      </w:pPr>
      <w:r w:rsidRPr="00ED1C5E">
        <w:rPr>
          <w:rFonts w:ascii="Times New Roman" w:hAnsi="Times New Roman" w:cs="Times New Roman"/>
        </w:rPr>
        <w:t>There is no basis to depart from the general rule.</w:t>
      </w:r>
    </w:p>
    <w:p w14:paraId="1460D325" w14:textId="5D12269C" w:rsidR="004D6F34" w:rsidRPr="00ED1C5E" w:rsidRDefault="004D6F34" w:rsidP="00ED690F">
      <w:pPr>
        <w:spacing w:line="360" w:lineRule="auto"/>
        <w:ind w:firstLine="720"/>
        <w:jc w:val="both"/>
        <w:rPr>
          <w:rFonts w:ascii="Times New Roman" w:hAnsi="Times New Roman" w:cs="Times New Roman"/>
        </w:rPr>
      </w:pPr>
      <w:r w:rsidRPr="00ED1C5E">
        <w:rPr>
          <w:rFonts w:ascii="Times New Roman" w:hAnsi="Times New Roman" w:cs="Times New Roman"/>
        </w:rPr>
        <w:t>The defendant shall pay the plaintiff’s costs of suit.</w:t>
      </w:r>
    </w:p>
    <w:p w14:paraId="6190E2EB" w14:textId="77777777" w:rsidR="004D6F34" w:rsidRPr="00ED1C5E" w:rsidRDefault="004D6F34" w:rsidP="00ED1C5E">
      <w:pPr>
        <w:spacing w:line="360" w:lineRule="auto"/>
        <w:jc w:val="both"/>
        <w:rPr>
          <w:rFonts w:ascii="Times New Roman" w:hAnsi="Times New Roman" w:cs="Times New Roman"/>
          <w:b/>
          <w:bCs/>
        </w:rPr>
      </w:pPr>
      <w:r w:rsidRPr="00ED1C5E">
        <w:rPr>
          <w:rFonts w:ascii="Times New Roman" w:hAnsi="Times New Roman" w:cs="Times New Roman"/>
          <w:b/>
          <w:bCs/>
        </w:rPr>
        <w:t>Order</w:t>
      </w:r>
    </w:p>
    <w:p w14:paraId="0E5E3F38" w14:textId="77777777" w:rsidR="004D6F34" w:rsidRPr="00ED1C5E" w:rsidRDefault="004D6F34" w:rsidP="00ED690F">
      <w:pPr>
        <w:spacing w:line="360" w:lineRule="auto"/>
        <w:ind w:firstLine="360"/>
        <w:jc w:val="both"/>
        <w:rPr>
          <w:rFonts w:ascii="Times New Roman" w:hAnsi="Times New Roman" w:cs="Times New Roman"/>
        </w:rPr>
      </w:pPr>
      <w:r w:rsidRPr="00ED1C5E">
        <w:rPr>
          <w:rFonts w:ascii="Times New Roman" w:hAnsi="Times New Roman" w:cs="Times New Roman"/>
        </w:rPr>
        <w:t>Accordingly, it is ordered that:</w:t>
      </w:r>
    </w:p>
    <w:p w14:paraId="50AC05C2" w14:textId="77777777" w:rsidR="004D6F34" w:rsidRPr="00ED1C5E" w:rsidRDefault="004D6F34" w:rsidP="00ED1C5E">
      <w:pPr>
        <w:numPr>
          <w:ilvl w:val="0"/>
          <w:numId w:val="5"/>
        </w:numPr>
        <w:spacing w:line="360" w:lineRule="auto"/>
        <w:jc w:val="both"/>
        <w:rPr>
          <w:rFonts w:ascii="Times New Roman" w:hAnsi="Times New Roman" w:cs="Times New Roman"/>
        </w:rPr>
      </w:pPr>
      <w:r w:rsidRPr="00ED1C5E">
        <w:rPr>
          <w:rFonts w:ascii="Times New Roman" w:hAnsi="Times New Roman" w:cs="Times New Roman"/>
        </w:rPr>
        <w:t>The immovable property known as Lot 2 of Brooke Estates (also known as 69 Hawkshead Drive, Philadelphia, Harare) may be subdivided appropriately and equitably between the parties, subject to compliance with the Regional, Town and Country Planning Act [</w:t>
      </w:r>
      <w:r w:rsidRPr="00ED690F">
        <w:rPr>
          <w:rFonts w:ascii="Times New Roman" w:hAnsi="Times New Roman" w:cs="Times New Roman"/>
          <w:i/>
          <w:iCs/>
        </w:rPr>
        <w:t>Chapter 29:12</w:t>
      </w:r>
      <w:r w:rsidRPr="00ED1C5E">
        <w:rPr>
          <w:rFonts w:ascii="Times New Roman" w:hAnsi="Times New Roman" w:cs="Times New Roman"/>
        </w:rPr>
        <w:t>].</w:t>
      </w:r>
    </w:p>
    <w:p w14:paraId="7265C914" w14:textId="77777777" w:rsidR="004D6F34" w:rsidRPr="00ED1C5E" w:rsidRDefault="004D6F34" w:rsidP="00ED1C5E">
      <w:pPr>
        <w:numPr>
          <w:ilvl w:val="0"/>
          <w:numId w:val="5"/>
        </w:numPr>
        <w:spacing w:line="360" w:lineRule="auto"/>
        <w:jc w:val="both"/>
        <w:rPr>
          <w:rFonts w:ascii="Times New Roman" w:hAnsi="Times New Roman" w:cs="Times New Roman"/>
        </w:rPr>
      </w:pPr>
      <w:r w:rsidRPr="00ED1C5E">
        <w:rPr>
          <w:rFonts w:ascii="Times New Roman" w:hAnsi="Times New Roman" w:cs="Times New Roman"/>
        </w:rPr>
        <w:t>The parties shall take all necessary steps to apply for subdivision approval.</w:t>
      </w:r>
    </w:p>
    <w:p w14:paraId="45DFE9CB" w14:textId="77777777" w:rsidR="004D6F34" w:rsidRPr="00ED1C5E" w:rsidRDefault="004D6F34" w:rsidP="00ED1C5E">
      <w:pPr>
        <w:numPr>
          <w:ilvl w:val="0"/>
          <w:numId w:val="5"/>
        </w:numPr>
        <w:spacing w:line="360" w:lineRule="auto"/>
        <w:jc w:val="both"/>
        <w:rPr>
          <w:rFonts w:ascii="Times New Roman" w:hAnsi="Times New Roman" w:cs="Times New Roman"/>
        </w:rPr>
      </w:pPr>
      <w:r w:rsidRPr="00ED1C5E">
        <w:rPr>
          <w:rFonts w:ascii="Times New Roman" w:hAnsi="Times New Roman" w:cs="Times New Roman"/>
        </w:rPr>
        <w:t>In the event subdivision is not approved:</w:t>
      </w:r>
    </w:p>
    <w:p w14:paraId="3A18EF62" w14:textId="77777777" w:rsidR="004D6F34" w:rsidRPr="00ED1C5E" w:rsidRDefault="004D6F34" w:rsidP="00ED1C5E">
      <w:pPr>
        <w:numPr>
          <w:ilvl w:val="1"/>
          <w:numId w:val="5"/>
        </w:numPr>
        <w:spacing w:line="360" w:lineRule="auto"/>
        <w:jc w:val="both"/>
        <w:rPr>
          <w:rFonts w:ascii="Times New Roman" w:hAnsi="Times New Roman" w:cs="Times New Roman"/>
        </w:rPr>
      </w:pPr>
      <w:r w:rsidRPr="00ED1C5E">
        <w:rPr>
          <w:rFonts w:ascii="Times New Roman" w:hAnsi="Times New Roman" w:cs="Times New Roman"/>
        </w:rPr>
        <w:lastRenderedPageBreak/>
        <w:t>(a) The defendant shall have 90 days to purchase the plaintiff’s undivided half share at the agreed or determined value.</w:t>
      </w:r>
    </w:p>
    <w:p w14:paraId="69A445E3" w14:textId="77777777" w:rsidR="004D6F34" w:rsidRPr="00ED1C5E" w:rsidRDefault="004D6F34" w:rsidP="00ED1C5E">
      <w:pPr>
        <w:numPr>
          <w:ilvl w:val="1"/>
          <w:numId w:val="5"/>
        </w:numPr>
        <w:spacing w:line="360" w:lineRule="auto"/>
        <w:jc w:val="both"/>
        <w:rPr>
          <w:rFonts w:ascii="Times New Roman" w:hAnsi="Times New Roman" w:cs="Times New Roman"/>
        </w:rPr>
      </w:pPr>
      <w:r w:rsidRPr="00ED1C5E">
        <w:rPr>
          <w:rFonts w:ascii="Times New Roman" w:hAnsi="Times New Roman" w:cs="Times New Roman"/>
        </w:rPr>
        <w:t>(b) Failing such purchase, the plaintiff shall have 90 days to purchase the defendant’s share.</w:t>
      </w:r>
    </w:p>
    <w:p w14:paraId="5E19F3A6" w14:textId="77777777" w:rsidR="004D6F34" w:rsidRPr="00ED1C5E" w:rsidRDefault="004D6F34" w:rsidP="00ED1C5E">
      <w:pPr>
        <w:numPr>
          <w:ilvl w:val="1"/>
          <w:numId w:val="5"/>
        </w:numPr>
        <w:spacing w:line="360" w:lineRule="auto"/>
        <w:jc w:val="both"/>
        <w:rPr>
          <w:rFonts w:ascii="Times New Roman" w:hAnsi="Times New Roman" w:cs="Times New Roman"/>
        </w:rPr>
      </w:pPr>
      <w:r w:rsidRPr="00ED1C5E">
        <w:rPr>
          <w:rFonts w:ascii="Times New Roman" w:hAnsi="Times New Roman" w:cs="Times New Roman"/>
        </w:rPr>
        <w:t>(c) Failing both, the property shall be sold by private auction and the proceeds divided equally, subject to set-off.</w:t>
      </w:r>
    </w:p>
    <w:p w14:paraId="24A50D82" w14:textId="77777777" w:rsidR="004D6F34" w:rsidRPr="00ED1C5E" w:rsidRDefault="004D6F34" w:rsidP="00ED1C5E">
      <w:pPr>
        <w:numPr>
          <w:ilvl w:val="0"/>
          <w:numId w:val="5"/>
        </w:numPr>
        <w:spacing w:line="360" w:lineRule="auto"/>
        <w:jc w:val="both"/>
        <w:rPr>
          <w:rFonts w:ascii="Times New Roman" w:hAnsi="Times New Roman" w:cs="Times New Roman"/>
        </w:rPr>
      </w:pPr>
      <w:r w:rsidRPr="00ED1C5E">
        <w:rPr>
          <w:rFonts w:ascii="Times New Roman" w:hAnsi="Times New Roman" w:cs="Times New Roman"/>
        </w:rPr>
        <w:t>The defendant shall pay to the plaintiff 50% of the fair monthly rental value of the property from September 2020 to the date of final transfer, buy-out, or sale, whichever occurs first. The monthly value shall be as determined by the appointed valuer.</w:t>
      </w:r>
    </w:p>
    <w:p w14:paraId="6350B087" w14:textId="2BE98B8A" w:rsidR="004D6F34" w:rsidRPr="00ED1C5E" w:rsidRDefault="004D6F34" w:rsidP="00ED1C5E">
      <w:pPr>
        <w:numPr>
          <w:ilvl w:val="0"/>
          <w:numId w:val="5"/>
        </w:numPr>
        <w:spacing w:line="360" w:lineRule="auto"/>
        <w:jc w:val="both"/>
        <w:rPr>
          <w:rFonts w:ascii="Times New Roman" w:hAnsi="Times New Roman" w:cs="Times New Roman"/>
        </w:rPr>
      </w:pPr>
      <w:r w:rsidRPr="00ED1C5E">
        <w:rPr>
          <w:rFonts w:ascii="Times New Roman" w:hAnsi="Times New Roman" w:cs="Times New Roman"/>
        </w:rPr>
        <w:t>No order as</w:t>
      </w:r>
      <w:r w:rsidR="00073543" w:rsidRPr="00ED1C5E">
        <w:rPr>
          <w:rFonts w:ascii="Times New Roman" w:hAnsi="Times New Roman" w:cs="Times New Roman"/>
        </w:rPr>
        <w:t xml:space="preserve"> costs.</w:t>
      </w:r>
    </w:p>
    <w:p w14:paraId="0822D5C4" w14:textId="77777777" w:rsidR="00073543" w:rsidRPr="00ED1C5E" w:rsidRDefault="00073543" w:rsidP="00ED1C5E">
      <w:pPr>
        <w:spacing w:line="360" w:lineRule="auto"/>
        <w:jc w:val="both"/>
        <w:rPr>
          <w:rFonts w:ascii="Times New Roman" w:hAnsi="Times New Roman" w:cs="Times New Roman"/>
        </w:rPr>
      </w:pPr>
    </w:p>
    <w:p w14:paraId="507DFE77" w14:textId="5F19A938" w:rsidR="00565274" w:rsidRPr="00ED690F" w:rsidRDefault="00565274" w:rsidP="00ED1C5E">
      <w:pPr>
        <w:spacing w:line="360" w:lineRule="auto"/>
        <w:jc w:val="both"/>
        <w:rPr>
          <w:rFonts w:ascii="Times New Roman" w:hAnsi="Times New Roman" w:cs="Times New Roman"/>
          <w:b/>
          <w:bCs/>
        </w:rPr>
      </w:pPr>
      <w:r w:rsidRPr="00ED690F">
        <w:rPr>
          <w:rFonts w:ascii="Times New Roman" w:hAnsi="Times New Roman" w:cs="Times New Roman"/>
          <w:b/>
          <w:bCs/>
          <w:smallCaps/>
        </w:rPr>
        <w:t>Katiyo</w:t>
      </w:r>
      <w:r w:rsidRPr="00ED690F">
        <w:rPr>
          <w:rFonts w:ascii="Times New Roman" w:hAnsi="Times New Roman" w:cs="Times New Roman"/>
          <w:b/>
          <w:bCs/>
        </w:rPr>
        <w:t xml:space="preserve"> J</w:t>
      </w:r>
      <w:proofErr w:type="gramStart"/>
      <w:r w:rsidRPr="00ED690F">
        <w:rPr>
          <w:rFonts w:ascii="Times New Roman" w:hAnsi="Times New Roman" w:cs="Times New Roman"/>
          <w:b/>
          <w:bCs/>
        </w:rPr>
        <w:t>:………………………….</w:t>
      </w:r>
      <w:proofErr w:type="gramEnd"/>
    </w:p>
    <w:p w14:paraId="4FFAD071" w14:textId="724BE48E" w:rsidR="00565274" w:rsidRPr="00ED1C5E" w:rsidRDefault="00565274" w:rsidP="00ED690F">
      <w:pPr>
        <w:spacing w:after="0" w:line="240" w:lineRule="auto"/>
        <w:jc w:val="both"/>
        <w:rPr>
          <w:rFonts w:ascii="Times New Roman" w:hAnsi="Times New Roman" w:cs="Times New Roman"/>
        </w:rPr>
      </w:pPr>
      <w:proofErr w:type="spellStart"/>
      <w:r w:rsidRPr="00ED690F">
        <w:rPr>
          <w:rFonts w:ascii="Times New Roman" w:hAnsi="Times New Roman" w:cs="Times New Roman"/>
          <w:i/>
          <w:iCs/>
        </w:rPr>
        <w:t>Wintertons</w:t>
      </w:r>
      <w:proofErr w:type="spellEnd"/>
      <w:r w:rsidRPr="00ED1C5E">
        <w:rPr>
          <w:rFonts w:ascii="Times New Roman" w:hAnsi="Times New Roman" w:cs="Times New Roman"/>
        </w:rPr>
        <w:t>, applicant’s legal practitioners</w:t>
      </w:r>
    </w:p>
    <w:p w14:paraId="7C8376BF" w14:textId="1452422B" w:rsidR="00565274" w:rsidRPr="00ED1C5E" w:rsidRDefault="00565274" w:rsidP="00ED690F">
      <w:pPr>
        <w:spacing w:after="0" w:line="240" w:lineRule="auto"/>
        <w:jc w:val="both"/>
        <w:rPr>
          <w:rFonts w:ascii="Times New Roman" w:hAnsi="Times New Roman" w:cs="Times New Roman"/>
        </w:rPr>
      </w:pPr>
      <w:r w:rsidRPr="00ED690F">
        <w:rPr>
          <w:rFonts w:ascii="Times New Roman" w:hAnsi="Times New Roman" w:cs="Times New Roman"/>
          <w:i/>
          <w:iCs/>
        </w:rPr>
        <w:t>Atherstone and Cook</w:t>
      </w:r>
      <w:r w:rsidRPr="00ED1C5E">
        <w:rPr>
          <w:rFonts w:ascii="Times New Roman" w:hAnsi="Times New Roman" w:cs="Times New Roman"/>
        </w:rPr>
        <w:t>, respondent’s legal practitioners</w:t>
      </w:r>
    </w:p>
    <w:p w14:paraId="75409B18" w14:textId="77777777" w:rsidR="004D6F34" w:rsidRPr="00ED1C5E" w:rsidRDefault="004D6F34" w:rsidP="00ED1C5E">
      <w:pPr>
        <w:spacing w:line="360" w:lineRule="auto"/>
        <w:jc w:val="both"/>
        <w:rPr>
          <w:rFonts w:ascii="Times New Roman" w:hAnsi="Times New Roman" w:cs="Times New Roman"/>
        </w:rPr>
      </w:pPr>
    </w:p>
    <w:sectPr w:rsidR="004D6F34" w:rsidRPr="00ED1C5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C4BB35" w14:textId="77777777" w:rsidR="00FC2C57" w:rsidRDefault="00FC2C57" w:rsidP="00565274">
      <w:pPr>
        <w:spacing w:after="0" w:line="240" w:lineRule="auto"/>
      </w:pPr>
      <w:r>
        <w:separator/>
      </w:r>
    </w:p>
  </w:endnote>
  <w:endnote w:type="continuationSeparator" w:id="0">
    <w:p w14:paraId="4B6DE38F" w14:textId="77777777" w:rsidR="00FC2C57" w:rsidRDefault="00FC2C57" w:rsidP="00565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1E5682" w14:textId="77777777" w:rsidR="00FC2C57" w:rsidRDefault="00FC2C57" w:rsidP="00565274">
      <w:pPr>
        <w:spacing w:after="0" w:line="240" w:lineRule="auto"/>
      </w:pPr>
      <w:r>
        <w:separator/>
      </w:r>
    </w:p>
  </w:footnote>
  <w:footnote w:type="continuationSeparator" w:id="0">
    <w:p w14:paraId="186B73FB" w14:textId="77777777" w:rsidR="00FC2C57" w:rsidRDefault="00FC2C57" w:rsidP="005652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084775"/>
      <w:docPartObj>
        <w:docPartGallery w:val="Page Numbers (Top of Page)"/>
        <w:docPartUnique/>
      </w:docPartObj>
    </w:sdtPr>
    <w:sdtEndPr>
      <w:rPr>
        <w:noProof/>
      </w:rPr>
    </w:sdtEndPr>
    <w:sdtContent>
      <w:p w14:paraId="55E1C973" w14:textId="77777777" w:rsidR="00565274" w:rsidRDefault="00565274">
        <w:pPr>
          <w:pStyle w:val="Header"/>
          <w:jc w:val="right"/>
          <w:rPr>
            <w:noProof/>
          </w:rPr>
        </w:pPr>
        <w:r>
          <w:fldChar w:fldCharType="begin"/>
        </w:r>
        <w:r>
          <w:instrText xml:space="preserve"> PAGE   \* MERGEFORMAT </w:instrText>
        </w:r>
        <w:r>
          <w:fldChar w:fldCharType="separate"/>
        </w:r>
        <w:r w:rsidR="0009424D">
          <w:rPr>
            <w:noProof/>
          </w:rPr>
          <w:t>1</w:t>
        </w:r>
        <w:r>
          <w:rPr>
            <w:noProof/>
          </w:rPr>
          <w:fldChar w:fldCharType="end"/>
        </w:r>
      </w:p>
      <w:p w14:paraId="48F47522" w14:textId="40B9D3EB" w:rsidR="00565274" w:rsidRDefault="00565274">
        <w:pPr>
          <w:pStyle w:val="Header"/>
          <w:jc w:val="right"/>
          <w:rPr>
            <w:noProof/>
          </w:rPr>
        </w:pPr>
        <w:r>
          <w:rPr>
            <w:noProof/>
          </w:rPr>
          <w:t>H</w:t>
        </w:r>
        <w:r w:rsidR="00771AA0">
          <w:rPr>
            <w:noProof/>
          </w:rPr>
          <w:t>H 218-26</w:t>
        </w:r>
      </w:p>
      <w:p w14:paraId="4E80A493" w14:textId="7F643905" w:rsidR="00565274" w:rsidRDefault="00565274">
        <w:pPr>
          <w:pStyle w:val="Header"/>
          <w:jc w:val="right"/>
        </w:pPr>
        <w:r>
          <w:rPr>
            <w:noProof/>
          </w:rPr>
          <w:t>HCH 4204/21</w:t>
        </w:r>
      </w:p>
    </w:sdtContent>
  </w:sdt>
  <w:p w14:paraId="458F2A44" w14:textId="77777777" w:rsidR="00565274" w:rsidRDefault="005652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E6F51"/>
    <w:multiLevelType w:val="multilevel"/>
    <w:tmpl w:val="9C96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D85D75"/>
    <w:multiLevelType w:val="multilevel"/>
    <w:tmpl w:val="12A4A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FA284C"/>
    <w:multiLevelType w:val="multilevel"/>
    <w:tmpl w:val="6C9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497FD2"/>
    <w:multiLevelType w:val="multilevel"/>
    <w:tmpl w:val="D2F810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C5467DB"/>
    <w:multiLevelType w:val="multilevel"/>
    <w:tmpl w:val="30D2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F34"/>
    <w:rsid w:val="00073543"/>
    <w:rsid w:val="0009424D"/>
    <w:rsid w:val="003179F8"/>
    <w:rsid w:val="003D35EE"/>
    <w:rsid w:val="00481E18"/>
    <w:rsid w:val="004D6F34"/>
    <w:rsid w:val="004E165B"/>
    <w:rsid w:val="00565274"/>
    <w:rsid w:val="00771AA0"/>
    <w:rsid w:val="008C3844"/>
    <w:rsid w:val="009B06A5"/>
    <w:rsid w:val="00B40B4A"/>
    <w:rsid w:val="00E530B2"/>
    <w:rsid w:val="00ED1C5E"/>
    <w:rsid w:val="00ED690F"/>
    <w:rsid w:val="00FC2C5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3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D6F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6F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6F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6F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6F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6F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F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F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F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F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6F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6F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6F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6F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6F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F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F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F34"/>
    <w:rPr>
      <w:rFonts w:eastAsiaTheme="majorEastAsia" w:cstheme="majorBidi"/>
      <w:color w:val="272727" w:themeColor="text1" w:themeTint="D8"/>
    </w:rPr>
  </w:style>
  <w:style w:type="paragraph" w:styleId="Title">
    <w:name w:val="Title"/>
    <w:basedOn w:val="Normal"/>
    <w:next w:val="Normal"/>
    <w:link w:val="TitleChar"/>
    <w:uiPriority w:val="10"/>
    <w:qFormat/>
    <w:rsid w:val="004D6F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F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F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F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F34"/>
    <w:pPr>
      <w:spacing w:before="160"/>
      <w:jc w:val="center"/>
    </w:pPr>
    <w:rPr>
      <w:i/>
      <w:iCs/>
      <w:color w:val="404040" w:themeColor="text1" w:themeTint="BF"/>
    </w:rPr>
  </w:style>
  <w:style w:type="character" w:customStyle="1" w:styleId="QuoteChar">
    <w:name w:val="Quote Char"/>
    <w:basedOn w:val="DefaultParagraphFont"/>
    <w:link w:val="Quote"/>
    <w:uiPriority w:val="29"/>
    <w:rsid w:val="004D6F34"/>
    <w:rPr>
      <w:i/>
      <w:iCs/>
      <w:color w:val="404040" w:themeColor="text1" w:themeTint="BF"/>
    </w:rPr>
  </w:style>
  <w:style w:type="paragraph" w:styleId="ListParagraph">
    <w:name w:val="List Paragraph"/>
    <w:basedOn w:val="Normal"/>
    <w:uiPriority w:val="34"/>
    <w:qFormat/>
    <w:rsid w:val="004D6F34"/>
    <w:pPr>
      <w:ind w:left="720"/>
      <w:contextualSpacing/>
    </w:pPr>
  </w:style>
  <w:style w:type="character" w:styleId="IntenseEmphasis">
    <w:name w:val="Intense Emphasis"/>
    <w:basedOn w:val="DefaultParagraphFont"/>
    <w:uiPriority w:val="21"/>
    <w:qFormat/>
    <w:rsid w:val="004D6F34"/>
    <w:rPr>
      <w:i/>
      <w:iCs/>
      <w:color w:val="2F5496" w:themeColor="accent1" w:themeShade="BF"/>
    </w:rPr>
  </w:style>
  <w:style w:type="paragraph" w:styleId="IntenseQuote">
    <w:name w:val="Intense Quote"/>
    <w:basedOn w:val="Normal"/>
    <w:next w:val="Normal"/>
    <w:link w:val="IntenseQuoteChar"/>
    <w:uiPriority w:val="30"/>
    <w:qFormat/>
    <w:rsid w:val="004D6F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6F34"/>
    <w:rPr>
      <w:i/>
      <w:iCs/>
      <w:color w:val="2F5496" w:themeColor="accent1" w:themeShade="BF"/>
    </w:rPr>
  </w:style>
  <w:style w:type="character" w:styleId="IntenseReference">
    <w:name w:val="Intense Reference"/>
    <w:basedOn w:val="DefaultParagraphFont"/>
    <w:uiPriority w:val="32"/>
    <w:qFormat/>
    <w:rsid w:val="004D6F34"/>
    <w:rPr>
      <w:b/>
      <w:bCs/>
      <w:smallCaps/>
      <w:color w:val="2F5496" w:themeColor="accent1" w:themeShade="BF"/>
      <w:spacing w:val="5"/>
    </w:rPr>
  </w:style>
  <w:style w:type="paragraph" w:styleId="Header">
    <w:name w:val="header"/>
    <w:basedOn w:val="Normal"/>
    <w:link w:val="HeaderChar"/>
    <w:uiPriority w:val="99"/>
    <w:unhideWhenUsed/>
    <w:rsid w:val="005652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274"/>
  </w:style>
  <w:style w:type="paragraph" w:styleId="Footer">
    <w:name w:val="footer"/>
    <w:basedOn w:val="Normal"/>
    <w:link w:val="FooterChar"/>
    <w:uiPriority w:val="99"/>
    <w:unhideWhenUsed/>
    <w:rsid w:val="005652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2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D6F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6F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6F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6F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6F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6F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F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F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F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F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6F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6F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6F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6F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6F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F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F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F34"/>
    <w:rPr>
      <w:rFonts w:eastAsiaTheme="majorEastAsia" w:cstheme="majorBidi"/>
      <w:color w:val="272727" w:themeColor="text1" w:themeTint="D8"/>
    </w:rPr>
  </w:style>
  <w:style w:type="paragraph" w:styleId="Title">
    <w:name w:val="Title"/>
    <w:basedOn w:val="Normal"/>
    <w:next w:val="Normal"/>
    <w:link w:val="TitleChar"/>
    <w:uiPriority w:val="10"/>
    <w:qFormat/>
    <w:rsid w:val="004D6F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F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F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F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F34"/>
    <w:pPr>
      <w:spacing w:before="160"/>
      <w:jc w:val="center"/>
    </w:pPr>
    <w:rPr>
      <w:i/>
      <w:iCs/>
      <w:color w:val="404040" w:themeColor="text1" w:themeTint="BF"/>
    </w:rPr>
  </w:style>
  <w:style w:type="character" w:customStyle="1" w:styleId="QuoteChar">
    <w:name w:val="Quote Char"/>
    <w:basedOn w:val="DefaultParagraphFont"/>
    <w:link w:val="Quote"/>
    <w:uiPriority w:val="29"/>
    <w:rsid w:val="004D6F34"/>
    <w:rPr>
      <w:i/>
      <w:iCs/>
      <w:color w:val="404040" w:themeColor="text1" w:themeTint="BF"/>
    </w:rPr>
  </w:style>
  <w:style w:type="paragraph" w:styleId="ListParagraph">
    <w:name w:val="List Paragraph"/>
    <w:basedOn w:val="Normal"/>
    <w:uiPriority w:val="34"/>
    <w:qFormat/>
    <w:rsid w:val="004D6F34"/>
    <w:pPr>
      <w:ind w:left="720"/>
      <w:contextualSpacing/>
    </w:pPr>
  </w:style>
  <w:style w:type="character" w:styleId="IntenseEmphasis">
    <w:name w:val="Intense Emphasis"/>
    <w:basedOn w:val="DefaultParagraphFont"/>
    <w:uiPriority w:val="21"/>
    <w:qFormat/>
    <w:rsid w:val="004D6F34"/>
    <w:rPr>
      <w:i/>
      <w:iCs/>
      <w:color w:val="2F5496" w:themeColor="accent1" w:themeShade="BF"/>
    </w:rPr>
  </w:style>
  <w:style w:type="paragraph" w:styleId="IntenseQuote">
    <w:name w:val="Intense Quote"/>
    <w:basedOn w:val="Normal"/>
    <w:next w:val="Normal"/>
    <w:link w:val="IntenseQuoteChar"/>
    <w:uiPriority w:val="30"/>
    <w:qFormat/>
    <w:rsid w:val="004D6F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6F34"/>
    <w:rPr>
      <w:i/>
      <w:iCs/>
      <w:color w:val="2F5496" w:themeColor="accent1" w:themeShade="BF"/>
    </w:rPr>
  </w:style>
  <w:style w:type="character" w:styleId="IntenseReference">
    <w:name w:val="Intense Reference"/>
    <w:basedOn w:val="DefaultParagraphFont"/>
    <w:uiPriority w:val="32"/>
    <w:qFormat/>
    <w:rsid w:val="004D6F34"/>
    <w:rPr>
      <w:b/>
      <w:bCs/>
      <w:smallCaps/>
      <w:color w:val="2F5496" w:themeColor="accent1" w:themeShade="BF"/>
      <w:spacing w:val="5"/>
    </w:rPr>
  </w:style>
  <w:style w:type="paragraph" w:styleId="Header">
    <w:name w:val="header"/>
    <w:basedOn w:val="Normal"/>
    <w:link w:val="HeaderChar"/>
    <w:uiPriority w:val="99"/>
    <w:unhideWhenUsed/>
    <w:rsid w:val="005652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274"/>
  </w:style>
  <w:style w:type="paragraph" w:styleId="Footer">
    <w:name w:val="footer"/>
    <w:basedOn w:val="Normal"/>
    <w:link w:val="FooterChar"/>
    <w:uiPriority w:val="99"/>
    <w:unhideWhenUsed/>
    <w:rsid w:val="005652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Kudzai Alufandika</dc:creator>
  <cp:lastModifiedBy>JSC</cp:lastModifiedBy>
  <cp:revision>2</cp:revision>
  <dcterms:created xsi:type="dcterms:W3CDTF">2026-03-13T09:21:00Z</dcterms:created>
  <dcterms:modified xsi:type="dcterms:W3CDTF">2026-03-13T09:21:00Z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6261ce48-262a-4648-8fb1-b40a634f3121</vt:lpwstr>
  </property>
</Properties>
</file>