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C6D" w:rsidRPr="008E1711" w:rsidRDefault="007D1C6D" w:rsidP="007D1C6D">
      <w:pPr>
        <w:spacing w:line="360" w:lineRule="auto"/>
        <w:rPr>
          <w:b/>
        </w:rPr>
      </w:pPr>
      <w:r w:rsidRPr="008E1711">
        <w:rPr>
          <w:b/>
        </w:rPr>
        <w:t>IN THE LABOUR COURT OF ZIMBABWE      JUDGMENT NO. LC/H/</w:t>
      </w:r>
      <w:r w:rsidR="00141703">
        <w:rPr>
          <w:b/>
        </w:rPr>
        <w:t>853</w:t>
      </w:r>
      <w:r w:rsidRPr="008E1711">
        <w:rPr>
          <w:b/>
        </w:rPr>
        <w:t>/2014</w:t>
      </w:r>
    </w:p>
    <w:p w:rsidR="007D1C6D" w:rsidRDefault="007D1C6D" w:rsidP="007D1C6D">
      <w:pPr>
        <w:spacing w:line="360" w:lineRule="auto"/>
        <w:jc w:val="both"/>
        <w:rPr>
          <w:b/>
        </w:rPr>
      </w:pPr>
      <w:r>
        <w:rPr>
          <w:b/>
        </w:rPr>
        <w:t>HARARE, 15 SEPTEMBER 2014</w:t>
      </w:r>
      <w:r w:rsidRPr="00047C13">
        <w:rPr>
          <w:b/>
        </w:rPr>
        <w:tab/>
        <w:t xml:space="preserve">    </w:t>
      </w:r>
      <w:r w:rsidRPr="00047C13">
        <w:rPr>
          <w:b/>
        </w:rPr>
        <w:tab/>
      </w:r>
      <w:r w:rsidRPr="00047C13">
        <w:rPr>
          <w:b/>
        </w:rPr>
        <w:tab/>
      </w:r>
      <w:r>
        <w:rPr>
          <w:b/>
        </w:rPr>
        <w:t xml:space="preserve">   </w:t>
      </w:r>
      <w:r w:rsidR="00141703">
        <w:rPr>
          <w:b/>
        </w:rPr>
        <w:t xml:space="preserve">  </w:t>
      </w:r>
      <w:r w:rsidRPr="00047C13">
        <w:rPr>
          <w:b/>
        </w:rPr>
        <w:t>CASE NO. LC/</w:t>
      </w:r>
      <w:r>
        <w:rPr>
          <w:b/>
        </w:rPr>
        <w:t>H/678/13</w:t>
      </w:r>
    </w:p>
    <w:p w:rsidR="00141703" w:rsidRDefault="00141703" w:rsidP="007D1C6D">
      <w:pPr>
        <w:spacing w:line="360" w:lineRule="auto"/>
        <w:jc w:val="both"/>
        <w:rPr>
          <w:b/>
        </w:rPr>
      </w:pPr>
      <w:r>
        <w:rPr>
          <w:b/>
        </w:rPr>
        <w:t>AND 19 DECEMBER 2014</w:t>
      </w:r>
    </w:p>
    <w:p w:rsidR="007D1C6D" w:rsidRDefault="007D1C6D" w:rsidP="007D1C6D">
      <w:pPr>
        <w:jc w:val="both"/>
      </w:pPr>
      <w:r w:rsidRPr="00047C13">
        <w:t>In the matter between</w:t>
      </w:r>
      <w:r>
        <w:t>:-</w:t>
      </w:r>
    </w:p>
    <w:p w:rsidR="007D1C6D" w:rsidRPr="00047C13" w:rsidRDefault="007D1C6D" w:rsidP="007D1C6D">
      <w:pPr>
        <w:jc w:val="both"/>
      </w:pPr>
    </w:p>
    <w:p w:rsidR="007D1C6D" w:rsidRPr="00047C13" w:rsidRDefault="007D1C6D" w:rsidP="007D1C6D">
      <w:pPr>
        <w:jc w:val="both"/>
      </w:pPr>
    </w:p>
    <w:p w:rsidR="007D1C6D" w:rsidRPr="00047C13" w:rsidRDefault="004911EE" w:rsidP="007D1C6D">
      <w:pPr>
        <w:spacing w:line="360" w:lineRule="auto"/>
        <w:jc w:val="both"/>
        <w:rPr>
          <w:b/>
        </w:rPr>
      </w:pPr>
      <w:r>
        <w:rPr>
          <w:b/>
        </w:rPr>
        <w:t>IRJANA LUXLINER</w:t>
      </w:r>
      <w:r>
        <w:rPr>
          <w:b/>
        </w:rPr>
        <w:tab/>
      </w:r>
      <w:r>
        <w:rPr>
          <w:b/>
        </w:rPr>
        <w:tab/>
      </w:r>
      <w:r>
        <w:rPr>
          <w:b/>
        </w:rPr>
        <w:tab/>
      </w:r>
      <w:r>
        <w:rPr>
          <w:b/>
        </w:rPr>
        <w:tab/>
      </w:r>
      <w:r>
        <w:rPr>
          <w:b/>
        </w:rPr>
        <w:tab/>
        <w:t>Appellant</w:t>
      </w:r>
    </w:p>
    <w:p w:rsidR="007D1C6D" w:rsidRPr="00047C13" w:rsidRDefault="007D1C6D" w:rsidP="007D1C6D">
      <w:pPr>
        <w:tabs>
          <w:tab w:val="left" w:pos="1995"/>
        </w:tabs>
        <w:spacing w:line="360" w:lineRule="auto"/>
        <w:jc w:val="both"/>
      </w:pPr>
      <w:r w:rsidRPr="00047C13">
        <w:t>And</w:t>
      </w:r>
      <w:r w:rsidRPr="00047C13">
        <w:tab/>
      </w:r>
    </w:p>
    <w:p w:rsidR="007D1C6D" w:rsidRDefault="004911EE" w:rsidP="007D1C6D">
      <w:pPr>
        <w:spacing w:line="360" w:lineRule="auto"/>
        <w:jc w:val="both"/>
        <w:rPr>
          <w:b/>
        </w:rPr>
      </w:pPr>
      <w:r>
        <w:rPr>
          <w:b/>
        </w:rPr>
        <w:t>C. SHONGATI &amp; 9 OTHERS</w:t>
      </w:r>
      <w:r w:rsidR="007D1C6D">
        <w:rPr>
          <w:b/>
        </w:rPr>
        <w:tab/>
      </w:r>
      <w:r w:rsidR="007D1C6D">
        <w:rPr>
          <w:b/>
        </w:rPr>
        <w:tab/>
      </w:r>
      <w:r w:rsidR="007D1C6D">
        <w:rPr>
          <w:b/>
        </w:rPr>
        <w:tab/>
      </w:r>
      <w:r w:rsidR="007D1C6D">
        <w:rPr>
          <w:b/>
        </w:rPr>
        <w:tab/>
        <w:t>Respondent</w:t>
      </w:r>
    </w:p>
    <w:p w:rsidR="007D1C6D" w:rsidRDefault="007D1C6D" w:rsidP="007D1C6D">
      <w:pPr>
        <w:jc w:val="both"/>
        <w:rPr>
          <w:b/>
        </w:rPr>
      </w:pPr>
    </w:p>
    <w:p w:rsidR="007D1C6D" w:rsidRDefault="007D1C6D" w:rsidP="007D1C6D">
      <w:pPr>
        <w:spacing w:line="360" w:lineRule="auto"/>
        <w:jc w:val="both"/>
      </w:pPr>
      <w:r>
        <w:t xml:space="preserve">Before Honourable </w:t>
      </w:r>
      <w:r w:rsidR="00537F2E">
        <w:t>L. Kudya</w:t>
      </w:r>
      <w:r>
        <w:t xml:space="preserve">, Judge                             </w:t>
      </w:r>
    </w:p>
    <w:p w:rsidR="007D1C6D" w:rsidRPr="00047C13" w:rsidRDefault="007D1C6D" w:rsidP="007D1C6D">
      <w:pPr>
        <w:jc w:val="both"/>
      </w:pPr>
      <w:r w:rsidRPr="00047C13">
        <w:tab/>
      </w:r>
      <w:r w:rsidRPr="00047C13">
        <w:tab/>
      </w:r>
      <w:r w:rsidRPr="00047C13">
        <w:tab/>
      </w:r>
    </w:p>
    <w:p w:rsidR="007D1C6D" w:rsidRDefault="007D1C6D" w:rsidP="007D1C6D">
      <w:pPr>
        <w:spacing w:line="360" w:lineRule="auto"/>
        <w:jc w:val="both"/>
        <w:rPr>
          <w:b/>
        </w:rPr>
      </w:pPr>
      <w:r w:rsidRPr="00047C13">
        <w:rPr>
          <w:b/>
        </w:rPr>
        <w:t>For App</w:t>
      </w:r>
      <w:r>
        <w:rPr>
          <w:b/>
        </w:rPr>
        <w:t>ellant</w:t>
      </w:r>
      <w:r w:rsidRPr="00047C13">
        <w:rPr>
          <w:b/>
        </w:rPr>
        <w:tab/>
      </w:r>
      <w:r>
        <w:rPr>
          <w:b/>
        </w:rPr>
        <w:tab/>
      </w:r>
      <w:r w:rsidR="004911EE">
        <w:rPr>
          <w:b/>
        </w:rPr>
        <w:t>A. Masango</w:t>
      </w:r>
      <w:r>
        <w:rPr>
          <w:b/>
        </w:rPr>
        <w:t xml:space="preserve"> (Legal Practitioner) </w:t>
      </w:r>
    </w:p>
    <w:p w:rsidR="007D1C6D" w:rsidRPr="00047C13" w:rsidRDefault="007D1C6D" w:rsidP="007D1C6D">
      <w:pPr>
        <w:jc w:val="both"/>
        <w:rPr>
          <w:b/>
        </w:rPr>
      </w:pPr>
    </w:p>
    <w:p w:rsidR="007D1C6D" w:rsidRDefault="007D1C6D" w:rsidP="007D1C6D">
      <w:pPr>
        <w:spacing w:line="360" w:lineRule="auto"/>
        <w:jc w:val="both"/>
        <w:rPr>
          <w:b/>
        </w:rPr>
      </w:pPr>
      <w:r>
        <w:rPr>
          <w:b/>
        </w:rPr>
        <w:t>For Respondent</w:t>
      </w:r>
      <w:r>
        <w:rPr>
          <w:b/>
        </w:rPr>
        <w:tab/>
      </w:r>
      <w:r w:rsidRPr="00047C13">
        <w:rPr>
          <w:b/>
        </w:rPr>
        <w:tab/>
      </w:r>
      <w:r w:rsidR="004911EE">
        <w:rPr>
          <w:b/>
        </w:rPr>
        <w:t>T. Mutevere</w:t>
      </w:r>
      <w:r>
        <w:rPr>
          <w:b/>
        </w:rPr>
        <w:t xml:space="preserve"> (Legal Practitioner)</w:t>
      </w:r>
    </w:p>
    <w:p w:rsidR="007D1C6D" w:rsidRDefault="007D1C6D" w:rsidP="007D1C6D">
      <w:pPr>
        <w:jc w:val="both"/>
        <w:rPr>
          <w:b/>
        </w:rPr>
      </w:pPr>
    </w:p>
    <w:p w:rsidR="007D1C6D" w:rsidRPr="00047C13" w:rsidRDefault="007D1C6D" w:rsidP="007D1C6D">
      <w:pPr>
        <w:jc w:val="both"/>
        <w:rPr>
          <w:b/>
        </w:rPr>
      </w:pPr>
    </w:p>
    <w:p w:rsidR="007D1C6D" w:rsidRDefault="00537F2E" w:rsidP="007D1C6D">
      <w:pPr>
        <w:spacing w:line="360" w:lineRule="auto"/>
        <w:jc w:val="both"/>
        <w:rPr>
          <w:b/>
        </w:rPr>
      </w:pPr>
      <w:r>
        <w:rPr>
          <w:b/>
        </w:rPr>
        <w:t>KUDYA</w:t>
      </w:r>
      <w:r w:rsidR="007D1C6D">
        <w:rPr>
          <w:b/>
        </w:rPr>
        <w:t>, J:</w:t>
      </w:r>
    </w:p>
    <w:p w:rsidR="00920C93" w:rsidRDefault="00920C93" w:rsidP="00573215">
      <w:pPr>
        <w:spacing w:line="360" w:lineRule="auto"/>
      </w:pPr>
    </w:p>
    <w:p w:rsidR="004911EE" w:rsidRDefault="004911EE" w:rsidP="004911EE">
      <w:pPr>
        <w:spacing w:line="360" w:lineRule="auto"/>
        <w:jc w:val="both"/>
      </w:pPr>
      <w:r>
        <w:tab/>
        <w:t xml:space="preserve">This is an appeal against an arbitral award which was made in favour of the respondent employees.  Facts of the matter are that respondents who are in the appellant’s employ went for a period of time without receiving their salaries and allowances as per the industry code of conduct.  They are all employed as long distant vehicle </w:t>
      </w:r>
      <w:r w:rsidR="007C2A17">
        <w:t>drivers</w:t>
      </w:r>
      <w:r>
        <w:t xml:space="preserve"> by the appellant.  Their </w:t>
      </w:r>
      <w:r w:rsidR="00537F2E">
        <w:t>matter went for conciliation where a certificate of no settlement was issued after the parties failed to reach an agreement.</w:t>
      </w:r>
    </w:p>
    <w:p w:rsidR="00537F2E" w:rsidRDefault="00537F2E" w:rsidP="00573215">
      <w:pPr>
        <w:jc w:val="both"/>
      </w:pPr>
    </w:p>
    <w:p w:rsidR="00537F2E" w:rsidRDefault="00537F2E" w:rsidP="004911EE">
      <w:pPr>
        <w:spacing w:line="360" w:lineRule="auto"/>
        <w:jc w:val="both"/>
      </w:pPr>
      <w:r>
        <w:tab/>
        <w:t>Consequently the matter went to arbitration where the arbitrator was called upon to decide whether or not appellant was engaged or an unfair labour practice by not paying the respondents their salaries and allowances.  At arbitration appella</w:t>
      </w:r>
      <w:r w:rsidR="007C2A17">
        <w:t>nt maintained as it has done now</w:t>
      </w:r>
      <w:r>
        <w:t xml:space="preserve"> in this appeal that it is willing but unable to pay due to </w:t>
      </w:r>
      <w:r w:rsidR="007C2A17">
        <w:t xml:space="preserve">financial constraints. </w:t>
      </w:r>
      <w:r>
        <w:t xml:space="preserve"> In the result</w:t>
      </w:r>
      <w:r w:rsidR="007C2A17">
        <w:t>,</w:t>
      </w:r>
      <w:r>
        <w:t xml:space="preserve"> arbitrator ordered appellant to pay up by 20 September 2013.</w:t>
      </w:r>
    </w:p>
    <w:p w:rsidR="00537F2E" w:rsidRDefault="00537F2E" w:rsidP="00573215">
      <w:pPr>
        <w:jc w:val="both"/>
      </w:pPr>
    </w:p>
    <w:p w:rsidR="00537F2E" w:rsidRDefault="00537F2E" w:rsidP="004911EE">
      <w:pPr>
        <w:spacing w:line="360" w:lineRule="auto"/>
        <w:jc w:val="both"/>
      </w:pPr>
      <w:r>
        <w:lastRenderedPageBreak/>
        <w:tab/>
        <w:t xml:space="preserve">Aggrieved by the award the appellant noted the appeal which is the subject matter of </w:t>
      </w:r>
      <w:r w:rsidR="007C2A17">
        <w:t>this</w:t>
      </w:r>
      <w:r>
        <w:t xml:space="preserve"> judgment.  The grounds of appeal are that,</w:t>
      </w:r>
    </w:p>
    <w:p w:rsidR="00537F2E" w:rsidRPr="00537F2E" w:rsidRDefault="00537F2E" w:rsidP="00537F2E">
      <w:pPr>
        <w:pStyle w:val="ListParagraph"/>
        <w:numPr>
          <w:ilvl w:val="0"/>
          <w:numId w:val="1"/>
        </w:numPr>
        <w:spacing w:line="360" w:lineRule="auto"/>
        <w:jc w:val="both"/>
        <w:rPr>
          <w:rFonts w:cs="Tahoma"/>
        </w:rPr>
      </w:pPr>
      <w:r w:rsidRPr="00537F2E">
        <w:rPr>
          <w:rFonts w:cs="Tahoma"/>
        </w:rPr>
        <w:t>Arbitrator erred in awarding the allowances.</w:t>
      </w:r>
    </w:p>
    <w:p w:rsidR="00537F2E" w:rsidRDefault="00537F2E" w:rsidP="00537F2E">
      <w:pPr>
        <w:pStyle w:val="ListParagraph"/>
        <w:numPr>
          <w:ilvl w:val="0"/>
          <w:numId w:val="1"/>
        </w:numPr>
        <w:spacing w:line="360" w:lineRule="auto"/>
        <w:jc w:val="both"/>
        <w:rPr>
          <w:rFonts w:cs="Tahoma"/>
        </w:rPr>
      </w:pPr>
      <w:r w:rsidRPr="00537F2E">
        <w:rPr>
          <w:rFonts w:cs="Tahoma"/>
        </w:rPr>
        <w:t xml:space="preserve">The </w:t>
      </w:r>
      <w:r>
        <w:rPr>
          <w:rFonts w:cs="Tahoma"/>
        </w:rPr>
        <w:t>time frame given by the arbitrator is unrealistic.</w:t>
      </w:r>
    </w:p>
    <w:p w:rsidR="00573215" w:rsidRDefault="00573215" w:rsidP="00573215">
      <w:pPr>
        <w:pStyle w:val="ListParagraph"/>
        <w:jc w:val="both"/>
        <w:rPr>
          <w:rFonts w:cs="Tahoma"/>
        </w:rPr>
      </w:pPr>
    </w:p>
    <w:p w:rsidR="002A6A30" w:rsidRDefault="00050854" w:rsidP="00537F2E">
      <w:pPr>
        <w:spacing w:line="360" w:lineRule="auto"/>
        <w:jc w:val="both"/>
        <w:rPr>
          <w:rFonts w:cs="Tahoma"/>
        </w:rPr>
      </w:pPr>
      <w:r>
        <w:rPr>
          <w:rFonts w:cs="Tahoma"/>
        </w:rPr>
        <w:t xml:space="preserve">The respondents in turn challenged the appeal.  They maintained in particular that the appeal issues raised do not qualify as points of law upon which the Labour Court </w:t>
      </w:r>
      <w:r w:rsidR="007C2A17">
        <w:rPr>
          <w:rFonts w:cs="Tahoma"/>
        </w:rPr>
        <w:t xml:space="preserve">can </w:t>
      </w:r>
      <w:r>
        <w:rPr>
          <w:rFonts w:cs="Tahoma"/>
        </w:rPr>
        <w:t>be asked to decide the appeal</w:t>
      </w:r>
      <w:r w:rsidR="00AF46E0">
        <w:rPr>
          <w:rFonts w:cs="Tahoma"/>
        </w:rPr>
        <w:t>.</w:t>
      </w:r>
      <w:r>
        <w:rPr>
          <w:rFonts w:cs="Tahoma"/>
        </w:rPr>
        <w:t xml:space="preserve"> </w:t>
      </w:r>
      <w:r w:rsidR="00AF46E0">
        <w:rPr>
          <w:rFonts w:cs="Tahoma"/>
        </w:rPr>
        <w:t xml:space="preserve"> On the merit</w:t>
      </w:r>
      <w:r w:rsidR="007C2A17">
        <w:rPr>
          <w:rFonts w:cs="Tahoma"/>
        </w:rPr>
        <w:t>s</w:t>
      </w:r>
      <w:r w:rsidR="00AF46E0">
        <w:rPr>
          <w:rFonts w:cs="Tahoma"/>
        </w:rPr>
        <w:t xml:space="preserve"> they also </w:t>
      </w:r>
      <w:r w:rsidR="007C2A17">
        <w:rPr>
          <w:rFonts w:cs="Tahoma"/>
        </w:rPr>
        <w:t>argued</w:t>
      </w:r>
      <w:r w:rsidR="00AF46E0">
        <w:rPr>
          <w:rFonts w:cs="Tahoma"/>
        </w:rPr>
        <w:t xml:space="preserve"> that even if the g</w:t>
      </w:r>
      <w:r w:rsidR="007C2A17">
        <w:rPr>
          <w:rFonts w:cs="Tahoma"/>
        </w:rPr>
        <w:t>rounds were to be said to qualif</w:t>
      </w:r>
      <w:r w:rsidR="00AF46E0">
        <w:rPr>
          <w:rFonts w:cs="Tahoma"/>
        </w:rPr>
        <w:t xml:space="preserve">y as appeal grounds in terms </w:t>
      </w:r>
      <w:r w:rsidR="002A6A30">
        <w:rPr>
          <w:rFonts w:cs="Tahoma"/>
        </w:rPr>
        <w:t>of the law, the facts which present in the instant case do not demonstrate that the appellant has a good appeal on the merits.</w:t>
      </w:r>
    </w:p>
    <w:p w:rsidR="002A6A30" w:rsidRDefault="002A6A30" w:rsidP="00573215">
      <w:pPr>
        <w:jc w:val="both"/>
        <w:rPr>
          <w:rFonts w:cs="Tahoma"/>
        </w:rPr>
      </w:pPr>
    </w:p>
    <w:p w:rsidR="002A6A30" w:rsidRDefault="002A6A30" w:rsidP="00537F2E">
      <w:pPr>
        <w:spacing w:line="360" w:lineRule="auto"/>
        <w:jc w:val="both"/>
        <w:rPr>
          <w:rFonts w:cs="Tahoma"/>
        </w:rPr>
      </w:pPr>
      <w:r>
        <w:rPr>
          <w:rFonts w:cs="Tahoma"/>
        </w:rPr>
        <w:tab/>
        <w:t>The law deal</w:t>
      </w:r>
      <w:r w:rsidR="007C2A17">
        <w:rPr>
          <w:rFonts w:cs="Tahoma"/>
        </w:rPr>
        <w:t>ing with appeals from arbitration</w:t>
      </w:r>
      <w:r>
        <w:rPr>
          <w:rFonts w:cs="Tahoma"/>
        </w:rPr>
        <w:t xml:space="preserve"> to the Labour Court is settled.  See Section 98 (10) Labour Act.  These shall only lie on a question of law.  Question of law or point of law is </w:t>
      </w:r>
      <w:r w:rsidR="007C2A17">
        <w:rPr>
          <w:rFonts w:cs="Tahoma"/>
        </w:rPr>
        <w:t>defined</w:t>
      </w:r>
      <w:r>
        <w:rPr>
          <w:rFonts w:cs="Tahoma"/>
        </w:rPr>
        <w:t xml:space="preserve"> in the case of </w:t>
      </w:r>
      <w:r w:rsidRPr="00573215">
        <w:rPr>
          <w:rFonts w:cs="Tahoma"/>
          <w:i/>
        </w:rPr>
        <w:t>Muzuva</w:t>
      </w:r>
      <w:r>
        <w:rPr>
          <w:rFonts w:cs="Tahoma"/>
        </w:rPr>
        <w:t xml:space="preserve"> v </w:t>
      </w:r>
      <w:r w:rsidRPr="00573215">
        <w:rPr>
          <w:rFonts w:cs="Tahoma"/>
          <w:i/>
        </w:rPr>
        <w:t>United Bottlers</w:t>
      </w:r>
      <w:r w:rsidR="007C2A17">
        <w:rPr>
          <w:rFonts w:cs="Tahoma"/>
          <w:i/>
        </w:rPr>
        <w:t xml:space="preserve"> </w:t>
      </w:r>
      <w:r w:rsidR="007C2A17">
        <w:rPr>
          <w:rFonts w:cs="Tahoma"/>
        </w:rPr>
        <w:t>1994 (1) ZLR 217 (S)</w:t>
      </w:r>
      <w:r>
        <w:rPr>
          <w:rFonts w:cs="Tahoma"/>
        </w:rPr>
        <w:t>.</w:t>
      </w:r>
    </w:p>
    <w:p w:rsidR="002A6A30" w:rsidRDefault="002A6A30" w:rsidP="00573215">
      <w:pPr>
        <w:jc w:val="both"/>
        <w:rPr>
          <w:rFonts w:cs="Tahoma"/>
        </w:rPr>
      </w:pPr>
    </w:p>
    <w:p w:rsidR="007C2A17" w:rsidRDefault="002A6A30" w:rsidP="00537F2E">
      <w:pPr>
        <w:spacing w:line="360" w:lineRule="auto"/>
        <w:jc w:val="both"/>
        <w:rPr>
          <w:rFonts w:cs="Tahoma"/>
        </w:rPr>
      </w:pPr>
      <w:r>
        <w:rPr>
          <w:rFonts w:cs="Tahoma"/>
        </w:rPr>
        <w:tab/>
        <w:t xml:space="preserve">The primary question in the instant case is therefore whether it can be said that the appellant has placed before the court a </w:t>
      </w:r>
      <w:r w:rsidR="007C2A17">
        <w:rPr>
          <w:rFonts w:cs="Tahoma"/>
        </w:rPr>
        <w:t xml:space="preserve">point </w:t>
      </w:r>
      <w:r>
        <w:rPr>
          <w:rFonts w:cs="Tahoma"/>
        </w:rPr>
        <w:t>of law which is worth deciding upon</w:t>
      </w:r>
      <w:r w:rsidR="000734BB">
        <w:rPr>
          <w:rFonts w:cs="Tahoma"/>
        </w:rPr>
        <w:t>.</w:t>
      </w:r>
      <w:r>
        <w:rPr>
          <w:rFonts w:cs="Tahoma"/>
        </w:rPr>
        <w:t xml:space="preserve"> Appel</w:t>
      </w:r>
      <w:r w:rsidR="000734BB">
        <w:rPr>
          <w:rFonts w:cs="Tahoma"/>
        </w:rPr>
        <w:t xml:space="preserve">lant argues that indeed such a point of law is made.  The basis for that argument is that the housing allowances awarded by the arbitrator were not due to the respondents since they were in receipt of some allowance which could safely be explained to have catered for the housing allowance.  </w:t>
      </w:r>
    </w:p>
    <w:p w:rsidR="007C2A17" w:rsidRDefault="007C2A17" w:rsidP="007C2A17">
      <w:pPr>
        <w:jc w:val="both"/>
        <w:rPr>
          <w:rFonts w:cs="Tahoma"/>
        </w:rPr>
      </w:pPr>
    </w:p>
    <w:p w:rsidR="00537F2E" w:rsidRDefault="000734BB" w:rsidP="007C2A17">
      <w:pPr>
        <w:spacing w:line="360" w:lineRule="auto"/>
        <w:ind w:firstLine="720"/>
        <w:jc w:val="both"/>
        <w:rPr>
          <w:rFonts w:cs="Tahoma"/>
        </w:rPr>
      </w:pPr>
      <w:r>
        <w:rPr>
          <w:rFonts w:cs="Tahoma"/>
        </w:rPr>
        <w:t>Appellant’s argument is the</w:t>
      </w:r>
      <w:r w:rsidR="007C2A17">
        <w:rPr>
          <w:rFonts w:cs="Tahoma"/>
        </w:rPr>
        <w:t>refore</w:t>
      </w:r>
      <w:r>
        <w:rPr>
          <w:rFonts w:cs="Tahoma"/>
        </w:rPr>
        <w:t xml:space="preserve"> that there is an error of law to the extent that the arbitrator made the award without sufficient basis for doing so.  In the same breath the appellant argues that</w:t>
      </w:r>
      <w:r w:rsidR="007C2A17">
        <w:rPr>
          <w:rFonts w:cs="Tahoma"/>
        </w:rPr>
        <w:t>,</w:t>
      </w:r>
      <w:r>
        <w:rPr>
          <w:rFonts w:cs="Tahoma"/>
        </w:rPr>
        <w:t xml:space="preserve"> by giving an unrealistic payment period in the face of evidence that appellant is </w:t>
      </w:r>
      <w:r w:rsidR="007C2A17">
        <w:rPr>
          <w:rFonts w:cs="Tahoma"/>
        </w:rPr>
        <w:t>underperforming</w:t>
      </w:r>
      <w:r w:rsidR="00573215">
        <w:rPr>
          <w:rFonts w:cs="Tahoma"/>
        </w:rPr>
        <w:t xml:space="preserve"> such</w:t>
      </w:r>
      <w:r>
        <w:rPr>
          <w:rFonts w:cs="Tahoma"/>
        </w:rPr>
        <w:t xml:space="preserve"> a decision was also bad at</w:t>
      </w:r>
      <w:r w:rsidR="007C2A17">
        <w:rPr>
          <w:rFonts w:cs="Tahoma"/>
        </w:rPr>
        <w:t xml:space="preserve"> law and is thus appealable.  On</w:t>
      </w:r>
      <w:r>
        <w:rPr>
          <w:rFonts w:cs="Tahoma"/>
        </w:rPr>
        <w:t xml:space="preserve"> the face of the arguments advanced that arbitrator grossly erred on the facts</w:t>
      </w:r>
      <w:r w:rsidR="007C2A17">
        <w:rPr>
          <w:rFonts w:cs="Tahoma"/>
        </w:rPr>
        <w:t>,</w:t>
      </w:r>
      <w:r>
        <w:rPr>
          <w:rFonts w:cs="Tahoma"/>
        </w:rPr>
        <w:t xml:space="preserve"> such grounds would fall squarely within the ambit of </w:t>
      </w:r>
      <w:r w:rsidR="007C2A17">
        <w:rPr>
          <w:rFonts w:cs="Tahoma"/>
        </w:rPr>
        <w:t>run</w:t>
      </w:r>
      <w:r w:rsidR="006408B9">
        <w:rPr>
          <w:rFonts w:cs="Tahoma"/>
        </w:rPr>
        <w:t>g</w:t>
      </w:r>
      <w:r w:rsidR="007C2A17">
        <w:rPr>
          <w:rFonts w:cs="Tahoma"/>
        </w:rPr>
        <w:t xml:space="preserve"> three</w:t>
      </w:r>
      <w:r w:rsidR="00B312C4">
        <w:rPr>
          <w:rFonts w:cs="Tahoma"/>
        </w:rPr>
        <w:t xml:space="preserve"> (3) of the test of what a point of law is. </w:t>
      </w:r>
    </w:p>
    <w:p w:rsidR="00B312C4" w:rsidRDefault="00B312C4" w:rsidP="00573215">
      <w:pPr>
        <w:jc w:val="both"/>
        <w:rPr>
          <w:rFonts w:cs="Tahoma"/>
        </w:rPr>
      </w:pPr>
    </w:p>
    <w:p w:rsidR="00B312C4" w:rsidRDefault="00B312C4" w:rsidP="00537F2E">
      <w:pPr>
        <w:spacing w:line="360" w:lineRule="auto"/>
        <w:jc w:val="both"/>
        <w:rPr>
          <w:rFonts w:cs="Tahoma"/>
        </w:rPr>
      </w:pPr>
      <w:r>
        <w:rPr>
          <w:rFonts w:cs="Tahoma"/>
        </w:rPr>
        <w:tab/>
        <w:t xml:space="preserve">To that extent the court rules that the appeal indeed </w:t>
      </w:r>
      <w:r w:rsidR="006408B9">
        <w:rPr>
          <w:rFonts w:cs="Tahoma"/>
        </w:rPr>
        <w:t>raises</w:t>
      </w:r>
      <w:r>
        <w:rPr>
          <w:rFonts w:cs="Tahoma"/>
        </w:rPr>
        <w:t xml:space="preserve"> points of law.  Having </w:t>
      </w:r>
      <w:r w:rsidR="006408B9">
        <w:rPr>
          <w:rFonts w:cs="Tahoma"/>
        </w:rPr>
        <w:t>answered</w:t>
      </w:r>
      <w:r>
        <w:rPr>
          <w:rFonts w:cs="Tahoma"/>
        </w:rPr>
        <w:t xml:space="preserve"> the first part of the quest the 2</w:t>
      </w:r>
      <w:r w:rsidRPr="00B312C4">
        <w:rPr>
          <w:rFonts w:cs="Tahoma"/>
          <w:vertAlign w:val="superscript"/>
        </w:rPr>
        <w:t>nd</w:t>
      </w:r>
      <w:r>
        <w:rPr>
          <w:rFonts w:cs="Tahoma"/>
        </w:rPr>
        <w:t xml:space="preserve"> bit is whether the points </w:t>
      </w:r>
      <w:r w:rsidR="005B3ACF">
        <w:rPr>
          <w:rFonts w:cs="Tahoma"/>
        </w:rPr>
        <w:t>raised</w:t>
      </w:r>
      <w:r>
        <w:rPr>
          <w:rFonts w:cs="Tahoma"/>
        </w:rPr>
        <w:t xml:space="preserve"> </w:t>
      </w:r>
      <w:r>
        <w:rPr>
          <w:rFonts w:cs="Tahoma"/>
        </w:rPr>
        <w:lastRenderedPageBreak/>
        <w:t xml:space="preserve">are supported by the facts of the matter to </w:t>
      </w:r>
      <w:r w:rsidR="006408B9">
        <w:rPr>
          <w:rFonts w:cs="Tahoma"/>
        </w:rPr>
        <w:t>warrant</w:t>
      </w:r>
      <w:r>
        <w:rPr>
          <w:rFonts w:cs="Tahoma"/>
        </w:rPr>
        <w:t xml:space="preserve"> inte</w:t>
      </w:r>
      <w:r w:rsidR="006408B9">
        <w:rPr>
          <w:rFonts w:cs="Tahoma"/>
        </w:rPr>
        <w:t>rference by this court.  A reading</w:t>
      </w:r>
      <w:r>
        <w:rPr>
          <w:rFonts w:cs="Tahoma"/>
        </w:rPr>
        <w:t xml:space="preserve"> of </w:t>
      </w:r>
      <w:r w:rsidR="005B3ACF">
        <w:rPr>
          <w:rFonts w:cs="Tahoma"/>
        </w:rPr>
        <w:t xml:space="preserve">the arbitral award demonstrates clearly that the conclusion made by the arbitrator were at the backdrop of the </w:t>
      </w:r>
      <w:r w:rsidR="006408B9">
        <w:rPr>
          <w:rFonts w:cs="Tahoma"/>
        </w:rPr>
        <w:t>paucity o</w:t>
      </w:r>
      <w:r w:rsidR="005B3ACF">
        <w:rPr>
          <w:rFonts w:cs="Tahoma"/>
        </w:rPr>
        <w:t xml:space="preserve">f evidence from appellant to prove that indeed it did not </w:t>
      </w:r>
      <w:r w:rsidR="006408B9">
        <w:rPr>
          <w:rFonts w:cs="Tahoma"/>
        </w:rPr>
        <w:t>owe</w:t>
      </w:r>
      <w:r w:rsidR="005B3ACF">
        <w:rPr>
          <w:rFonts w:cs="Tahoma"/>
        </w:rPr>
        <w:t xml:space="preserve"> the respondents </w:t>
      </w:r>
      <w:r w:rsidR="006408B9">
        <w:rPr>
          <w:rFonts w:cs="Tahoma"/>
        </w:rPr>
        <w:t>the</w:t>
      </w:r>
      <w:r w:rsidR="005B3ACF">
        <w:rPr>
          <w:rFonts w:cs="Tahoma"/>
        </w:rPr>
        <w:t xml:space="preserve"> claimed housing allowance.  It i</w:t>
      </w:r>
      <w:r w:rsidR="006408B9">
        <w:rPr>
          <w:rFonts w:cs="Tahoma"/>
        </w:rPr>
        <w:t>s clear that the appellant had n</w:t>
      </w:r>
      <w:r w:rsidR="005B3ACF">
        <w:rPr>
          <w:rFonts w:cs="Tahoma"/>
        </w:rPr>
        <w:t xml:space="preserve">o defence to the claim </w:t>
      </w:r>
      <w:r w:rsidR="006408B9">
        <w:rPr>
          <w:rFonts w:cs="Tahoma"/>
        </w:rPr>
        <w:t>and it still does</w:t>
      </w:r>
      <w:r w:rsidR="005B3ACF">
        <w:rPr>
          <w:rFonts w:cs="Tahoma"/>
        </w:rPr>
        <w:t xml:space="preserve"> not have same even at this appeal stage.  There</w:t>
      </w:r>
      <w:r w:rsidR="006408B9">
        <w:rPr>
          <w:rFonts w:cs="Tahoma"/>
        </w:rPr>
        <w:t xml:space="preserve"> is therefore no basis at law on</w:t>
      </w:r>
      <w:r w:rsidR="005B3ACF">
        <w:rPr>
          <w:rFonts w:cs="Tahoma"/>
        </w:rPr>
        <w:t xml:space="preserve"> which this court can find that the arbitrator reasoning was outrageous to warrant interference by this court.  </w:t>
      </w:r>
    </w:p>
    <w:p w:rsidR="005B3ACF" w:rsidRDefault="005B3ACF" w:rsidP="00573215">
      <w:pPr>
        <w:jc w:val="both"/>
        <w:rPr>
          <w:rFonts w:cs="Tahoma"/>
        </w:rPr>
      </w:pPr>
    </w:p>
    <w:p w:rsidR="005B3ACF" w:rsidRDefault="005B3ACF" w:rsidP="00537F2E">
      <w:pPr>
        <w:spacing w:line="360" w:lineRule="auto"/>
        <w:jc w:val="both"/>
        <w:rPr>
          <w:rFonts w:cs="Tahoma"/>
        </w:rPr>
      </w:pPr>
      <w:r>
        <w:rPr>
          <w:rFonts w:cs="Tahoma"/>
        </w:rPr>
        <w:tab/>
        <w:t xml:space="preserve">It is apparent that the appellant is using the legal processes as a delaying tactic to discharge its </w:t>
      </w:r>
      <w:r w:rsidR="006408B9">
        <w:rPr>
          <w:rFonts w:cs="Tahoma"/>
        </w:rPr>
        <w:t>indebtedness</w:t>
      </w:r>
      <w:r>
        <w:rPr>
          <w:rFonts w:cs="Tahoma"/>
        </w:rPr>
        <w:t xml:space="preserve"> to the employees and the court </w:t>
      </w:r>
      <w:r w:rsidR="00573215">
        <w:rPr>
          <w:rFonts w:cs="Tahoma"/>
        </w:rPr>
        <w:t>cannot</w:t>
      </w:r>
      <w:r>
        <w:rPr>
          <w:rFonts w:cs="Tahoma"/>
        </w:rPr>
        <w:t xml:space="preserve"> </w:t>
      </w:r>
      <w:r w:rsidR="006408B9">
        <w:rPr>
          <w:rFonts w:cs="Tahoma"/>
        </w:rPr>
        <w:t>sanction</w:t>
      </w:r>
      <w:r>
        <w:rPr>
          <w:rFonts w:cs="Tahoma"/>
        </w:rPr>
        <w:t xml:space="preserve"> that</w:t>
      </w:r>
      <w:r w:rsidR="006408B9">
        <w:rPr>
          <w:rFonts w:cs="Tahoma"/>
        </w:rPr>
        <w:t>.</w:t>
      </w:r>
      <w:r>
        <w:rPr>
          <w:rFonts w:cs="Tahoma"/>
        </w:rPr>
        <w:t xml:space="preserve"> </w:t>
      </w:r>
      <w:r w:rsidR="006408B9">
        <w:rPr>
          <w:rFonts w:cs="Tahoma"/>
        </w:rPr>
        <w:t>The</w:t>
      </w:r>
      <w:r>
        <w:rPr>
          <w:rFonts w:cs="Tahoma"/>
        </w:rPr>
        <w:t xml:space="preserve"> appe</w:t>
      </w:r>
      <w:r w:rsidR="00ED047C">
        <w:rPr>
          <w:rFonts w:cs="Tahoma"/>
        </w:rPr>
        <w:t>al is not merited at all and it should accordingly fail.</w:t>
      </w:r>
    </w:p>
    <w:p w:rsidR="00ED047C" w:rsidRDefault="00ED047C" w:rsidP="00ED047C">
      <w:pPr>
        <w:jc w:val="both"/>
        <w:rPr>
          <w:rFonts w:cs="Tahoma"/>
        </w:rPr>
      </w:pPr>
    </w:p>
    <w:p w:rsidR="00ED047C" w:rsidRDefault="00ED047C" w:rsidP="00537F2E">
      <w:pPr>
        <w:spacing w:line="360" w:lineRule="auto"/>
        <w:jc w:val="both"/>
        <w:rPr>
          <w:rFonts w:cs="Tahoma"/>
        </w:rPr>
      </w:pPr>
      <w:r>
        <w:rPr>
          <w:rFonts w:cs="Tahoma"/>
        </w:rPr>
        <w:t xml:space="preserve">IT IS ORDERED THAT </w:t>
      </w:r>
    </w:p>
    <w:p w:rsidR="00ED047C" w:rsidRDefault="00ED047C" w:rsidP="00ED047C">
      <w:pPr>
        <w:jc w:val="both"/>
        <w:rPr>
          <w:rFonts w:cs="Tahoma"/>
        </w:rPr>
      </w:pPr>
    </w:p>
    <w:p w:rsidR="00ED047C" w:rsidRDefault="00ED047C" w:rsidP="00537F2E">
      <w:pPr>
        <w:spacing w:line="360" w:lineRule="auto"/>
        <w:jc w:val="both"/>
        <w:rPr>
          <w:rFonts w:cs="Tahoma"/>
        </w:rPr>
      </w:pPr>
      <w:r>
        <w:rPr>
          <w:rFonts w:cs="Tahoma"/>
        </w:rPr>
        <w:t>Appeal being devoid of merit in its entirety it be and is hereby dismissed with costs.</w:t>
      </w:r>
    </w:p>
    <w:p w:rsidR="00ED047C" w:rsidRDefault="00ED047C" w:rsidP="00537F2E">
      <w:pPr>
        <w:spacing w:line="360" w:lineRule="auto"/>
        <w:jc w:val="both"/>
        <w:rPr>
          <w:rFonts w:cs="Tahoma"/>
        </w:rPr>
      </w:pPr>
    </w:p>
    <w:p w:rsidR="00ED047C" w:rsidRDefault="00ED047C" w:rsidP="00537F2E">
      <w:pPr>
        <w:spacing w:line="360" w:lineRule="auto"/>
        <w:jc w:val="both"/>
        <w:rPr>
          <w:rFonts w:cs="Tahoma"/>
        </w:rPr>
      </w:pPr>
    </w:p>
    <w:p w:rsidR="00ED047C" w:rsidRDefault="00ED047C" w:rsidP="00537F2E">
      <w:pPr>
        <w:spacing w:line="360" w:lineRule="auto"/>
        <w:jc w:val="both"/>
        <w:rPr>
          <w:rFonts w:cs="Tahoma"/>
        </w:rPr>
      </w:pPr>
    </w:p>
    <w:p w:rsidR="00ED047C" w:rsidRDefault="00ED047C" w:rsidP="00537F2E">
      <w:pPr>
        <w:spacing w:line="360" w:lineRule="auto"/>
        <w:jc w:val="both"/>
        <w:rPr>
          <w:rFonts w:cs="Tahoma"/>
        </w:rPr>
      </w:pPr>
      <w:r w:rsidRPr="00ED047C">
        <w:rPr>
          <w:rFonts w:cs="Tahoma"/>
          <w:b/>
          <w:i/>
        </w:rPr>
        <w:t>MUSUNGA AND ASSOCIATES</w:t>
      </w:r>
      <w:r>
        <w:rPr>
          <w:rFonts w:cs="Tahoma"/>
        </w:rPr>
        <w:t>, Appellant’s legal practitioners</w:t>
      </w:r>
    </w:p>
    <w:p w:rsidR="00ED047C" w:rsidRPr="00537F2E" w:rsidRDefault="00ED047C" w:rsidP="00537F2E">
      <w:pPr>
        <w:spacing w:line="360" w:lineRule="auto"/>
        <w:jc w:val="both"/>
        <w:rPr>
          <w:rFonts w:cs="Tahoma"/>
        </w:rPr>
      </w:pPr>
      <w:r w:rsidRPr="00ED047C">
        <w:rPr>
          <w:rFonts w:cs="Tahoma"/>
          <w:b/>
          <w:i/>
        </w:rPr>
        <w:t>GOVERE LAW CHAMBERS</w:t>
      </w:r>
      <w:r>
        <w:rPr>
          <w:rFonts w:cs="Tahoma"/>
        </w:rPr>
        <w:t xml:space="preserve">, Respondents’ legal practitioners </w:t>
      </w:r>
    </w:p>
    <w:p w:rsidR="00537F2E" w:rsidRPr="00537F2E" w:rsidRDefault="00537F2E" w:rsidP="004911EE">
      <w:pPr>
        <w:spacing w:line="360" w:lineRule="auto"/>
        <w:jc w:val="both"/>
        <w:rPr>
          <w:rFonts w:cs="Tahoma"/>
        </w:rPr>
      </w:pPr>
    </w:p>
    <w:p w:rsidR="00537F2E" w:rsidRPr="00537F2E" w:rsidRDefault="00537F2E" w:rsidP="004911EE">
      <w:pPr>
        <w:spacing w:line="360" w:lineRule="auto"/>
        <w:jc w:val="both"/>
        <w:rPr>
          <w:rFonts w:cs="Tahoma"/>
        </w:rPr>
      </w:pPr>
      <w:r w:rsidRPr="00537F2E">
        <w:rPr>
          <w:rFonts w:cs="Tahoma"/>
        </w:rPr>
        <w:tab/>
      </w:r>
    </w:p>
    <w:sectPr w:rsidR="00537F2E" w:rsidRPr="00537F2E" w:rsidSect="00ED2A7F">
      <w:headerReference w:type="default" r:id="rId7"/>
      <w:footerReference w:type="default" r:id="rId8"/>
      <w:footerReference w:type="firs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AA7" w:rsidRDefault="00F27AA7" w:rsidP="00ED2A7F">
      <w:r>
        <w:separator/>
      </w:r>
    </w:p>
  </w:endnote>
  <w:endnote w:type="continuationSeparator" w:id="1">
    <w:p w:rsidR="00F27AA7" w:rsidRDefault="00F27AA7" w:rsidP="00ED2A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32289"/>
      <w:docPartObj>
        <w:docPartGallery w:val="Page Numbers (Bottom of Page)"/>
        <w:docPartUnique/>
      </w:docPartObj>
    </w:sdtPr>
    <w:sdtContent>
      <w:p w:rsidR="005B3ACF" w:rsidRDefault="00553ECD">
        <w:pPr>
          <w:pStyle w:val="Footer"/>
          <w:jc w:val="center"/>
        </w:pPr>
        <w:fldSimple w:instr=" PAGE   \* MERGEFORMAT ">
          <w:r w:rsidR="00141703">
            <w:rPr>
              <w:noProof/>
            </w:rPr>
            <w:t>2</w:t>
          </w:r>
        </w:fldSimple>
      </w:p>
    </w:sdtContent>
  </w:sdt>
  <w:p w:rsidR="005B3ACF" w:rsidRDefault="005B3AC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CF" w:rsidRDefault="005B3ACF">
    <w:pPr>
      <w:pStyle w:val="Footer"/>
      <w:jc w:val="center"/>
    </w:pPr>
  </w:p>
  <w:p w:rsidR="005B3ACF" w:rsidRDefault="005B3A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AA7" w:rsidRDefault="00F27AA7" w:rsidP="00ED2A7F">
      <w:r>
        <w:separator/>
      </w:r>
    </w:p>
  </w:footnote>
  <w:footnote w:type="continuationSeparator" w:id="1">
    <w:p w:rsidR="00F27AA7" w:rsidRDefault="00F27AA7" w:rsidP="00ED2A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CF" w:rsidRDefault="005B3ACF">
    <w:pPr>
      <w:pStyle w:val="Header"/>
    </w:pPr>
    <w:r>
      <w:tab/>
    </w:r>
    <w:r>
      <w:tab/>
      <w:t>JUDGMENT NO. LC/H/</w:t>
    </w:r>
    <w:r w:rsidR="00141703">
      <w:t>853</w:t>
    </w:r>
    <w:r>
      <w:t>/2014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745EBE"/>
    <w:multiLevelType w:val="hybridMultilevel"/>
    <w:tmpl w:val="29BA0A96"/>
    <w:lvl w:ilvl="0" w:tplc="4E6A903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D1C6D"/>
    <w:rsid w:val="00041A6E"/>
    <w:rsid w:val="00050854"/>
    <w:rsid w:val="000722FA"/>
    <w:rsid w:val="000734BB"/>
    <w:rsid w:val="000A1929"/>
    <w:rsid w:val="000B5806"/>
    <w:rsid w:val="001300C3"/>
    <w:rsid w:val="00141703"/>
    <w:rsid w:val="001A192A"/>
    <w:rsid w:val="00254AD5"/>
    <w:rsid w:val="00280E00"/>
    <w:rsid w:val="002862D6"/>
    <w:rsid w:val="002A6A30"/>
    <w:rsid w:val="003056AC"/>
    <w:rsid w:val="003224C1"/>
    <w:rsid w:val="00344F8E"/>
    <w:rsid w:val="003E2A6E"/>
    <w:rsid w:val="00404B35"/>
    <w:rsid w:val="004911EE"/>
    <w:rsid w:val="004F0AFA"/>
    <w:rsid w:val="00537F2E"/>
    <w:rsid w:val="00553ECD"/>
    <w:rsid w:val="00573215"/>
    <w:rsid w:val="005842E5"/>
    <w:rsid w:val="005B3ACF"/>
    <w:rsid w:val="005D50ED"/>
    <w:rsid w:val="00600597"/>
    <w:rsid w:val="006408B9"/>
    <w:rsid w:val="00651104"/>
    <w:rsid w:val="00657086"/>
    <w:rsid w:val="007939BA"/>
    <w:rsid w:val="007C2A17"/>
    <w:rsid w:val="007D1C6D"/>
    <w:rsid w:val="00920C93"/>
    <w:rsid w:val="009334DB"/>
    <w:rsid w:val="009C334F"/>
    <w:rsid w:val="00AF46E0"/>
    <w:rsid w:val="00B312C4"/>
    <w:rsid w:val="00B90958"/>
    <w:rsid w:val="00BC0061"/>
    <w:rsid w:val="00C17BAC"/>
    <w:rsid w:val="00C51CB9"/>
    <w:rsid w:val="00D62BFC"/>
    <w:rsid w:val="00D9045B"/>
    <w:rsid w:val="00E40913"/>
    <w:rsid w:val="00E618CB"/>
    <w:rsid w:val="00E61F2A"/>
    <w:rsid w:val="00ED047C"/>
    <w:rsid w:val="00ED2A7F"/>
    <w:rsid w:val="00F27AA7"/>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C6D"/>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334F"/>
    <w:pPr>
      <w:ind w:left="720"/>
      <w:contextualSpacing/>
    </w:pPr>
  </w:style>
  <w:style w:type="paragraph" w:styleId="Header">
    <w:name w:val="header"/>
    <w:basedOn w:val="Normal"/>
    <w:link w:val="HeaderChar"/>
    <w:uiPriority w:val="99"/>
    <w:semiHidden/>
    <w:unhideWhenUsed/>
    <w:rsid w:val="00ED2A7F"/>
    <w:pPr>
      <w:tabs>
        <w:tab w:val="center" w:pos="4513"/>
        <w:tab w:val="right" w:pos="9026"/>
      </w:tabs>
    </w:pPr>
  </w:style>
  <w:style w:type="character" w:customStyle="1" w:styleId="HeaderChar">
    <w:name w:val="Header Char"/>
    <w:basedOn w:val="DefaultParagraphFont"/>
    <w:link w:val="Header"/>
    <w:uiPriority w:val="99"/>
    <w:semiHidden/>
    <w:rsid w:val="00ED2A7F"/>
    <w:rPr>
      <w:rFonts w:ascii="Tahoma" w:eastAsia="Times New Roman" w:hAnsi="Tahoma" w:cs="Times New Roman"/>
      <w:sz w:val="24"/>
      <w:szCs w:val="24"/>
      <w:lang w:val="en-US"/>
    </w:rPr>
  </w:style>
  <w:style w:type="paragraph" w:styleId="Footer">
    <w:name w:val="footer"/>
    <w:basedOn w:val="Normal"/>
    <w:link w:val="FooterChar"/>
    <w:uiPriority w:val="99"/>
    <w:unhideWhenUsed/>
    <w:rsid w:val="00ED2A7F"/>
    <w:pPr>
      <w:tabs>
        <w:tab w:val="center" w:pos="4513"/>
        <w:tab w:val="right" w:pos="9026"/>
      </w:tabs>
    </w:pPr>
  </w:style>
  <w:style w:type="character" w:customStyle="1" w:styleId="FooterChar">
    <w:name w:val="Footer Char"/>
    <w:basedOn w:val="DefaultParagraphFont"/>
    <w:link w:val="Footer"/>
    <w:uiPriority w:val="99"/>
    <w:rsid w:val="00ED2A7F"/>
    <w:rPr>
      <w:rFonts w:ascii="Tahoma" w:eastAsia="Times New Roman" w:hAnsi="Tahoma"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DOBA</dc:creator>
  <cp:lastModifiedBy>LABOURCOURT</cp:lastModifiedBy>
  <cp:revision>6</cp:revision>
  <cp:lastPrinted>2014-12-17T14:19:00Z</cp:lastPrinted>
  <dcterms:created xsi:type="dcterms:W3CDTF">2014-12-08T06:24:00Z</dcterms:created>
  <dcterms:modified xsi:type="dcterms:W3CDTF">2014-12-17T14:22:00Z</dcterms:modified>
</cp:coreProperties>
</file>