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A01755" w14:textId="46946C9C" w:rsidR="0016555C" w:rsidRDefault="0016555C" w:rsidP="0016555C">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RUMBIDZAI PRIMROSE TAGARIRA</w:t>
      </w:r>
    </w:p>
    <w:p w14:paraId="7622D4C9" w14:textId="77777777" w:rsidR="0016555C" w:rsidRPr="00D05F18" w:rsidRDefault="0016555C" w:rsidP="001655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14:paraId="70069054" w14:textId="0D1A58B3" w:rsidR="0016555C" w:rsidRDefault="0016555C" w:rsidP="001655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VIMBAISHE MUNGARAZA</w:t>
      </w:r>
    </w:p>
    <w:p w14:paraId="03785BFE" w14:textId="77777777" w:rsidR="0016555C" w:rsidRPr="00D05F18" w:rsidRDefault="0016555C" w:rsidP="001655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r w:rsidRPr="00D05F18">
        <w:rPr>
          <w:rFonts w:ascii="Times New Roman" w:hAnsi="Times New Roman" w:cs="Times New Roman"/>
          <w:sz w:val="24"/>
          <w:szCs w:val="24"/>
        </w:rPr>
        <w:t xml:space="preserve">                                                                  </w:t>
      </w:r>
    </w:p>
    <w:p w14:paraId="36DE0452" w14:textId="56200A26" w:rsidR="0016555C" w:rsidRDefault="0016555C" w:rsidP="001655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KARIBA TOWN COUNCIL</w:t>
      </w:r>
    </w:p>
    <w:p w14:paraId="70ABA67A" w14:textId="77777777" w:rsidR="0016555C" w:rsidRDefault="0016555C" w:rsidP="0016555C">
      <w:pPr>
        <w:spacing w:after="0" w:line="240" w:lineRule="auto"/>
        <w:jc w:val="both"/>
        <w:rPr>
          <w:rFonts w:ascii="Times New Roman" w:hAnsi="Times New Roman" w:cs="Times New Roman"/>
          <w:sz w:val="24"/>
          <w:szCs w:val="24"/>
        </w:rPr>
      </w:pPr>
    </w:p>
    <w:p w14:paraId="24450738" w14:textId="77777777" w:rsidR="0016555C" w:rsidRDefault="0016555C" w:rsidP="0016555C">
      <w:pPr>
        <w:spacing w:after="0" w:line="240" w:lineRule="auto"/>
        <w:jc w:val="both"/>
        <w:rPr>
          <w:rFonts w:ascii="Times New Roman" w:hAnsi="Times New Roman" w:cs="Times New Roman"/>
          <w:sz w:val="24"/>
          <w:szCs w:val="24"/>
        </w:rPr>
      </w:pPr>
    </w:p>
    <w:p w14:paraId="7E588CFC" w14:textId="77777777" w:rsidR="0016555C" w:rsidRDefault="0016555C" w:rsidP="001655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14:paraId="26259F87" w14:textId="77777777" w:rsidR="0016555C" w:rsidRPr="00E207DB" w:rsidRDefault="0016555C" w:rsidP="0016555C">
      <w:pPr>
        <w:spacing w:after="0" w:line="240" w:lineRule="auto"/>
        <w:jc w:val="both"/>
        <w:rPr>
          <w:rFonts w:ascii="Times New Roman" w:hAnsi="Times New Roman" w:cs="Times New Roman"/>
          <w:b/>
          <w:bCs/>
          <w:sz w:val="24"/>
          <w:szCs w:val="24"/>
        </w:rPr>
      </w:pPr>
      <w:r w:rsidRPr="00E207DB">
        <w:rPr>
          <w:rFonts w:ascii="Times New Roman" w:hAnsi="Times New Roman" w:cs="Times New Roman"/>
          <w:b/>
          <w:bCs/>
          <w:sz w:val="24"/>
          <w:szCs w:val="24"/>
        </w:rPr>
        <w:t>MAXWELL J</w:t>
      </w:r>
    </w:p>
    <w:p w14:paraId="0C65BAD0" w14:textId="26A4EE2C" w:rsidR="0016555C" w:rsidRDefault="0016555C" w:rsidP="001655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HARARE; 12 November 2025 </w:t>
      </w:r>
      <w:r w:rsidR="0021510B">
        <w:rPr>
          <w:rFonts w:ascii="Times New Roman" w:hAnsi="Times New Roman" w:cs="Times New Roman"/>
          <w:sz w:val="24"/>
          <w:szCs w:val="24"/>
        </w:rPr>
        <w:t>&amp; 27 February 2026</w:t>
      </w:r>
    </w:p>
    <w:p w14:paraId="35BC7CF4" w14:textId="77777777" w:rsidR="0016555C" w:rsidRDefault="0016555C" w:rsidP="0016555C">
      <w:pPr>
        <w:spacing w:after="0" w:line="240" w:lineRule="auto"/>
        <w:jc w:val="both"/>
        <w:rPr>
          <w:rFonts w:ascii="Times New Roman" w:hAnsi="Times New Roman" w:cs="Times New Roman"/>
          <w:sz w:val="24"/>
          <w:szCs w:val="24"/>
        </w:rPr>
      </w:pPr>
    </w:p>
    <w:p w14:paraId="1B1269BF" w14:textId="77777777" w:rsidR="0016555C" w:rsidRDefault="0016555C" w:rsidP="0016555C">
      <w:pPr>
        <w:spacing w:line="240" w:lineRule="auto"/>
        <w:rPr>
          <w:rFonts w:ascii="Times New Roman" w:hAnsi="Times New Roman" w:cs="Times New Roman"/>
          <w:sz w:val="24"/>
          <w:szCs w:val="24"/>
        </w:rPr>
      </w:pPr>
    </w:p>
    <w:p w14:paraId="2C6F7458" w14:textId="5FDB6FA0" w:rsidR="0016555C" w:rsidRPr="00805A96" w:rsidRDefault="0016555C" w:rsidP="0016555C">
      <w:pPr>
        <w:spacing w:line="240" w:lineRule="auto"/>
        <w:rPr>
          <w:rFonts w:ascii="Times New Roman" w:hAnsi="Times New Roman" w:cs="Times New Roman"/>
          <w:b/>
          <w:bCs/>
          <w:sz w:val="24"/>
          <w:szCs w:val="24"/>
        </w:rPr>
      </w:pPr>
      <w:r>
        <w:rPr>
          <w:rFonts w:ascii="Times New Roman" w:hAnsi="Times New Roman" w:cs="Times New Roman"/>
          <w:b/>
          <w:bCs/>
          <w:sz w:val="24"/>
          <w:szCs w:val="24"/>
        </w:rPr>
        <w:t>Preliminary Points-</w:t>
      </w:r>
      <w:proofErr w:type="spellStart"/>
      <w:r>
        <w:rPr>
          <w:rFonts w:ascii="Times New Roman" w:hAnsi="Times New Roman" w:cs="Times New Roman"/>
          <w:b/>
          <w:bCs/>
          <w:sz w:val="24"/>
          <w:szCs w:val="24"/>
        </w:rPr>
        <w:t>Declaratur</w:t>
      </w:r>
      <w:proofErr w:type="spellEnd"/>
    </w:p>
    <w:p w14:paraId="4ACF1109" w14:textId="77777777" w:rsidR="0016555C" w:rsidRDefault="0016555C" w:rsidP="0016555C">
      <w:pPr>
        <w:spacing w:line="240" w:lineRule="auto"/>
        <w:rPr>
          <w:rFonts w:ascii="Times New Roman" w:hAnsi="Times New Roman" w:cs="Times New Roman"/>
          <w:sz w:val="24"/>
          <w:szCs w:val="24"/>
        </w:rPr>
      </w:pPr>
    </w:p>
    <w:p w14:paraId="04CD6189" w14:textId="0FDB642E" w:rsidR="0016555C" w:rsidRDefault="0016555C" w:rsidP="0016555C">
      <w:pPr>
        <w:spacing w:after="0" w:line="240" w:lineRule="exact"/>
        <w:rPr>
          <w:rFonts w:ascii="Times New Roman" w:hAnsi="Times New Roman" w:cs="Times New Roman"/>
          <w:sz w:val="24"/>
          <w:szCs w:val="24"/>
        </w:rPr>
      </w:pPr>
      <w:r>
        <w:rPr>
          <w:rFonts w:ascii="Times New Roman" w:hAnsi="Times New Roman" w:cs="Times New Roman"/>
          <w:i/>
          <w:iCs/>
          <w:sz w:val="24"/>
          <w:szCs w:val="24"/>
        </w:rPr>
        <w:t>R Madondo</w:t>
      </w:r>
      <w:r w:rsidRPr="0016555C">
        <w:rPr>
          <w:rFonts w:ascii="Times New Roman" w:hAnsi="Times New Roman" w:cs="Times New Roman"/>
          <w:sz w:val="24"/>
          <w:szCs w:val="24"/>
        </w:rPr>
        <w:t>, for the applicant</w:t>
      </w:r>
    </w:p>
    <w:p w14:paraId="56238163" w14:textId="7C3683A3" w:rsidR="0016555C" w:rsidRDefault="0016555C" w:rsidP="0016555C">
      <w:pPr>
        <w:spacing w:after="0" w:line="240" w:lineRule="exact"/>
        <w:rPr>
          <w:rFonts w:ascii="Times New Roman" w:hAnsi="Times New Roman" w:cs="Times New Roman"/>
          <w:i/>
          <w:iCs/>
          <w:sz w:val="24"/>
          <w:szCs w:val="24"/>
        </w:rPr>
      </w:pPr>
      <w:r>
        <w:rPr>
          <w:rFonts w:ascii="Times New Roman" w:hAnsi="Times New Roman" w:cs="Times New Roman"/>
          <w:i/>
          <w:iCs/>
          <w:sz w:val="24"/>
          <w:szCs w:val="24"/>
        </w:rPr>
        <w:t xml:space="preserve">K </w:t>
      </w:r>
      <w:proofErr w:type="spellStart"/>
      <w:r>
        <w:rPr>
          <w:rFonts w:ascii="Times New Roman" w:hAnsi="Times New Roman" w:cs="Times New Roman"/>
          <w:i/>
          <w:iCs/>
          <w:sz w:val="24"/>
          <w:szCs w:val="24"/>
        </w:rPr>
        <w:t>Tundu</w:t>
      </w:r>
      <w:proofErr w:type="spellEnd"/>
      <w:r>
        <w:rPr>
          <w:rFonts w:ascii="Times New Roman" w:hAnsi="Times New Roman" w:cs="Times New Roman"/>
          <w:i/>
          <w:iCs/>
          <w:sz w:val="24"/>
          <w:szCs w:val="24"/>
        </w:rPr>
        <w:t xml:space="preserve">, </w:t>
      </w:r>
      <w:r w:rsidRPr="0016555C">
        <w:rPr>
          <w:rFonts w:ascii="Times New Roman" w:hAnsi="Times New Roman" w:cs="Times New Roman"/>
          <w:sz w:val="24"/>
          <w:szCs w:val="24"/>
        </w:rPr>
        <w:t>for the 1</w:t>
      </w:r>
      <w:r w:rsidRPr="0016555C">
        <w:rPr>
          <w:rFonts w:ascii="Times New Roman" w:hAnsi="Times New Roman" w:cs="Times New Roman"/>
          <w:sz w:val="24"/>
          <w:szCs w:val="24"/>
          <w:vertAlign w:val="superscript"/>
        </w:rPr>
        <w:t>st</w:t>
      </w:r>
      <w:r w:rsidRPr="0016555C">
        <w:rPr>
          <w:rFonts w:ascii="Times New Roman" w:hAnsi="Times New Roman" w:cs="Times New Roman"/>
          <w:sz w:val="24"/>
          <w:szCs w:val="24"/>
        </w:rPr>
        <w:t xml:space="preserve"> respondent</w:t>
      </w:r>
    </w:p>
    <w:p w14:paraId="06B54213" w14:textId="18E0BE09" w:rsidR="0016555C" w:rsidRDefault="0016555C" w:rsidP="0016555C">
      <w:pPr>
        <w:spacing w:after="0" w:line="240" w:lineRule="exact"/>
        <w:rPr>
          <w:rFonts w:ascii="Times New Roman" w:hAnsi="Times New Roman" w:cs="Times New Roman"/>
          <w:sz w:val="24"/>
          <w:szCs w:val="24"/>
        </w:rPr>
      </w:pPr>
      <w:r w:rsidRPr="0016555C">
        <w:rPr>
          <w:rFonts w:ascii="Times New Roman" w:hAnsi="Times New Roman" w:cs="Times New Roman"/>
          <w:sz w:val="24"/>
          <w:szCs w:val="24"/>
        </w:rPr>
        <w:t>No appearance for the 2</w:t>
      </w:r>
      <w:r w:rsidRPr="0016555C">
        <w:rPr>
          <w:rFonts w:ascii="Times New Roman" w:hAnsi="Times New Roman" w:cs="Times New Roman"/>
          <w:sz w:val="24"/>
          <w:szCs w:val="24"/>
          <w:vertAlign w:val="superscript"/>
        </w:rPr>
        <w:t>nd</w:t>
      </w:r>
      <w:r w:rsidRPr="0016555C">
        <w:rPr>
          <w:rFonts w:ascii="Times New Roman" w:hAnsi="Times New Roman" w:cs="Times New Roman"/>
          <w:sz w:val="24"/>
          <w:szCs w:val="24"/>
        </w:rPr>
        <w:t xml:space="preserve"> respondent</w:t>
      </w:r>
    </w:p>
    <w:p w14:paraId="402248E1" w14:textId="77777777" w:rsidR="0016555C" w:rsidRPr="0016555C" w:rsidRDefault="0016555C" w:rsidP="0016555C">
      <w:pPr>
        <w:spacing w:after="0" w:line="240" w:lineRule="exact"/>
        <w:rPr>
          <w:rFonts w:ascii="Times New Roman" w:hAnsi="Times New Roman" w:cs="Times New Roman"/>
          <w:sz w:val="24"/>
          <w:szCs w:val="24"/>
        </w:rPr>
      </w:pPr>
    </w:p>
    <w:p w14:paraId="2B278AC8" w14:textId="77777777" w:rsidR="0016555C" w:rsidRDefault="0016555C" w:rsidP="0016555C">
      <w:pPr>
        <w:spacing w:line="240" w:lineRule="auto"/>
        <w:rPr>
          <w:rFonts w:ascii="Times New Roman" w:hAnsi="Times New Roman" w:cs="Times New Roman"/>
          <w:sz w:val="24"/>
          <w:szCs w:val="24"/>
        </w:rPr>
      </w:pPr>
    </w:p>
    <w:p w14:paraId="2703F000" w14:textId="62CED417" w:rsidR="0016555C" w:rsidRDefault="0016555C" w:rsidP="0016555C">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MAXWELL J:  </w:t>
      </w:r>
      <w:r w:rsidR="001D5E5F">
        <w:rPr>
          <w:rFonts w:ascii="Times New Roman" w:hAnsi="Times New Roman" w:cs="Times New Roman"/>
          <w:sz w:val="24"/>
          <w:szCs w:val="24"/>
        </w:rPr>
        <w:t>Applicant approached the court seeking the following order.</w:t>
      </w:r>
    </w:p>
    <w:p w14:paraId="4E168100" w14:textId="654DFC32" w:rsidR="001D5E5F" w:rsidRDefault="001D5E5F" w:rsidP="009A53D6">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“IT IS ORDERED THAT</w:t>
      </w:r>
    </w:p>
    <w:p w14:paraId="1840869B" w14:textId="1CF82B66" w:rsidR="001D5E5F" w:rsidRDefault="001D5E5F" w:rsidP="009A53D6">
      <w:pPr>
        <w:pStyle w:val="ListParagraph"/>
        <w:numPr>
          <w:ilvl w:val="0"/>
          <w:numId w:val="1"/>
        </w:numPr>
        <w:spacing w:line="240" w:lineRule="auto"/>
        <w:jc w:val="both"/>
        <w:rPr>
          <w:rFonts w:ascii="Times New Roman" w:hAnsi="Times New Roman" w:cs="Times New Roman"/>
        </w:rPr>
      </w:pPr>
      <w:r>
        <w:rPr>
          <w:rFonts w:ascii="Times New Roman" w:hAnsi="Times New Roman" w:cs="Times New Roman"/>
        </w:rPr>
        <w:t xml:space="preserve">The </w:t>
      </w:r>
      <w:r w:rsidR="009B03BC">
        <w:rPr>
          <w:rFonts w:ascii="Times New Roman" w:hAnsi="Times New Roman" w:cs="Times New Roman"/>
        </w:rPr>
        <w:t xml:space="preserve">agreement signed between Miriam </w:t>
      </w:r>
      <w:proofErr w:type="spellStart"/>
      <w:r w:rsidR="009B03BC">
        <w:rPr>
          <w:rFonts w:ascii="Times New Roman" w:hAnsi="Times New Roman" w:cs="Times New Roman"/>
        </w:rPr>
        <w:t>Chinake</w:t>
      </w:r>
      <w:proofErr w:type="spellEnd"/>
      <w:r w:rsidR="009B03BC">
        <w:rPr>
          <w:rFonts w:ascii="Times New Roman" w:hAnsi="Times New Roman" w:cs="Times New Roman"/>
        </w:rPr>
        <w:t xml:space="preserve"> and </w:t>
      </w:r>
      <w:proofErr w:type="spellStart"/>
      <w:r w:rsidR="009B03BC">
        <w:rPr>
          <w:rFonts w:ascii="Times New Roman" w:hAnsi="Times New Roman" w:cs="Times New Roman"/>
        </w:rPr>
        <w:t>Banabas</w:t>
      </w:r>
      <w:proofErr w:type="spellEnd"/>
      <w:r w:rsidR="009B03BC">
        <w:rPr>
          <w:rFonts w:ascii="Times New Roman" w:hAnsi="Times New Roman" w:cs="Times New Roman"/>
        </w:rPr>
        <w:t xml:space="preserve"> </w:t>
      </w:r>
      <w:proofErr w:type="spellStart"/>
      <w:r w:rsidR="009B03BC">
        <w:rPr>
          <w:rFonts w:ascii="Times New Roman" w:hAnsi="Times New Roman" w:cs="Times New Roman"/>
        </w:rPr>
        <w:t>Taderera</w:t>
      </w:r>
      <w:proofErr w:type="spellEnd"/>
      <w:r w:rsidR="009B03BC">
        <w:rPr>
          <w:rFonts w:ascii="Times New Roman" w:hAnsi="Times New Roman" w:cs="Times New Roman"/>
        </w:rPr>
        <w:t xml:space="preserve"> ceding the minor child Patience Tagarira’s right, title ad interest</w:t>
      </w:r>
      <w:r w:rsidR="002F18A7">
        <w:rPr>
          <w:rFonts w:ascii="Times New Roman" w:hAnsi="Times New Roman" w:cs="Times New Roman"/>
        </w:rPr>
        <w:t xml:space="preserve"> in stand No. 490 Nyamhunga Township Kariba, to </w:t>
      </w:r>
      <w:proofErr w:type="spellStart"/>
      <w:r w:rsidR="002F18A7">
        <w:rPr>
          <w:rFonts w:ascii="Times New Roman" w:hAnsi="Times New Roman" w:cs="Times New Roman"/>
        </w:rPr>
        <w:t>Banabas</w:t>
      </w:r>
      <w:proofErr w:type="spellEnd"/>
      <w:r w:rsidR="002F18A7">
        <w:rPr>
          <w:rFonts w:ascii="Times New Roman" w:hAnsi="Times New Roman" w:cs="Times New Roman"/>
        </w:rPr>
        <w:t xml:space="preserve"> </w:t>
      </w:r>
      <w:proofErr w:type="spellStart"/>
      <w:r w:rsidR="002F18A7">
        <w:rPr>
          <w:rFonts w:ascii="Times New Roman" w:hAnsi="Times New Roman" w:cs="Times New Roman"/>
        </w:rPr>
        <w:t>Taderera</w:t>
      </w:r>
      <w:proofErr w:type="spellEnd"/>
      <w:r w:rsidR="002F18A7">
        <w:rPr>
          <w:rFonts w:ascii="Times New Roman" w:hAnsi="Times New Roman" w:cs="Times New Roman"/>
        </w:rPr>
        <w:t xml:space="preserve"> be and is hereby declared null and void.</w:t>
      </w:r>
    </w:p>
    <w:p w14:paraId="298E4816" w14:textId="6F965D38" w:rsidR="002F18A7" w:rsidRDefault="002F18A7" w:rsidP="009A53D6">
      <w:pPr>
        <w:pStyle w:val="ListParagraph"/>
        <w:numPr>
          <w:ilvl w:val="0"/>
          <w:numId w:val="1"/>
        </w:numPr>
        <w:spacing w:line="240" w:lineRule="auto"/>
        <w:jc w:val="both"/>
        <w:rPr>
          <w:rFonts w:ascii="Times New Roman" w:hAnsi="Times New Roman" w:cs="Times New Roman"/>
        </w:rPr>
      </w:pPr>
      <w:r>
        <w:rPr>
          <w:rFonts w:ascii="Times New Roman" w:hAnsi="Times New Roman" w:cs="Times New Roman"/>
        </w:rPr>
        <w:t xml:space="preserve">The second respondent and all those claiming through her </w:t>
      </w:r>
      <w:r w:rsidR="00875DB2">
        <w:rPr>
          <w:rFonts w:ascii="Times New Roman" w:hAnsi="Times New Roman" w:cs="Times New Roman"/>
        </w:rPr>
        <w:t xml:space="preserve">and or through the late </w:t>
      </w:r>
      <w:proofErr w:type="spellStart"/>
      <w:r w:rsidR="00875DB2">
        <w:rPr>
          <w:rFonts w:ascii="Times New Roman" w:hAnsi="Times New Roman" w:cs="Times New Roman"/>
        </w:rPr>
        <w:t>Banabas</w:t>
      </w:r>
      <w:proofErr w:type="spellEnd"/>
      <w:r w:rsidR="00875DB2">
        <w:rPr>
          <w:rFonts w:ascii="Times New Roman" w:hAnsi="Times New Roman" w:cs="Times New Roman"/>
        </w:rPr>
        <w:t xml:space="preserve"> </w:t>
      </w:r>
      <w:proofErr w:type="spellStart"/>
      <w:r w:rsidR="00875DB2">
        <w:rPr>
          <w:rFonts w:ascii="Times New Roman" w:hAnsi="Times New Roman" w:cs="Times New Roman"/>
        </w:rPr>
        <w:t>Tanderera</w:t>
      </w:r>
      <w:proofErr w:type="spellEnd"/>
      <w:r w:rsidR="00875DB2">
        <w:rPr>
          <w:rFonts w:ascii="Times New Roman" w:hAnsi="Times New Roman" w:cs="Times New Roman"/>
        </w:rPr>
        <w:t xml:space="preserve">, shall vacate </w:t>
      </w:r>
      <w:r w:rsidR="00D119B3">
        <w:rPr>
          <w:rFonts w:ascii="Times New Roman" w:hAnsi="Times New Roman" w:cs="Times New Roman"/>
        </w:rPr>
        <w:t>stand Number 490</w:t>
      </w:r>
      <w:r w:rsidR="003F15F1">
        <w:rPr>
          <w:rFonts w:ascii="Times New Roman" w:hAnsi="Times New Roman" w:cs="Times New Roman"/>
        </w:rPr>
        <w:t xml:space="preserve"> Nyamhunga Township Kariba on service of this order failing which the Sheriff </w:t>
      </w:r>
      <w:r w:rsidR="007D2E7D">
        <w:rPr>
          <w:rFonts w:ascii="Times New Roman" w:hAnsi="Times New Roman" w:cs="Times New Roman"/>
        </w:rPr>
        <w:t>of the High Court of Zimbabwe shall evict them.</w:t>
      </w:r>
    </w:p>
    <w:p w14:paraId="1FDC1807" w14:textId="2051DA57" w:rsidR="007D2E7D" w:rsidRDefault="006247CE" w:rsidP="009A53D6">
      <w:pPr>
        <w:pStyle w:val="ListParagraph"/>
        <w:numPr>
          <w:ilvl w:val="0"/>
          <w:numId w:val="1"/>
        </w:numPr>
        <w:spacing w:line="240" w:lineRule="auto"/>
        <w:jc w:val="both"/>
        <w:rPr>
          <w:rFonts w:ascii="Times New Roman" w:hAnsi="Times New Roman" w:cs="Times New Roman"/>
        </w:rPr>
      </w:pPr>
      <w:r>
        <w:rPr>
          <w:rFonts w:ascii="Times New Roman" w:hAnsi="Times New Roman" w:cs="Times New Roman"/>
        </w:rPr>
        <w:t xml:space="preserve">The third respondent </w:t>
      </w:r>
      <w:r w:rsidR="003C01F4">
        <w:rPr>
          <w:rFonts w:ascii="Times New Roman" w:hAnsi="Times New Roman" w:cs="Times New Roman"/>
        </w:rPr>
        <w:t xml:space="preserve">shall upon satisfaction of its cession requirements </w:t>
      </w:r>
      <w:r w:rsidR="00FD67A4">
        <w:rPr>
          <w:rFonts w:ascii="Times New Roman" w:hAnsi="Times New Roman" w:cs="Times New Roman"/>
        </w:rPr>
        <w:t>cede the late Patience Tagarira’s right, title and interest in stand No 490 Nyamhunga Township to the applicant</w:t>
      </w:r>
      <w:r w:rsidR="0021510B">
        <w:rPr>
          <w:rFonts w:ascii="Times New Roman" w:hAnsi="Times New Roman" w:cs="Times New Roman"/>
        </w:rPr>
        <w:t>,</w:t>
      </w:r>
      <w:r w:rsidR="00FD67A4">
        <w:rPr>
          <w:rFonts w:ascii="Times New Roman" w:hAnsi="Times New Roman" w:cs="Times New Roman"/>
        </w:rPr>
        <w:t xml:space="preserve"> </w:t>
      </w:r>
      <w:proofErr w:type="spellStart"/>
      <w:r w:rsidR="00FD67A4">
        <w:rPr>
          <w:rFonts w:ascii="Times New Roman" w:hAnsi="Times New Roman" w:cs="Times New Roman"/>
        </w:rPr>
        <w:t>Wadzanai</w:t>
      </w:r>
      <w:proofErr w:type="spellEnd"/>
      <w:r w:rsidR="00FD67A4">
        <w:rPr>
          <w:rFonts w:ascii="Times New Roman" w:hAnsi="Times New Roman" w:cs="Times New Roman"/>
        </w:rPr>
        <w:t xml:space="preserve"> </w:t>
      </w:r>
      <w:proofErr w:type="spellStart"/>
      <w:r w:rsidR="00FD67A4">
        <w:rPr>
          <w:rFonts w:ascii="Times New Roman" w:hAnsi="Times New Roman" w:cs="Times New Roman"/>
        </w:rPr>
        <w:t>EdithTagarira</w:t>
      </w:r>
      <w:proofErr w:type="spellEnd"/>
      <w:r w:rsidR="00FD67A4">
        <w:rPr>
          <w:rFonts w:ascii="Times New Roman" w:hAnsi="Times New Roman" w:cs="Times New Roman"/>
        </w:rPr>
        <w:t xml:space="preserve"> and </w:t>
      </w:r>
      <w:proofErr w:type="spellStart"/>
      <w:r w:rsidR="00FD67A4">
        <w:rPr>
          <w:rFonts w:ascii="Times New Roman" w:hAnsi="Times New Roman" w:cs="Times New Roman"/>
        </w:rPr>
        <w:t>TaropafadzwaTagarira</w:t>
      </w:r>
      <w:proofErr w:type="spellEnd"/>
      <w:r w:rsidR="00FD67A4">
        <w:rPr>
          <w:rFonts w:ascii="Times New Roman" w:hAnsi="Times New Roman" w:cs="Times New Roman"/>
        </w:rPr>
        <w:t xml:space="preserve"> in equal shares.</w:t>
      </w:r>
    </w:p>
    <w:p w14:paraId="26810CE5" w14:textId="0BAFBBD4" w:rsidR="00FD67A4" w:rsidRDefault="00FD67A4" w:rsidP="009A53D6">
      <w:pPr>
        <w:pStyle w:val="ListParagraph"/>
        <w:numPr>
          <w:ilvl w:val="0"/>
          <w:numId w:val="1"/>
        </w:numPr>
        <w:spacing w:line="240" w:lineRule="auto"/>
        <w:jc w:val="both"/>
        <w:rPr>
          <w:rFonts w:ascii="Times New Roman" w:hAnsi="Times New Roman" w:cs="Times New Roman"/>
        </w:rPr>
      </w:pPr>
      <w:r>
        <w:rPr>
          <w:rFonts w:ascii="Times New Roman" w:hAnsi="Times New Roman" w:cs="Times New Roman"/>
        </w:rPr>
        <w:t>The first respondent shall pay the costs of this application on a legal practitioner client scale.”</w:t>
      </w:r>
    </w:p>
    <w:p w14:paraId="0B5AFFBA" w14:textId="449A1BD7" w:rsidR="00B33CFC" w:rsidRDefault="00FD67A4" w:rsidP="00B33CFC">
      <w:pPr>
        <w:spacing w:after="0" w:line="360" w:lineRule="auto"/>
        <w:ind w:firstLine="720"/>
        <w:jc w:val="both"/>
        <w:rPr>
          <w:rFonts w:ascii="Times New Roman" w:hAnsi="Times New Roman" w:cs="Times New Roman"/>
          <w:sz w:val="24"/>
          <w:szCs w:val="24"/>
        </w:rPr>
      </w:pPr>
      <w:r w:rsidRPr="00FD67A4">
        <w:rPr>
          <w:rFonts w:ascii="Times New Roman" w:hAnsi="Times New Roman" w:cs="Times New Roman"/>
          <w:sz w:val="24"/>
          <w:szCs w:val="24"/>
        </w:rPr>
        <w:t xml:space="preserve">Applicant </w:t>
      </w:r>
      <w:r>
        <w:rPr>
          <w:rFonts w:ascii="Times New Roman" w:hAnsi="Times New Roman" w:cs="Times New Roman"/>
          <w:sz w:val="24"/>
          <w:szCs w:val="24"/>
        </w:rPr>
        <w:t xml:space="preserve">stated in the Founding Affidavit </w:t>
      </w:r>
      <w:r w:rsidR="0064215D">
        <w:rPr>
          <w:rFonts w:ascii="Times New Roman" w:hAnsi="Times New Roman" w:cs="Times New Roman"/>
          <w:sz w:val="24"/>
          <w:szCs w:val="24"/>
        </w:rPr>
        <w:t xml:space="preserve">that she was appointed the executrix in the estate of her paternal cousin, Patience Tagarira on 10 </w:t>
      </w:r>
      <w:r w:rsidR="00C95142">
        <w:rPr>
          <w:rFonts w:ascii="Times New Roman" w:hAnsi="Times New Roman" w:cs="Times New Roman"/>
          <w:sz w:val="24"/>
          <w:szCs w:val="24"/>
        </w:rPr>
        <w:t>July 2013.  Patience Tagarira passed on in Kadoma on 15 November 2003.  On 4 August 1999 the late Patience’s mother Miriam Chinake</w:t>
      </w:r>
      <w:r w:rsidR="0021510B">
        <w:rPr>
          <w:rFonts w:ascii="Times New Roman" w:hAnsi="Times New Roman" w:cs="Times New Roman"/>
          <w:sz w:val="24"/>
          <w:szCs w:val="24"/>
        </w:rPr>
        <w:t xml:space="preserve"> </w:t>
      </w:r>
      <w:r w:rsidR="003C7ED0">
        <w:rPr>
          <w:rFonts w:ascii="Times New Roman" w:hAnsi="Times New Roman" w:cs="Times New Roman"/>
          <w:sz w:val="24"/>
          <w:szCs w:val="24"/>
        </w:rPr>
        <w:t xml:space="preserve">who is now deceased purported to sale stand Number 490 Nyamhunga Township Kariba to one Barnabas </w:t>
      </w:r>
      <w:r w:rsidR="00162BD0">
        <w:rPr>
          <w:rFonts w:ascii="Times New Roman" w:hAnsi="Times New Roman" w:cs="Times New Roman"/>
          <w:sz w:val="24"/>
          <w:szCs w:val="24"/>
        </w:rPr>
        <w:t xml:space="preserve">Taderera.  At the time of the purported sale, stand Number 490 Nyamhunga Township Kariba belonged to Patience Tagarira who was a minor.  The stand </w:t>
      </w:r>
      <w:r w:rsidR="00B33CFC">
        <w:rPr>
          <w:rFonts w:ascii="Times New Roman" w:hAnsi="Times New Roman" w:cs="Times New Roman"/>
          <w:sz w:val="24"/>
          <w:szCs w:val="24"/>
        </w:rPr>
        <w:t xml:space="preserve">is still registered in the late </w:t>
      </w:r>
      <w:r w:rsidR="00B33CFC">
        <w:rPr>
          <w:rFonts w:ascii="Times New Roman" w:hAnsi="Times New Roman" w:cs="Times New Roman"/>
          <w:sz w:val="24"/>
          <w:szCs w:val="24"/>
        </w:rPr>
        <w:lastRenderedPageBreak/>
        <w:t xml:space="preserve">Patience Tagarira’s name.  </w:t>
      </w:r>
      <w:r w:rsidR="0022763A">
        <w:rPr>
          <w:rFonts w:ascii="Times New Roman" w:hAnsi="Times New Roman" w:cs="Times New Roman"/>
          <w:sz w:val="24"/>
          <w:szCs w:val="24"/>
        </w:rPr>
        <w:t>T</w:t>
      </w:r>
      <w:r w:rsidR="00B33CFC">
        <w:rPr>
          <w:rFonts w:ascii="Times New Roman" w:hAnsi="Times New Roman" w:cs="Times New Roman"/>
          <w:sz w:val="24"/>
          <w:szCs w:val="24"/>
        </w:rPr>
        <w:t>he late Barnabas Taderera</w:t>
      </w:r>
      <w:r w:rsidR="0022763A">
        <w:rPr>
          <w:rFonts w:ascii="Times New Roman" w:hAnsi="Times New Roman" w:cs="Times New Roman"/>
          <w:sz w:val="24"/>
          <w:szCs w:val="24"/>
        </w:rPr>
        <w:t xml:space="preserve"> </w:t>
      </w:r>
      <w:r w:rsidR="00B33CFC">
        <w:rPr>
          <w:rFonts w:ascii="Times New Roman" w:hAnsi="Times New Roman" w:cs="Times New Roman"/>
          <w:sz w:val="24"/>
          <w:szCs w:val="24"/>
        </w:rPr>
        <w:t xml:space="preserve">and his family took occupation of the house around 1998.  Barnabas died and the first respondent obtained a certificate of authority from the Master of the High Court that enables her to have Barnabas’ rights in the stand ceded to her.  The stand in contention was awarded to applicant, </w:t>
      </w:r>
      <w:proofErr w:type="spellStart"/>
      <w:r w:rsidR="00B33CFC">
        <w:rPr>
          <w:rFonts w:ascii="Times New Roman" w:hAnsi="Times New Roman" w:cs="Times New Roman"/>
          <w:sz w:val="24"/>
          <w:szCs w:val="24"/>
        </w:rPr>
        <w:t>Wadzanai</w:t>
      </w:r>
      <w:proofErr w:type="spellEnd"/>
      <w:r w:rsidR="00B33CFC">
        <w:rPr>
          <w:rFonts w:ascii="Times New Roman" w:hAnsi="Times New Roman" w:cs="Times New Roman"/>
          <w:sz w:val="24"/>
          <w:szCs w:val="24"/>
        </w:rPr>
        <w:t xml:space="preserve"> Edith </w:t>
      </w:r>
      <w:proofErr w:type="spellStart"/>
      <w:r w:rsidR="00B33CFC">
        <w:rPr>
          <w:rFonts w:ascii="Times New Roman" w:hAnsi="Times New Roman" w:cs="Times New Roman"/>
          <w:sz w:val="24"/>
          <w:szCs w:val="24"/>
        </w:rPr>
        <w:t>Tagarira</w:t>
      </w:r>
      <w:proofErr w:type="spellEnd"/>
      <w:r w:rsidR="00B33CFC">
        <w:rPr>
          <w:rFonts w:ascii="Times New Roman" w:hAnsi="Times New Roman" w:cs="Times New Roman"/>
          <w:sz w:val="24"/>
          <w:szCs w:val="24"/>
        </w:rPr>
        <w:t xml:space="preserve"> and </w:t>
      </w:r>
      <w:proofErr w:type="spellStart"/>
      <w:r w:rsidR="00B33CFC">
        <w:rPr>
          <w:rFonts w:ascii="Times New Roman" w:hAnsi="Times New Roman" w:cs="Times New Roman"/>
          <w:sz w:val="24"/>
          <w:szCs w:val="24"/>
        </w:rPr>
        <w:t>Taropafadzwa</w:t>
      </w:r>
      <w:proofErr w:type="spellEnd"/>
      <w:r w:rsidR="00B33CFC">
        <w:rPr>
          <w:rFonts w:ascii="Times New Roman" w:hAnsi="Times New Roman" w:cs="Times New Roman"/>
          <w:sz w:val="24"/>
          <w:szCs w:val="24"/>
        </w:rPr>
        <w:t xml:space="preserve"> </w:t>
      </w:r>
      <w:proofErr w:type="spellStart"/>
      <w:r w:rsidR="00B33CFC">
        <w:rPr>
          <w:rFonts w:ascii="Times New Roman" w:hAnsi="Times New Roman" w:cs="Times New Roman"/>
          <w:sz w:val="24"/>
          <w:szCs w:val="24"/>
        </w:rPr>
        <w:t>Tagarira</w:t>
      </w:r>
      <w:proofErr w:type="spellEnd"/>
      <w:r w:rsidR="00B33CFC">
        <w:rPr>
          <w:rFonts w:ascii="Times New Roman" w:hAnsi="Times New Roman" w:cs="Times New Roman"/>
          <w:sz w:val="24"/>
          <w:szCs w:val="24"/>
        </w:rPr>
        <w:t xml:space="preserve"> in the Distribution Account of the estate late Patience Tagarira.</w:t>
      </w:r>
    </w:p>
    <w:p w14:paraId="7579DAA3" w14:textId="732070BF" w:rsidR="009A222B" w:rsidRDefault="00B33CFC" w:rsidP="00B33CF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First respondent opposed the</w:t>
      </w:r>
      <w:r w:rsidR="00022005">
        <w:rPr>
          <w:rFonts w:ascii="Times New Roman" w:hAnsi="Times New Roman" w:cs="Times New Roman"/>
          <w:sz w:val="24"/>
          <w:szCs w:val="24"/>
        </w:rPr>
        <w:t xml:space="preserve"> application.  She raised points </w:t>
      </w:r>
      <w:r w:rsidR="00022005" w:rsidRPr="0022763A">
        <w:rPr>
          <w:rFonts w:ascii="Times New Roman" w:hAnsi="Times New Roman" w:cs="Times New Roman"/>
          <w:i/>
          <w:iCs/>
          <w:sz w:val="24"/>
          <w:szCs w:val="24"/>
        </w:rPr>
        <w:t>in limine</w:t>
      </w:r>
      <w:r w:rsidR="00022005">
        <w:rPr>
          <w:rFonts w:ascii="Times New Roman" w:hAnsi="Times New Roman" w:cs="Times New Roman"/>
          <w:sz w:val="24"/>
          <w:szCs w:val="24"/>
        </w:rPr>
        <w:t xml:space="preserve"> to the effect that there was material non-joinder of the Master of the High Court an</w:t>
      </w:r>
      <w:r w:rsidR="0022763A">
        <w:rPr>
          <w:rFonts w:ascii="Times New Roman" w:hAnsi="Times New Roman" w:cs="Times New Roman"/>
          <w:sz w:val="24"/>
          <w:szCs w:val="24"/>
        </w:rPr>
        <w:t>d</w:t>
      </w:r>
      <w:r w:rsidR="00022005">
        <w:rPr>
          <w:rFonts w:ascii="Times New Roman" w:hAnsi="Times New Roman" w:cs="Times New Roman"/>
          <w:sz w:val="24"/>
          <w:szCs w:val="24"/>
        </w:rPr>
        <w:t xml:space="preserve"> that the matter has prescribed.  On the merits she submitted that there was nothing wrong with a natural guardian executing an agreement</w:t>
      </w:r>
      <w:r w:rsidR="0022763A">
        <w:rPr>
          <w:rFonts w:ascii="Times New Roman" w:hAnsi="Times New Roman" w:cs="Times New Roman"/>
          <w:sz w:val="24"/>
          <w:szCs w:val="24"/>
        </w:rPr>
        <w:t xml:space="preserve"> </w:t>
      </w:r>
      <w:r w:rsidR="00A9631D">
        <w:rPr>
          <w:rFonts w:ascii="Times New Roman" w:hAnsi="Times New Roman" w:cs="Times New Roman"/>
          <w:sz w:val="24"/>
          <w:szCs w:val="24"/>
        </w:rPr>
        <w:t xml:space="preserve">on behalf of a minor and there was no law prohibiting such agreements.  She stated that there was no need to appoint a </w:t>
      </w:r>
      <w:r w:rsidR="00A9631D" w:rsidRPr="00A9631D">
        <w:rPr>
          <w:rFonts w:ascii="Times New Roman" w:hAnsi="Times New Roman" w:cs="Times New Roman"/>
          <w:i/>
          <w:iCs/>
          <w:sz w:val="24"/>
          <w:szCs w:val="24"/>
        </w:rPr>
        <w:t>curator ad litem</w:t>
      </w:r>
      <w:r w:rsidR="00A9631D">
        <w:rPr>
          <w:rFonts w:ascii="Times New Roman" w:hAnsi="Times New Roman" w:cs="Times New Roman"/>
          <w:sz w:val="24"/>
          <w:szCs w:val="24"/>
        </w:rPr>
        <w:t xml:space="preserve"> </w:t>
      </w:r>
      <w:r w:rsidR="0022763A">
        <w:rPr>
          <w:rFonts w:ascii="Times New Roman" w:hAnsi="Times New Roman" w:cs="Times New Roman"/>
          <w:sz w:val="24"/>
          <w:szCs w:val="24"/>
        </w:rPr>
        <w:t xml:space="preserve">at </w:t>
      </w:r>
      <w:r w:rsidR="00A9631D">
        <w:rPr>
          <w:rFonts w:ascii="Times New Roman" w:hAnsi="Times New Roman" w:cs="Times New Roman"/>
          <w:sz w:val="24"/>
          <w:szCs w:val="24"/>
        </w:rPr>
        <w:t xml:space="preserve">the relevant </w:t>
      </w:r>
      <w:r w:rsidR="00603590">
        <w:rPr>
          <w:rFonts w:ascii="Times New Roman" w:hAnsi="Times New Roman" w:cs="Times New Roman"/>
          <w:sz w:val="24"/>
          <w:szCs w:val="24"/>
        </w:rPr>
        <w:t xml:space="preserve">time.  She pointed </w:t>
      </w:r>
      <w:r w:rsidR="009A222B">
        <w:rPr>
          <w:rFonts w:ascii="Times New Roman" w:hAnsi="Times New Roman" w:cs="Times New Roman"/>
          <w:sz w:val="24"/>
          <w:szCs w:val="24"/>
        </w:rPr>
        <w:t>out that her late husband’s agreement was accepted by the Master while on the other hand the applicant’s distribution account was also accepted.  She however, pointed out that she was given authority before the applicant</w:t>
      </w:r>
      <w:r w:rsidR="0022763A">
        <w:rPr>
          <w:rFonts w:ascii="Times New Roman" w:hAnsi="Times New Roman" w:cs="Times New Roman"/>
          <w:sz w:val="24"/>
          <w:szCs w:val="24"/>
        </w:rPr>
        <w:t>’s</w:t>
      </w:r>
      <w:r w:rsidR="009A222B">
        <w:rPr>
          <w:rFonts w:ascii="Times New Roman" w:hAnsi="Times New Roman" w:cs="Times New Roman"/>
          <w:sz w:val="24"/>
          <w:szCs w:val="24"/>
        </w:rPr>
        <w:t xml:space="preserve"> distribution account was approved by the Master.  She averred that as long as her certificate of authority has not been cancelled, she remains the rightful owner of the stand in dispute and the applicant cannot evict her from the premises.</w:t>
      </w:r>
    </w:p>
    <w:p w14:paraId="228B1FAA" w14:textId="618D8481" w:rsidR="00D84F29" w:rsidRDefault="009A222B" w:rsidP="00B33CF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First respondent filed a counter-application claiming the value of the improvements made on the property.  She stated that </w:t>
      </w:r>
      <w:r w:rsidR="0022763A">
        <w:rPr>
          <w:rFonts w:ascii="Times New Roman" w:hAnsi="Times New Roman" w:cs="Times New Roman"/>
          <w:sz w:val="24"/>
          <w:szCs w:val="24"/>
        </w:rPr>
        <w:t xml:space="preserve">her </w:t>
      </w:r>
      <w:r>
        <w:rPr>
          <w:rFonts w:ascii="Times New Roman" w:hAnsi="Times New Roman" w:cs="Times New Roman"/>
          <w:sz w:val="24"/>
          <w:szCs w:val="24"/>
        </w:rPr>
        <w:t xml:space="preserve">late husband paid the full purchase price for the property in issue.  There was only a two-roomed structure when the property </w:t>
      </w:r>
      <w:r w:rsidR="005210BA">
        <w:rPr>
          <w:rFonts w:ascii="Times New Roman" w:hAnsi="Times New Roman" w:cs="Times New Roman"/>
          <w:sz w:val="24"/>
          <w:szCs w:val="24"/>
        </w:rPr>
        <w:t>was bought and she extended it to seven rooms</w:t>
      </w:r>
      <w:r w:rsidR="00911005">
        <w:rPr>
          <w:rFonts w:ascii="Times New Roman" w:hAnsi="Times New Roman" w:cs="Times New Roman"/>
          <w:sz w:val="24"/>
          <w:szCs w:val="24"/>
        </w:rPr>
        <w:t xml:space="preserve">.  She pointed out that applicant did not pay anything towards the purchase price or improvement </w:t>
      </w:r>
      <w:r w:rsidR="000E7181">
        <w:rPr>
          <w:rFonts w:ascii="Times New Roman" w:hAnsi="Times New Roman" w:cs="Times New Roman"/>
          <w:sz w:val="24"/>
          <w:szCs w:val="24"/>
        </w:rPr>
        <w:t>and there was no legal basis for the applicant to benefit from the improvements she effec</w:t>
      </w:r>
      <w:r w:rsidR="00F537B1">
        <w:rPr>
          <w:rFonts w:ascii="Times New Roman" w:hAnsi="Times New Roman" w:cs="Times New Roman"/>
          <w:sz w:val="24"/>
          <w:szCs w:val="24"/>
        </w:rPr>
        <w:t>t</w:t>
      </w:r>
      <w:r w:rsidR="000E7181">
        <w:rPr>
          <w:rFonts w:ascii="Times New Roman" w:hAnsi="Times New Roman" w:cs="Times New Roman"/>
          <w:sz w:val="24"/>
          <w:szCs w:val="24"/>
        </w:rPr>
        <w:t>ed.  She claimed $25 140.50 as the value of the improvements</w:t>
      </w:r>
      <w:r w:rsidR="00F537B1">
        <w:rPr>
          <w:rFonts w:ascii="Times New Roman" w:hAnsi="Times New Roman" w:cs="Times New Roman"/>
          <w:sz w:val="24"/>
          <w:szCs w:val="24"/>
        </w:rPr>
        <w:t xml:space="preserve"> </w:t>
      </w:r>
      <w:r w:rsidR="000E7181">
        <w:rPr>
          <w:rFonts w:ascii="Times New Roman" w:hAnsi="Times New Roman" w:cs="Times New Roman"/>
          <w:sz w:val="24"/>
          <w:szCs w:val="24"/>
        </w:rPr>
        <w:t>made on the premises</w:t>
      </w:r>
      <w:r w:rsidR="00D84F29">
        <w:rPr>
          <w:rFonts w:ascii="Times New Roman" w:hAnsi="Times New Roman" w:cs="Times New Roman"/>
          <w:sz w:val="24"/>
          <w:szCs w:val="24"/>
        </w:rPr>
        <w:t>.</w:t>
      </w:r>
    </w:p>
    <w:p w14:paraId="43F5D78C" w14:textId="77777777" w:rsidR="00157012" w:rsidRDefault="00D84F29" w:rsidP="00D84F2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response to the counter-application the counter respondent stated that there are material disputes of fact which cannot be resolved on the papers.  She pointed out that no evidence proving the purchase of</w:t>
      </w:r>
      <w:r w:rsidR="00F24A72">
        <w:rPr>
          <w:rFonts w:ascii="Times New Roman" w:hAnsi="Times New Roman" w:cs="Times New Roman"/>
          <w:sz w:val="24"/>
          <w:szCs w:val="24"/>
        </w:rPr>
        <w:t xml:space="preserve"> </w:t>
      </w:r>
      <w:r w:rsidR="000676AB">
        <w:rPr>
          <w:rFonts w:ascii="Times New Roman" w:hAnsi="Times New Roman" w:cs="Times New Roman"/>
          <w:sz w:val="24"/>
          <w:szCs w:val="24"/>
        </w:rPr>
        <w:t xml:space="preserve">the house </w:t>
      </w:r>
      <w:r w:rsidR="001C56C7">
        <w:rPr>
          <w:rFonts w:ascii="Times New Roman" w:hAnsi="Times New Roman" w:cs="Times New Roman"/>
          <w:sz w:val="24"/>
          <w:szCs w:val="24"/>
        </w:rPr>
        <w:t xml:space="preserve">was tendered.  She stated that she was advised that the counter-applicant and her husband were tenants on the property in 1998.  She disputed that any </w:t>
      </w:r>
      <w:r w:rsidR="0031116F">
        <w:rPr>
          <w:rFonts w:ascii="Times New Roman" w:hAnsi="Times New Roman" w:cs="Times New Roman"/>
          <w:sz w:val="24"/>
          <w:szCs w:val="24"/>
        </w:rPr>
        <w:t xml:space="preserve">improvements </w:t>
      </w:r>
      <w:r w:rsidR="006E5463">
        <w:rPr>
          <w:rFonts w:ascii="Times New Roman" w:hAnsi="Times New Roman" w:cs="Times New Roman"/>
          <w:sz w:val="24"/>
          <w:szCs w:val="24"/>
        </w:rPr>
        <w:t>were made</w:t>
      </w:r>
      <w:r w:rsidR="00E03295">
        <w:rPr>
          <w:rFonts w:ascii="Times New Roman" w:hAnsi="Times New Roman" w:cs="Times New Roman"/>
          <w:sz w:val="24"/>
          <w:szCs w:val="24"/>
        </w:rPr>
        <w:t xml:space="preserve"> </w:t>
      </w:r>
      <w:r w:rsidR="006E5463">
        <w:rPr>
          <w:rFonts w:ascii="Times New Roman" w:hAnsi="Times New Roman" w:cs="Times New Roman"/>
          <w:sz w:val="24"/>
          <w:szCs w:val="24"/>
        </w:rPr>
        <w:t xml:space="preserve">on the property.  She </w:t>
      </w:r>
      <w:r w:rsidR="00157012">
        <w:rPr>
          <w:rFonts w:ascii="Times New Roman" w:hAnsi="Times New Roman" w:cs="Times New Roman"/>
          <w:sz w:val="24"/>
          <w:szCs w:val="24"/>
        </w:rPr>
        <w:t>disputed the amount claimed and indicated that the valuation certificate does not show that figure.</w:t>
      </w:r>
    </w:p>
    <w:p w14:paraId="3F8D45EB" w14:textId="77777777" w:rsidR="00157012" w:rsidRPr="00F526A1" w:rsidRDefault="00157012" w:rsidP="00D84F29">
      <w:pPr>
        <w:spacing w:after="0" w:line="360" w:lineRule="auto"/>
        <w:ind w:firstLine="720"/>
        <w:jc w:val="both"/>
        <w:rPr>
          <w:rFonts w:ascii="Times New Roman" w:hAnsi="Times New Roman" w:cs="Times New Roman"/>
          <w:b/>
          <w:bCs/>
          <w:i/>
          <w:iCs/>
          <w:sz w:val="24"/>
          <w:szCs w:val="24"/>
          <w:u w:val="single"/>
        </w:rPr>
      </w:pPr>
      <w:r w:rsidRPr="00F526A1">
        <w:rPr>
          <w:rFonts w:ascii="Times New Roman" w:hAnsi="Times New Roman" w:cs="Times New Roman"/>
          <w:b/>
          <w:bCs/>
          <w:sz w:val="24"/>
          <w:szCs w:val="24"/>
          <w:u w:val="single"/>
        </w:rPr>
        <w:t xml:space="preserve">Points </w:t>
      </w:r>
      <w:r w:rsidRPr="00F526A1">
        <w:rPr>
          <w:rFonts w:ascii="Times New Roman" w:hAnsi="Times New Roman" w:cs="Times New Roman"/>
          <w:b/>
          <w:bCs/>
          <w:i/>
          <w:iCs/>
          <w:sz w:val="24"/>
          <w:szCs w:val="24"/>
          <w:u w:val="single"/>
        </w:rPr>
        <w:t>in limine</w:t>
      </w:r>
    </w:p>
    <w:p w14:paraId="61C6EDD7" w14:textId="77777777" w:rsidR="005F782F" w:rsidRPr="0022763A" w:rsidRDefault="00157012" w:rsidP="00157012">
      <w:pPr>
        <w:pStyle w:val="ListParagraph"/>
        <w:numPr>
          <w:ilvl w:val="0"/>
          <w:numId w:val="2"/>
        </w:numPr>
        <w:spacing w:after="0" w:line="360" w:lineRule="auto"/>
        <w:jc w:val="both"/>
        <w:rPr>
          <w:rFonts w:ascii="Times New Roman" w:hAnsi="Times New Roman" w:cs="Times New Roman"/>
          <w:u w:val="single"/>
        </w:rPr>
      </w:pPr>
      <w:r w:rsidRPr="0022763A">
        <w:rPr>
          <w:rFonts w:ascii="Times New Roman" w:hAnsi="Times New Roman" w:cs="Times New Roman"/>
          <w:u w:val="single"/>
        </w:rPr>
        <w:t xml:space="preserve">That </w:t>
      </w:r>
      <w:r w:rsidR="005F782F" w:rsidRPr="0022763A">
        <w:rPr>
          <w:rFonts w:ascii="Times New Roman" w:hAnsi="Times New Roman" w:cs="Times New Roman"/>
          <w:u w:val="single"/>
        </w:rPr>
        <w:t>applicant has not cited the Master of the High Court</w:t>
      </w:r>
    </w:p>
    <w:p w14:paraId="2F22315A" w14:textId="77777777" w:rsidR="005F782F" w:rsidRDefault="005F782F" w:rsidP="005F782F">
      <w:pPr>
        <w:pStyle w:val="ListParagraph"/>
        <w:spacing w:after="0" w:line="360" w:lineRule="auto"/>
        <w:ind w:left="1440"/>
        <w:jc w:val="both"/>
        <w:rPr>
          <w:rFonts w:ascii="Times New Roman" w:hAnsi="Times New Roman" w:cs="Times New Roman"/>
        </w:rPr>
      </w:pPr>
      <w:r>
        <w:rPr>
          <w:rFonts w:ascii="Times New Roman" w:hAnsi="Times New Roman" w:cs="Times New Roman"/>
        </w:rPr>
        <w:t>Rule 61(</w:t>
      </w:r>
      <w:proofErr w:type="spellStart"/>
      <w:r>
        <w:rPr>
          <w:rFonts w:ascii="Times New Roman" w:hAnsi="Times New Roman" w:cs="Times New Roman"/>
        </w:rPr>
        <w:t>i</w:t>
      </w:r>
      <w:proofErr w:type="spellEnd"/>
      <w:r>
        <w:rPr>
          <w:rFonts w:ascii="Times New Roman" w:hAnsi="Times New Roman" w:cs="Times New Roman"/>
        </w:rPr>
        <w:t>)(a) of SI 202 of 2021 provides that</w:t>
      </w:r>
    </w:p>
    <w:p w14:paraId="0F009DA9" w14:textId="77777777" w:rsidR="00F22B04" w:rsidRPr="0000696D" w:rsidRDefault="005F782F" w:rsidP="0000696D">
      <w:pPr>
        <w:pStyle w:val="ListParagraph"/>
        <w:spacing w:after="0" w:line="240" w:lineRule="auto"/>
        <w:ind w:left="1440"/>
        <w:jc w:val="both"/>
        <w:rPr>
          <w:rFonts w:ascii="Times New Roman" w:hAnsi="Times New Roman" w:cs="Times New Roman"/>
          <w:sz w:val="22"/>
          <w:szCs w:val="22"/>
        </w:rPr>
      </w:pPr>
      <w:r w:rsidRPr="0000696D">
        <w:rPr>
          <w:rFonts w:ascii="Times New Roman" w:hAnsi="Times New Roman" w:cs="Times New Roman"/>
          <w:sz w:val="22"/>
          <w:szCs w:val="22"/>
        </w:rPr>
        <w:lastRenderedPageBreak/>
        <w:t xml:space="preserve">“61.  In </w:t>
      </w:r>
      <w:r w:rsidR="00F22B04" w:rsidRPr="0000696D">
        <w:rPr>
          <w:rFonts w:ascii="Times New Roman" w:hAnsi="Times New Roman" w:cs="Times New Roman"/>
          <w:sz w:val="22"/>
          <w:szCs w:val="22"/>
        </w:rPr>
        <w:t>the case of an application in connection with-</w:t>
      </w:r>
    </w:p>
    <w:p w14:paraId="2A52EC5A" w14:textId="4A41FDEE" w:rsidR="00F22B04" w:rsidRPr="0000696D" w:rsidRDefault="00F22B04" w:rsidP="0000696D">
      <w:pPr>
        <w:pStyle w:val="ListParagraph"/>
        <w:numPr>
          <w:ilvl w:val="0"/>
          <w:numId w:val="3"/>
        </w:numPr>
        <w:spacing w:after="0" w:line="240" w:lineRule="auto"/>
        <w:jc w:val="both"/>
        <w:rPr>
          <w:rFonts w:ascii="Times New Roman" w:hAnsi="Times New Roman" w:cs="Times New Roman"/>
          <w:sz w:val="22"/>
          <w:szCs w:val="22"/>
        </w:rPr>
      </w:pPr>
      <w:r w:rsidRPr="0000696D">
        <w:rPr>
          <w:rFonts w:ascii="Times New Roman" w:hAnsi="Times New Roman" w:cs="Times New Roman"/>
          <w:sz w:val="22"/>
          <w:szCs w:val="22"/>
        </w:rPr>
        <w:t xml:space="preserve">The estate of a deceased </w:t>
      </w:r>
      <w:proofErr w:type="spellStart"/>
      <w:r w:rsidRPr="0000696D">
        <w:rPr>
          <w:rFonts w:ascii="Times New Roman" w:hAnsi="Times New Roman" w:cs="Times New Roman"/>
          <w:sz w:val="22"/>
          <w:szCs w:val="22"/>
        </w:rPr>
        <w:t>person,or</w:t>
      </w:r>
      <w:proofErr w:type="spellEnd"/>
      <w:r w:rsidRPr="0000696D">
        <w:rPr>
          <w:rFonts w:ascii="Times New Roman" w:hAnsi="Times New Roman" w:cs="Times New Roman"/>
          <w:sz w:val="22"/>
          <w:szCs w:val="22"/>
        </w:rPr>
        <w:t xml:space="preserve"> </w:t>
      </w:r>
    </w:p>
    <w:p w14:paraId="04C3CB91" w14:textId="3E6ABA70" w:rsidR="00FD67A4" w:rsidRPr="0000696D" w:rsidRDefault="00D84F29" w:rsidP="0000696D">
      <w:pPr>
        <w:pStyle w:val="ListParagraph"/>
        <w:numPr>
          <w:ilvl w:val="0"/>
          <w:numId w:val="3"/>
        </w:numPr>
        <w:spacing w:after="0" w:line="240" w:lineRule="auto"/>
        <w:jc w:val="both"/>
        <w:rPr>
          <w:rFonts w:ascii="Times New Roman" w:hAnsi="Times New Roman" w:cs="Times New Roman"/>
          <w:sz w:val="22"/>
          <w:szCs w:val="22"/>
        </w:rPr>
      </w:pPr>
      <w:r w:rsidRPr="0000696D">
        <w:rPr>
          <w:rFonts w:ascii="Times New Roman" w:hAnsi="Times New Roman" w:cs="Times New Roman"/>
          <w:sz w:val="22"/>
          <w:szCs w:val="22"/>
        </w:rPr>
        <w:t xml:space="preserve"> </w:t>
      </w:r>
      <w:r w:rsidR="003C7ED0" w:rsidRPr="0000696D">
        <w:rPr>
          <w:rFonts w:ascii="Times New Roman" w:hAnsi="Times New Roman" w:cs="Times New Roman"/>
          <w:sz w:val="22"/>
          <w:szCs w:val="22"/>
        </w:rPr>
        <w:t xml:space="preserve"> </w:t>
      </w:r>
      <w:r w:rsidR="00C95142" w:rsidRPr="0000696D">
        <w:rPr>
          <w:rFonts w:ascii="Times New Roman" w:hAnsi="Times New Roman" w:cs="Times New Roman"/>
          <w:sz w:val="22"/>
          <w:szCs w:val="22"/>
        </w:rPr>
        <w:t xml:space="preserve"> </w:t>
      </w:r>
      <w:r w:rsidR="00F22B04" w:rsidRPr="0000696D">
        <w:rPr>
          <w:rFonts w:ascii="Times New Roman" w:hAnsi="Times New Roman" w:cs="Times New Roman"/>
          <w:sz w:val="22"/>
          <w:szCs w:val="22"/>
        </w:rPr>
        <w:t>…</w:t>
      </w:r>
    </w:p>
    <w:p w14:paraId="6C0987FE" w14:textId="75DABD71" w:rsidR="00F22B04" w:rsidRDefault="00F22B04" w:rsidP="0000696D">
      <w:pPr>
        <w:spacing w:after="0" w:line="240" w:lineRule="auto"/>
        <w:ind w:left="1440"/>
        <w:jc w:val="both"/>
        <w:rPr>
          <w:rFonts w:ascii="Times New Roman" w:hAnsi="Times New Roman" w:cs="Times New Roman"/>
        </w:rPr>
      </w:pPr>
      <w:r w:rsidRPr="0000696D">
        <w:rPr>
          <w:rFonts w:ascii="Times New Roman" w:hAnsi="Times New Roman" w:cs="Times New Roman"/>
        </w:rPr>
        <w:t>A copy</w:t>
      </w:r>
      <w:r w:rsidR="003D01AA" w:rsidRPr="0000696D">
        <w:rPr>
          <w:rFonts w:ascii="Times New Roman" w:hAnsi="Times New Roman" w:cs="Times New Roman"/>
        </w:rPr>
        <w:t xml:space="preserve"> of the application shall be served on the Master not less than ten days </w:t>
      </w:r>
      <w:r w:rsidR="0000696D" w:rsidRPr="0000696D">
        <w:rPr>
          <w:rFonts w:ascii="Times New Roman" w:hAnsi="Times New Roman" w:cs="Times New Roman"/>
        </w:rPr>
        <w:t>before the date of set down for his or her consideration,</w:t>
      </w:r>
      <w:r w:rsidRPr="0000696D">
        <w:rPr>
          <w:rFonts w:ascii="Times New Roman" w:hAnsi="Times New Roman" w:cs="Times New Roman"/>
        </w:rPr>
        <w:t xml:space="preserve"> </w:t>
      </w:r>
      <w:r w:rsidR="0000696D" w:rsidRPr="0000696D">
        <w:rPr>
          <w:rFonts w:ascii="Times New Roman" w:hAnsi="Times New Roman" w:cs="Times New Roman"/>
        </w:rPr>
        <w:t>and for report by him or her if he or she considers it necessary or the court requires such a report.”</w:t>
      </w:r>
    </w:p>
    <w:p w14:paraId="22500E36" w14:textId="77777777" w:rsidR="0000696D" w:rsidRPr="0000696D" w:rsidRDefault="0000696D" w:rsidP="0000696D">
      <w:pPr>
        <w:spacing w:after="0" w:line="240" w:lineRule="auto"/>
        <w:ind w:left="1440"/>
        <w:jc w:val="both"/>
        <w:rPr>
          <w:rFonts w:ascii="Times New Roman" w:hAnsi="Times New Roman" w:cs="Times New Roman"/>
        </w:rPr>
      </w:pPr>
    </w:p>
    <w:p w14:paraId="6EF45027" w14:textId="06D2C507" w:rsidR="0000696D" w:rsidRDefault="0000696D" w:rsidP="0000696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First respondent argued that the non-citation of the Master is fatal as the matter cannot be resolved without his input.  In response applicant made reference to rule 32 [11] of this court</w:t>
      </w:r>
      <w:r w:rsidR="0022763A">
        <w:rPr>
          <w:rFonts w:ascii="Times New Roman" w:hAnsi="Times New Roman" w:cs="Times New Roman"/>
          <w:sz w:val="24"/>
          <w:szCs w:val="24"/>
        </w:rPr>
        <w:t xml:space="preserve">’s </w:t>
      </w:r>
      <w:r>
        <w:rPr>
          <w:rFonts w:ascii="Times New Roman" w:hAnsi="Times New Roman" w:cs="Times New Roman"/>
          <w:sz w:val="24"/>
          <w:szCs w:val="24"/>
        </w:rPr>
        <w:t>rules which sates.</w:t>
      </w:r>
    </w:p>
    <w:p w14:paraId="500146AE" w14:textId="69C32677" w:rsidR="0000696D" w:rsidRDefault="0000696D" w:rsidP="00F526A1">
      <w:pPr>
        <w:spacing w:after="0" w:line="240" w:lineRule="auto"/>
        <w:ind w:left="720"/>
        <w:jc w:val="both"/>
        <w:rPr>
          <w:rFonts w:ascii="Times New Roman" w:hAnsi="Times New Roman" w:cs="Times New Roman"/>
        </w:rPr>
      </w:pPr>
      <w:r w:rsidRPr="00F526A1">
        <w:rPr>
          <w:rFonts w:ascii="Times New Roman" w:hAnsi="Times New Roman" w:cs="Times New Roman"/>
        </w:rPr>
        <w:t>“11. No cause or matter shall be defeated by reason of the misjoinder or non-joinder of any party and the court may in any cause</w:t>
      </w:r>
      <w:r w:rsidR="00096373" w:rsidRPr="00F526A1">
        <w:rPr>
          <w:rFonts w:ascii="Times New Roman" w:hAnsi="Times New Roman" w:cs="Times New Roman"/>
        </w:rPr>
        <w:t xml:space="preserve"> or matter determine the issues or questions </w:t>
      </w:r>
      <w:r w:rsidR="00044EC1" w:rsidRPr="00F526A1">
        <w:rPr>
          <w:rFonts w:ascii="Times New Roman" w:hAnsi="Times New Roman" w:cs="Times New Roman"/>
        </w:rPr>
        <w:t>in dispute so far as they affect the rights and</w:t>
      </w:r>
      <w:r w:rsidRPr="00F526A1">
        <w:rPr>
          <w:rFonts w:ascii="Times New Roman" w:hAnsi="Times New Roman" w:cs="Times New Roman"/>
        </w:rPr>
        <w:t xml:space="preserve"> </w:t>
      </w:r>
      <w:r w:rsidR="00044EC1" w:rsidRPr="00F526A1">
        <w:rPr>
          <w:rFonts w:ascii="Times New Roman" w:hAnsi="Times New Roman" w:cs="Times New Roman"/>
        </w:rPr>
        <w:t>interests of the persons who are parties to the c</w:t>
      </w:r>
      <w:r w:rsidR="0022763A">
        <w:rPr>
          <w:rFonts w:ascii="Times New Roman" w:hAnsi="Times New Roman" w:cs="Times New Roman"/>
        </w:rPr>
        <w:t>a</w:t>
      </w:r>
      <w:r w:rsidR="00044EC1" w:rsidRPr="00F526A1">
        <w:rPr>
          <w:rFonts w:ascii="Times New Roman" w:hAnsi="Times New Roman" w:cs="Times New Roman"/>
        </w:rPr>
        <w:t>use or matter.”</w:t>
      </w:r>
      <w:r w:rsidRPr="00F526A1">
        <w:rPr>
          <w:rFonts w:ascii="Times New Roman" w:hAnsi="Times New Roman" w:cs="Times New Roman"/>
        </w:rPr>
        <w:t xml:space="preserve"> </w:t>
      </w:r>
    </w:p>
    <w:p w14:paraId="4DBA11A9" w14:textId="77777777" w:rsidR="00F526A1" w:rsidRPr="00F526A1" w:rsidRDefault="00F526A1" w:rsidP="00F526A1">
      <w:pPr>
        <w:spacing w:after="0" w:line="240" w:lineRule="auto"/>
        <w:ind w:left="720"/>
        <w:jc w:val="both"/>
        <w:rPr>
          <w:rFonts w:ascii="Times New Roman" w:hAnsi="Times New Roman" w:cs="Times New Roman"/>
        </w:rPr>
      </w:pPr>
    </w:p>
    <w:p w14:paraId="590A4617" w14:textId="77777777" w:rsidR="00F526A1" w:rsidRDefault="003335AC" w:rsidP="0000696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light of r 32(11) of SI 202 of 2021, the preliminary point has no merit.  Moreover, r 61(</w:t>
      </w:r>
      <w:r w:rsidR="00090C1E">
        <w:rPr>
          <w:rFonts w:ascii="Times New Roman" w:hAnsi="Times New Roman" w:cs="Times New Roman"/>
          <w:sz w:val="24"/>
          <w:szCs w:val="24"/>
        </w:rPr>
        <w:t>11)</w:t>
      </w:r>
      <w:r>
        <w:rPr>
          <w:rFonts w:ascii="Times New Roman" w:hAnsi="Times New Roman" w:cs="Times New Roman"/>
          <w:sz w:val="24"/>
          <w:szCs w:val="24"/>
        </w:rPr>
        <w:t xml:space="preserve"> of the same rules gives the Master the discretion to</w:t>
      </w:r>
      <w:r w:rsidR="00090C1E">
        <w:rPr>
          <w:rFonts w:ascii="Times New Roman" w:hAnsi="Times New Roman" w:cs="Times New Roman"/>
          <w:sz w:val="24"/>
          <w:szCs w:val="24"/>
        </w:rPr>
        <w:t xml:space="preserve"> </w:t>
      </w:r>
      <w:r>
        <w:rPr>
          <w:rFonts w:ascii="Times New Roman" w:hAnsi="Times New Roman" w:cs="Times New Roman"/>
          <w:sz w:val="24"/>
          <w:szCs w:val="24"/>
        </w:rPr>
        <w:t xml:space="preserve">submit a report in a matter.  What is required of </w:t>
      </w:r>
      <w:r w:rsidR="00F526A1">
        <w:rPr>
          <w:rFonts w:ascii="Times New Roman" w:hAnsi="Times New Roman" w:cs="Times New Roman"/>
          <w:sz w:val="24"/>
          <w:szCs w:val="24"/>
        </w:rPr>
        <w:t>a litigant is to serve the Master with the application.  The application therefore cannot fail simply because the Master was not cited as a party.</w:t>
      </w:r>
    </w:p>
    <w:p w14:paraId="1DA61665" w14:textId="77777777" w:rsidR="00F526A1" w:rsidRDefault="00F526A1" w:rsidP="0000696D">
      <w:pPr>
        <w:spacing w:after="0" w:line="360" w:lineRule="auto"/>
        <w:ind w:firstLine="720"/>
        <w:jc w:val="both"/>
        <w:rPr>
          <w:rFonts w:ascii="Times New Roman" w:hAnsi="Times New Roman" w:cs="Times New Roman"/>
          <w:sz w:val="24"/>
          <w:szCs w:val="24"/>
          <w:u w:val="single"/>
        </w:rPr>
      </w:pPr>
      <w:r>
        <w:rPr>
          <w:rFonts w:ascii="Times New Roman" w:hAnsi="Times New Roman" w:cs="Times New Roman"/>
          <w:sz w:val="24"/>
          <w:szCs w:val="24"/>
        </w:rPr>
        <w:t xml:space="preserve">(2) </w:t>
      </w:r>
      <w:r w:rsidRPr="00925B5C">
        <w:rPr>
          <w:rFonts w:ascii="Times New Roman" w:hAnsi="Times New Roman" w:cs="Times New Roman"/>
          <w:b/>
          <w:bCs/>
          <w:sz w:val="24"/>
          <w:szCs w:val="24"/>
          <w:u w:val="single"/>
        </w:rPr>
        <w:t>Whether or not the matter has prescribed.</w:t>
      </w:r>
    </w:p>
    <w:p w14:paraId="3C52821B" w14:textId="1E2DBD27" w:rsidR="0044369D" w:rsidRDefault="00F526A1" w:rsidP="0000696D">
      <w:pPr>
        <w:spacing w:after="0" w:line="360" w:lineRule="auto"/>
        <w:ind w:firstLine="720"/>
        <w:jc w:val="both"/>
        <w:rPr>
          <w:rFonts w:ascii="Times New Roman" w:hAnsi="Times New Roman" w:cs="Times New Roman"/>
          <w:sz w:val="24"/>
          <w:szCs w:val="24"/>
        </w:rPr>
      </w:pPr>
      <w:r w:rsidRPr="00F526A1">
        <w:rPr>
          <w:rFonts w:ascii="Times New Roman" w:hAnsi="Times New Roman" w:cs="Times New Roman"/>
          <w:sz w:val="24"/>
          <w:szCs w:val="24"/>
        </w:rPr>
        <w:t xml:space="preserve">First respondent </w:t>
      </w:r>
      <w:r w:rsidR="00E26628">
        <w:rPr>
          <w:rFonts w:ascii="Times New Roman" w:hAnsi="Times New Roman" w:cs="Times New Roman"/>
          <w:sz w:val="24"/>
          <w:szCs w:val="24"/>
        </w:rPr>
        <w:t>submitted that the agreement of sale giving rise to this matter was signed in 1999 and the matter therefore prescribe</w:t>
      </w:r>
      <w:r w:rsidR="0022763A">
        <w:rPr>
          <w:rFonts w:ascii="Times New Roman" w:hAnsi="Times New Roman" w:cs="Times New Roman"/>
          <w:sz w:val="24"/>
          <w:szCs w:val="24"/>
        </w:rPr>
        <w:t>d</w:t>
      </w:r>
      <w:r w:rsidR="00E26628">
        <w:rPr>
          <w:rFonts w:ascii="Times New Roman" w:hAnsi="Times New Roman" w:cs="Times New Roman"/>
          <w:sz w:val="24"/>
          <w:szCs w:val="24"/>
        </w:rPr>
        <w:t>.  Further that the executor was appointed on the 10</w:t>
      </w:r>
      <w:r w:rsidR="00E26628" w:rsidRPr="00E26628">
        <w:rPr>
          <w:rFonts w:ascii="Times New Roman" w:hAnsi="Times New Roman" w:cs="Times New Roman"/>
          <w:sz w:val="24"/>
          <w:szCs w:val="24"/>
          <w:vertAlign w:val="superscript"/>
        </w:rPr>
        <w:t>th</w:t>
      </w:r>
      <w:r w:rsidR="00E26628">
        <w:rPr>
          <w:rFonts w:ascii="Times New Roman" w:hAnsi="Times New Roman" w:cs="Times New Roman"/>
          <w:sz w:val="24"/>
          <w:szCs w:val="24"/>
          <w:vertAlign w:val="superscript"/>
        </w:rPr>
        <w:t xml:space="preserve"> </w:t>
      </w:r>
      <w:r w:rsidR="00E26628">
        <w:rPr>
          <w:rFonts w:ascii="Times New Roman" w:hAnsi="Times New Roman" w:cs="Times New Roman"/>
          <w:sz w:val="24"/>
          <w:szCs w:val="24"/>
        </w:rPr>
        <w:t xml:space="preserve">of July </w:t>
      </w:r>
      <w:r w:rsidR="003C6CF0">
        <w:rPr>
          <w:rFonts w:ascii="Times New Roman" w:hAnsi="Times New Roman" w:cs="Times New Roman"/>
          <w:sz w:val="24"/>
          <w:szCs w:val="24"/>
        </w:rPr>
        <w:t>2013 and di</w:t>
      </w:r>
      <w:r w:rsidR="0022763A">
        <w:rPr>
          <w:rFonts w:ascii="Times New Roman" w:hAnsi="Times New Roman" w:cs="Times New Roman"/>
          <w:sz w:val="24"/>
          <w:szCs w:val="24"/>
        </w:rPr>
        <w:t>d</w:t>
      </w:r>
      <w:r w:rsidR="003C6CF0">
        <w:rPr>
          <w:rFonts w:ascii="Times New Roman" w:hAnsi="Times New Roman" w:cs="Times New Roman"/>
          <w:sz w:val="24"/>
          <w:szCs w:val="24"/>
        </w:rPr>
        <w:t xml:space="preserve"> not take action until twelve years later.  It is trite that prescription begins to run when one has knowledge of the full set of facts which can lead one to succeed in his claim.  The “full set of facts” are facts that the plaintiff has to alleged in his or her declaration in order to disclose a cause of action but does not include the evidence that is necessary to support such a cause of action.  See </w:t>
      </w:r>
      <w:proofErr w:type="spellStart"/>
      <w:r w:rsidR="003C6CF0" w:rsidRPr="003C6CF0">
        <w:rPr>
          <w:rFonts w:ascii="Times New Roman" w:hAnsi="Times New Roman" w:cs="Times New Roman"/>
          <w:i/>
          <w:iCs/>
          <w:sz w:val="24"/>
          <w:szCs w:val="24"/>
        </w:rPr>
        <w:t>Chiwawa</w:t>
      </w:r>
      <w:proofErr w:type="spellEnd"/>
      <w:r w:rsidR="003C6CF0" w:rsidRPr="003C6CF0">
        <w:rPr>
          <w:rFonts w:ascii="Times New Roman" w:hAnsi="Times New Roman" w:cs="Times New Roman"/>
          <w:i/>
          <w:iCs/>
          <w:sz w:val="24"/>
          <w:szCs w:val="24"/>
        </w:rPr>
        <w:t xml:space="preserve"> </w:t>
      </w:r>
      <w:r w:rsidR="003C6CF0" w:rsidRPr="003C6CF0">
        <w:rPr>
          <w:rFonts w:ascii="Times New Roman" w:hAnsi="Times New Roman" w:cs="Times New Roman"/>
          <w:sz w:val="24"/>
          <w:szCs w:val="24"/>
        </w:rPr>
        <w:t xml:space="preserve">v </w:t>
      </w:r>
      <w:proofErr w:type="spellStart"/>
      <w:r w:rsidR="003C6CF0" w:rsidRPr="003C6CF0">
        <w:rPr>
          <w:rFonts w:ascii="Times New Roman" w:hAnsi="Times New Roman" w:cs="Times New Roman"/>
          <w:i/>
          <w:iCs/>
          <w:sz w:val="24"/>
          <w:szCs w:val="24"/>
        </w:rPr>
        <w:t>Mutzuris</w:t>
      </w:r>
      <w:proofErr w:type="spellEnd"/>
      <w:r w:rsidR="003C6CF0" w:rsidRPr="003C6CF0">
        <w:rPr>
          <w:rFonts w:ascii="Times New Roman" w:hAnsi="Times New Roman" w:cs="Times New Roman"/>
          <w:i/>
          <w:iCs/>
          <w:sz w:val="24"/>
          <w:szCs w:val="24"/>
        </w:rPr>
        <w:t xml:space="preserve"> and Others</w:t>
      </w:r>
      <w:r w:rsidR="003C6CF0">
        <w:rPr>
          <w:rFonts w:ascii="Times New Roman" w:hAnsi="Times New Roman" w:cs="Times New Roman"/>
          <w:sz w:val="24"/>
          <w:szCs w:val="24"/>
        </w:rPr>
        <w:t xml:space="preserve"> HH 7/2009.</w:t>
      </w:r>
      <w:r w:rsidR="00E26628">
        <w:rPr>
          <w:rFonts w:ascii="Times New Roman" w:hAnsi="Times New Roman" w:cs="Times New Roman"/>
          <w:sz w:val="24"/>
          <w:szCs w:val="24"/>
        </w:rPr>
        <w:t xml:space="preserve">  </w:t>
      </w:r>
      <w:r w:rsidR="000558D7">
        <w:rPr>
          <w:rFonts w:ascii="Times New Roman" w:hAnsi="Times New Roman" w:cs="Times New Roman"/>
          <w:sz w:val="24"/>
          <w:szCs w:val="24"/>
        </w:rPr>
        <w:t>Applicant argued that the full set of facts were complete in August 2024 w</w:t>
      </w:r>
      <w:r w:rsidR="0022763A">
        <w:rPr>
          <w:rFonts w:ascii="Times New Roman" w:hAnsi="Times New Roman" w:cs="Times New Roman"/>
          <w:sz w:val="24"/>
          <w:szCs w:val="24"/>
        </w:rPr>
        <w:t>hen</w:t>
      </w:r>
      <w:r w:rsidR="000558D7">
        <w:rPr>
          <w:rFonts w:ascii="Times New Roman" w:hAnsi="Times New Roman" w:cs="Times New Roman"/>
          <w:sz w:val="24"/>
          <w:szCs w:val="24"/>
        </w:rPr>
        <w:t xml:space="preserve"> the distribution account of </w:t>
      </w:r>
      <w:r w:rsidR="00FB0640">
        <w:rPr>
          <w:rFonts w:ascii="Times New Roman" w:hAnsi="Times New Roman" w:cs="Times New Roman"/>
          <w:sz w:val="24"/>
          <w:szCs w:val="24"/>
        </w:rPr>
        <w:t xml:space="preserve">the </w:t>
      </w:r>
      <w:r w:rsidR="0022763A">
        <w:rPr>
          <w:rFonts w:ascii="Times New Roman" w:hAnsi="Times New Roman" w:cs="Times New Roman"/>
          <w:sz w:val="24"/>
          <w:szCs w:val="24"/>
        </w:rPr>
        <w:t xml:space="preserve">estate </w:t>
      </w:r>
      <w:r w:rsidR="00FB0640">
        <w:rPr>
          <w:rFonts w:ascii="Times New Roman" w:hAnsi="Times New Roman" w:cs="Times New Roman"/>
          <w:sz w:val="24"/>
          <w:szCs w:val="24"/>
        </w:rPr>
        <w:t>late Patience Tagarira was approved.  In the alternative</w:t>
      </w:r>
      <w:r w:rsidR="0044369D">
        <w:rPr>
          <w:rFonts w:ascii="Times New Roman" w:hAnsi="Times New Roman" w:cs="Times New Roman"/>
          <w:sz w:val="24"/>
          <w:szCs w:val="24"/>
        </w:rPr>
        <w:t xml:space="preserve">, Mr </w:t>
      </w:r>
      <w:r w:rsidR="0044369D" w:rsidRPr="000E61BB">
        <w:rPr>
          <w:rFonts w:ascii="Times New Roman" w:hAnsi="Times New Roman" w:cs="Times New Roman"/>
          <w:i/>
          <w:iCs/>
          <w:sz w:val="24"/>
          <w:szCs w:val="24"/>
        </w:rPr>
        <w:t>Mad</w:t>
      </w:r>
      <w:r w:rsidR="0022763A" w:rsidRPr="000E61BB">
        <w:rPr>
          <w:rFonts w:ascii="Times New Roman" w:hAnsi="Times New Roman" w:cs="Times New Roman"/>
          <w:i/>
          <w:iCs/>
          <w:sz w:val="24"/>
          <w:szCs w:val="24"/>
        </w:rPr>
        <w:t>o</w:t>
      </w:r>
      <w:r w:rsidR="0044369D" w:rsidRPr="000E61BB">
        <w:rPr>
          <w:rFonts w:ascii="Times New Roman" w:hAnsi="Times New Roman" w:cs="Times New Roman"/>
          <w:i/>
          <w:iCs/>
          <w:sz w:val="24"/>
          <w:szCs w:val="24"/>
        </w:rPr>
        <w:t>ndo</w:t>
      </w:r>
      <w:r w:rsidR="0044369D">
        <w:rPr>
          <w:rFonts w:ascii="Times New Roman" w:hAnsi="Times New Roman" w:cs="Times New Roman"/>
          <w:sz w:val="24"/>
          <w:szCs w:val="24"/>
        </w:rPr>
        <w:t xml:space="preserve"> argued that the cause of action does not constitute a debt as defined by the Prescription Act [</w:t>
      </w:r>
      <w:r w:rsidR="0044369D" w:rsidRPr="0044369D">
        <w:rPr>
          <w:rFonts w:ascii="Times New Roman" w:hAnsi="Times New Roman" w:cs="Times New Roman"/>
          <w:i/>
          <w:iCs/>
          <w:sz w:val="24"/>
          <w:szCs w:val="24"/>
        </w:rPr>
        <w:t>Chapter 8.11</w:t>
      </w:r>
      <w:r w:rsidR="0044369D">
        <w:rPr>
          <w:rFonts w:ascii="Times New Roman" w:hAnsi="Times New Roman" w:cs="Times New Roman"/>
          <w:sz w:val="24"/>
          <w:szCs w:val="24"/>
        </w:rPr>
        <w:t>] and therefore prescription does not arise.  Section 2 of the Prescription Act [</w:t>
      </w:r>
      <w:r w:rsidR="0044369D" w:rsidRPr="00681085">
        <w:rPr>
          <w:rFonts w:ascii="Times New Roman" w:hAnsi="Times New Roman" w:cs="Times New Roman"/>
          <w:i/>
          <w:iCs/>
          <w:sz w:val="24"/>
          <w:szCs w:val="24"/>
        </w:rPr>
        <w:t>Chapter 8.11</w:t>
      </w:r>
      <w:r w:rsidR="0044369D">
        <w:rPr>
          <w:rFonts w:ascii="Times New Roman" w:hAnsi="Times New Roman" w:cs="Times New Roman"/>
          <w:sz w:val="24"/>
          <w:szCs w:val="24"/>
        </w:rPr>
        <w:t>] defines a debt as;</w:t>
      </w:r>
    </w:p>
    <w:p w14:paraId="72BA7572" w14:textId="7F8788F7" w:rsidR="0079756C" w:rsidRDefault="0079756C" w:rsidP="0022763A">
      <w:pPr>
        <w:spacing w:after="0" w:line="240" w:lineRule="auto"/>
        <w:ind w:left="720"/>
        <w:jc w:val="both"/>
        <w:rPr>
          <w:rFonts w:ascii="Times New Roman" w:hAnsi="Times New Roman" w:cs="Times New Roman"/>
        </w:rPr>
      </w:pPr>
      <w:r w:rsidRPr="0022763A">
        <w:rPr>
          <w:rFonts w:ascii="Times New Roman" w:hAnsi="Times New Roman" w:cs="Times New Roman"/>
        </w:rPr>
        <w:t>“</w:t>
      </w:r>
      <w:proofErr w:type="gramStart"/>
      <w:r w:rsidRPr="0022763A">
        <w:rPr>
          <w:rFonts w:ascii="Times New Roman" w:hAnsi="Times New Roman" w:cs="Times New Roman"/>
        </w:rPr>
        <w:t>debt</w:t>
      </w:r>
      <w:proofErr w:type="gramEnd"/>
      <w:r w:rsidRPr="0022763A">
        <w:rPr>
          <w:rFonts w:ascii="Times New Roman" w:hAnsi="Times New Roman" w:cs="Times New Roman"/>
        </w:rPr>
        <w:t>, without limiting the meaning of the term, includes anything which may be sued for or claimed by reason of an obligation arising from statute contract, delict or otherwise.”</w:t>
      </w:r>
    </w:p>
    <w:p w14:paraId="6D828E9F" w14:textId="77777777" w:rsidR="0022763A" w:rsidRPr="0022763A" w:rsidRDefault="0022763A" w:rsidP="0022763A">
      <w:pPr>
        <w:spacing w:after="0" w:line="240" w:lineRule="auto"/>
        <w:ind w:left="720"/>
        <w:jc w:val="both"/>
        <w:rPr>
          <w:rFonts w:ascii="Times New Roman" w:hAnsi="Times New Roman" w:cs="Times New Roman"/>
        </w:rPr>
      </w:pPr>
    </w:p>
    <w:p w14:paraId="121B1C17" w14:textId="236DCCF8" w:rsidR="0079756C" w:rsidRDefault="0079756C" w:rsidP="0000696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Mr </w:t>
      </w:r>
      <w:r w:rsidRPr="0022763A">
        <w:rPr>
          <w:rFonts w:ascii="Times New Roman" w:hAnsi="Times New Roman" w:cs="Times New Roman"/>
          <w:i/>
          <w:iCs/>
          <w:sz w:val="24"/>
          <w:szCs w:val="24"/>
        </w:rPr>
        <w:t>Madondo</w:t>
      </w:r>
      <w:r>
        <w:rPr>
          <w:rFonts w:ascii="Times New Roman" w:hAnsi="Times New Roman" w:cs="Times New Roman"/>
          <w:sz w:val="24"/>
          <w:szCs w:val="24"/>
        </w:rPr>
        <w:t xml:space="preserve"> referred to the case of </w:t>
      </w:r>
      <w:r w:rsidRPr="0022763A">
        <w:rPr>
          <w:rFonts w:ascii="Times New Roman" w:hAnsi="Times New Roman" w:cs="Times New Roman"/>
          <w:i/>
          <w:iCs/>
          <w:sz w:val="24"/>
          <w:szCs w:val="24"/>
        </w:rPr>
        <w:t xml:space="preserve">Ndlovu </w:t>
      </w:r>
      <w:r w:rsidRPr="0022763A">
        <w:rPr>
          <w:rFonts w:ascii="Times New Roman" w:hAnsi="Times New Roman" w:cs="Times New Roman"/>
          <w:sz w:val="24"/>
          <w:szCs w:val="24"/>
        </w:rPr>
        <w:t>v</w:t>
      </w:r>
      <w:r w:rsidRPr="0022763A">
        <w:rPr>
          <w:rFonts w:ascii="Times New Roman" w:hAnsi="Times New Roman" w:cs="Times New Roman"/>
          <w:i/>
          <w:iCs/>
          <w:sz w:val="24"/>
          <w:szCs w:val="24"/>
        </w:rPr>
        <w:t xml:space="preserve"> Ndlovu and Anor</w:t>
      </w:r>
      <w:r>
        <w:rPr>
          <w:rFonts w:ascii="Times New Roman" w:hAnsi="Times New Roman" w:cs="Times New Roman"/>
          <w:sz w:val="24"/>
          <w:szCs w:val="24"/>
        </w:rPr>
        <w:t xml:space="preserve"> 2013(1) ZLR 110 in which it was stated that the applicant’s claim based on the alleged nullity of a sale transaction did not arise from a debt as defined in the Act.  The question is whether </w:t>
      </w:r>
      <w:r w:rsidRPr="0079756C">
        <w:rPr>
          <w:rFonts w:ascii="Times New Roman" w:hAnsi="Times New Roman" w:cs="Times New Roman"/>
          <w:i/>
          <w:iCs/>
          <w:sz w:val="24"/>
          <w:szCs w:val="24"/>
        </w:rPr>
        <w:t>in casu</w:t>
      </w:r>
      <w:r>
        <w:rPr>
          <w:rFonts w:ascii="Times New Roman" w:hAnsi="Times New Roman" w:cs="Times New Roman"/>
          <w:sz w:val="24"/>
          <w:szCs w:val="24"/>
        </w:rPr>
        <w:t xml:space="preserve"> the alleged sale was </w:t>
      </w:r>
      <w:r>
        <w:rPr>
          <w:rFonts w:ascii="Times New Roman" w:hAnsi="Times New Roman" w:cs="Times New Roman"/>
          <w:sz w:val="24"/>
          <w:szCs w:val="24"/>
        </w:rPr>
        <w:lastRenderedPageBreak/>
        <w:t>valid.  It is common cause that immovable property belonging to a minor was disposed of.  Whether or not that disposal was proper is an issue for the merits of the matter</w:t>
      </w:r>
      <w:r w:rsidR="005931D0">
        <w:rPr>
          <w:rFonts w:ascii="Times New Roman" w:hAnsi="Times New Roman" w:cs="Times New Roman"/>
          <w:sz w:val="24"/>
          <w:szCs w:val="24"/>
        </w:rPr>
        <w:t>.</w:t>
      </w:r>
    </w:p>
    <w:p w14:paraId="79DED0B0" w14:textId="7BD22FD2" w:rsidR="005931D0" w:rsidRDefault="005931D0" w:rsidP="0000696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However, since the matter centres on inheritance, I am not persuaded that it is in the category of a debt as defined in the Prescription Act [</w:t>
      </w:r>
      <w:r w:rsidRPr="005931D0">
        <w:rPr>
          <w:rFonts w:ascii="Times New Roman" w:hAnsi="Times New Roman" w:cs="Times New Roman"/>
          <w:i/>
          <w:iCs/>
          <w:sz w:val="24"/>
          <w:szCs w:val="24"/>
        </w:rPr>
        <w:t>Chapter 8.11</w:t>
      </w:r>
      <w:r>
        <w:rPr>
          <w:rFonts w:ascii="Times New Roman" w:hAnsi="Times New Roman" w:cs="Times New Roman"/>
          <w:sz w:val="24"/>
          <w:szCs w:val="24"/>
        </w:rPr>
        <w:t xml:space="preserve">].  </w:t>
      </w:r>
      <w:r w:rsidR="00E67D3A">
        <w:rPr>
          <w:rFonts w:ascii="Times New Roman" w:hAnsi="Times New Roman" w:cs="Times New Roman"/>
          <w:sz w:val="24"/>
          <w:szCs w:val="24"/>
        </w:rPr>
        <w:t>S</w:t>
      </w:r>
      <w:r>
        <w:rPr>
          <w:rFonts w:ascii="Times New Roman" w:hAnsi="Times New Roman" w:cs="Times New Roman"/>
          <w:sz w:val="24"/>
          <w:szCs w:val="24"/>
        </w:rPr>
        <w:t xml:space="preserve">ince the issue </w:t>
      </w:r>
      <w:r w:rsidR="00CE6A2A">
        <w:rPr>
          <w:rFonts w:ascii="Times New Roman" w:hAnsi="Times New Roman" w:cs="Times New Roman"/>
          <w:sz w:val="24"/>
          <w:szCs w:val="24"/>
        </w:rPr>
        <w:t xml:space="preserve">of the validity of the agreement of sale is yet </w:t>
      </w:r>
      <w:r w:rsidR="00E67D3A">
        <w:rPr>
          <w:rFonts w:ascii="Times New Roman" w:hAnsi="Times New Roman" w:cs="Times New Roman"/>
          <w:sz w:val="24"/>
          <w:szCs w:val="24"/>
        </w:rPr>
        <w:t>to be determine</w:t>
      </w:r>
      <w:r w:rsidR="000E61BB">
        <w:rPr>
          <w:rFonts w:ascii="Times New Roman" w:hAnsi="Times New Roman" w:cs="Times New Roman"/>
          <w:sz w:val="24"/>
          <w:szCs w:val="24"/>
        </w:rPr>
        <w:t>d</w:t>
      </w:r>
      <w:r w:rsidR="00E67D3A">
        <w:rPr>
          <w:rFonts w:ascii="Times New Roman" w:hAnsi="Times New Roman" w:cs="Times New Roman"/>
          <w:sz w:val="24"/>
          <w:szCs w:val="24"/>
        </w:rPr>
        <w:t xml:space="preserve">, there is a probability that the decision in </w:t>
      </w:r>
      <w:r w:rsidR="00E67D3A" w:rsidRPr="001515C6">
        <w:rPr>
          <w:rFonts w:ascii="Times New Roman" w:hAnsi="Times New Roman" w:cs="Times New Roman"/>
          <w:i/>
          <w:iCs/>
          <w:sz w:val="24"/>
          <w:szCs w:val="24"/>
        </w:rPr>
        <w:t>Ncube</w:t>
      </w:r>
      <w:r w:rsidR="00E67D3A" w:rsidRPr="001515C6">
        <w:rPr>
          <w:rFonts w:ascii="Times New Roman" w:hAnsi="Times New Roman" w:cs="Times New Roman"/>
          <w:sz w:val="24"/>
          <w:szCs w:val="24"/>
        </w:rPr>
        <w:t xml:space="preserve"> v</w:t>
      </w:r>
      <w:r w:rsidR="00E67D3A" w:rsidRPr="001515C6">
        <w:rPr>
          <w:rFonts w:ascii="Times New Roman" w:hAnsi="Times New Roman" w:cs="Times New Roman"/>
          <w:i/>
          <w:iCs/>
          <w:sz w:val="24"/>
          <w:szCs w:val="24"/>
        </w:rPr>
        <w:t xml:space="preserve"> Ncube and Anor (supra) </w:t>
      </w:r>
      <w:r w:rsidR="00E67D3A">
        <w:rPr>
          <w:rFonts w:ascii="Times New Roman" w:hAnsi="Times New Roman" w:cs="Times New Roman"/>
          <w:sz w:val="24"/>
          <w:szCs w:val="24"/>
        </w:rPr>
        <w:t xml:space="preserve">is applicable. Counsel for the first respondent did not cite any authority that is contrary </w:t>
      </w:r>
      <w:r w:rsidR="001515C6">
        <w:rPr>
          <w:rFonts w:ascii="Times New Roman" w:hAnsi="Times New Roman" w:cs="Times New Roman"/>
          <w:sz w:val="24"/>
          <w:szCs w:val="24"/>
        </w:rPr>
        <w:t xml:space="preserve">to the finding in </w:t>
      </w:r>
      <w:r w:rsidR="001515C6" w:rsidRPr="001515C6">
        <w:rPr>
          <w:rFonts w:ascii="Times New Roman" w:hAnsi="Times New Roman" w:cs="Times New Roman"/>
          <w:i/>
          <w:iCs/>
          <w:sz w:val="24"/>
          <w:szCs w:val="24"/>
        </w:rPr>
        <w:t>Ncube v Ncube and Anor</w:t>
      </w:r>
      <w:r w:rsidR="001515C6">
        <w:rPr>
          <w:rFonts w:ascii="Times New Roman" w:hAnsi="Times New Roman" w:cs="Times New Roman"/>
          <w:sz w:val="24"/>
          <w:szCs w:val="24"/>
        </w:rPr>
        <w:t xml:space="preserve"> (</w:t>
      </w:r>
      <w:r w:rsidR="001515C6" w:rsidRPr="001515C6">
        <w:rPr>
          <w:rFonts w:ascii="Times New Roman" w:hAnsi="Times New Roman" w:cs="Times New Roman"/>
          <w:i/>
          <w:iCs/>
          <w:sz w:val="24"/>
          <w:szCs w:val="24"/>
        </w:rPr>
        <w:t>supra</w:t>
      </w:r>
      <w:r w:rsidR="001515C6">
        <w:rPr>
          <w:rFonts w:ascii="Times New Roman" w:hAnsi="Times New Roman" w:cs="Times New Roman"/>
          <w:sz w:val="24"/>
          <w:szCs w:val="24"/>
        </w:rPr>
        <w:t>).  I therefore find that this preliminary point fails as well.</w:t>
      </w:r>
    </w:p>
    <w:p w14:paraId="1DA0FEE2" w14:textId="5DB6229D" w:rsidR="001515C6" w:rsidRDefault="001515C6" w:rsidP="0000696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Consequently, the preliminary points failed. The matter must be argued on the merits. I</w:t>
      </w:r>
      <w:r w:rsidR="00487A0C">
        <w:rPr>
          <w:rFonts w:ascii="Times New Roman" w:hAnsi="Times New Roman" w:cs="Times New Roman"/>
          <w:sz w:val="24"/>
          <w:szCs w:val="24"/>
        </w:rPr>
        <w:t xml:space="preserve"> </w:t>
      </w:r>
      <w:r>
        <w:rPr>
          <w:rFonts w:ascii="Times New Roman" w:hAnsi="Times New Roman" w:cs="Times New Roman"/>
          <w:sz w:val="24"/>
          <w:szCs w:val="24"/>
        </w:rPr>
        <w:t>make the following order.</w:t>
      </w:r>
    </w:p>
    <w:p w14:paraId="57940C06" w14:textId="59F9EB33" w:rsidR="001515C6" w:rsidRDefault="001515C6" w:rsidP="001515C6">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 xml:space="preserve">The preliminary points be and are </w:t>
      </w:r>
      <w:r w:rsidR="008346D6">
        <w:rPr>
          <w:rFonts w:ascii="Times New Roman" w:hAnsi="Times New Roman" w:cs="Times New Roman"/>
        </w:rPr>
        <w:t xml:space="preserve">hereby </w:t>
      </w:r>
      <w:r>
        <w:rPr>
          <w:rFonts w:ascii="Times New Roman" w:hAnsi="Times New Roman" w:cs="Times New Roman"/>
        </w:rPr>
        <w:t>dismissed.</w:t>
      </w:r>
    </w:p>
    <w:p w14:paraId="5C520178" w14:textId="035A5183" w:rsidR="001515C6" w:rsidRDefault="001515C6" w:rsidP="001515C6">
      <w:pPr>
        <w:pStyle w:val="ListParagraph"/>
        <w:numPr>
          <w:ilvl w:val="0"/>
          <w:numId w:val="4"/>
        </w:numPr>
        <w:spacing w:after="0" w:line="360" w:lineRule="auto"/>
        <w:jc w:val="both"/>
        <w:rPr>
          <w:rFonts w:ascii="Times New Roman" w:hAnsi="Times New Roman" w:cs="Times New Roman"/>
        </w:rPr>
      </w:pPr>
      <w:r>
        <w:rPr>
          <w:rFonts w:ascii="Times New Roman" w:hAnsi="Times New Roman" w:cs="Times New Roman"/>
        </w:rPr>
        <w:t>The matter is to be set down for argument on the merits on the next available date.</w:t>
      </w:r>
    </w:p>
    <w:p w14:paraId="54C62AD7" w14:textId="77777777" w:rsidR="001515C6" w:rsidRDefault="001515C6" w:rsidP="001515C6">
      <w:pPr>
        <w:spacing w:after="0" w:line="360" w:lineRule="auto"/>
        <w:jc w:val="both"/>
        <w:rPr>
          <w:rFonts w:ascii="Times New Roman" w:hAnsi="Times New Roman" w:cs="Times New Roman"/>
        </w:rPr>
      </w:pPr>
    </w:p>
    <w:p w14:paraId="7E657766" w14:textId="77777777" w:rsidR="001515C6" w:rsidRDefault="001515C6" w:rsidP="001515C6">
      <w:pPr>
        <w:spacing w:after="0" w:line="360" w:lineRule="auto"/>
        <w:jc w:val="both"/>
        <w:rPr>
          <w:rFonts w:ascii="Times New Roman" w:hAnsi="Times New Roman" w:cs="Times New Roman"/>
        </w:rPr>
      </w:pPr>
    </w:p>
    <w:p w14:paraId="70ACD846" w14:textId="01F475AD" w:rsidR="001515C6" w:rsidRDefault="001515C6" w:rsidP="001515C6">
      <w:pPr>
        <w:spacing w:after="0" w:line="360" w:lineRule="auto"/>
        <w:jc w:val="both"/>
        <w:rPr>
          <w:rFonts w:ascii="Times New Roman" w:hAnsi="Times New Roman" w:cs="Times New Roman"/>
          <w:b/>
          <w:bCs/>
        </w:rPr>
      </w:pPr>
      <w:r w:rsidRPr="001515C6">
        <w:rPr>
          <w:rFonts w:ascii="Times New Roman" w:hAnsi="Times New Roman" w:cs="Times New Roman"/>
          <w:b/>
          <w:bCs/>
        </w:rPr>
        <w:t>Maxwell J</w:t>
      </w:r>
      <w:proofErr w:type="gramStart"/>
      <w:r w:rsidRPr="001515C6">
        <w:rPr>
          <w:rFonts w:ascii="Times New Roman" w:hAnsi="Times New Roman" w:cs="Times New Roman"/>
          <w:b/>
          <w:bCs/>
        </w:rPr>
        <w:t>:…………………………….</w:t>
      </w:r>
      <w:proofErr w:type="gramEnd"/>
    </w:p>
    <w:p w14:paraId="17DDDC89" w14:textId="77777777" w:rsidR="001515C6" w:rsidRPr="001515C6" w:rsidRDefault="001515C6" w:rsidP="001515C6">
      <w:pPr>
        <w:spacing w:after="0" w:line="360" w:lineRule="auto"/>
        <w:jc w:val="both"/>
        <w:rPr>
          <w:rFonts w:ascii="Times New Roman" w:hAnsi="Times New Roman" w:cs="Times New Roman"/>
          <w:b/>
          <w:bCs/>
        </w:rPr>
      </w:pPr>
    </w:p>
    <w:p w14:paraId="286C5091" w14:textId="447114B2" w:rsidR="001515C6" w:rsidRPr="001515C6" w:rsidRDefault="001515C6" w:rsidP="001515C6">
      <w:pPr>
        <w:spacing w:after="0" w:line="240" w:lineRule="auto"/>
        <w:jc w:val="both"/>
        <w:rPr>
          <w:rFonts w:ascii="Times New Roman" w:hAnsi="Times New Roman" w:cs="Times New Roman"/>
          <w:sz w:val="24"/>
          <w:szCs w:val="24"/>
        </w:rPr>
      </w:pPr>
      <w:proofErr w:type="spellStart"/>
      <w:r w:rsidRPr="001515C6">
        <w:rPr>
          <w:rFonts w:ascii="Times New Roman" w:hAnsi="Times New Roman" w:cs="Times New Roman"/>
          <w:i/>
          <w:iCs/>
          <w:sz w:val="24"/>
          <w:szCs w:val="24"/>
        </w:rPr>
        <w:t>Mabulala</w:t>
      </w:r>
      <w:proofErr w:type="spellEnd"/>
      <w:r w:rsidRPr="001515C6">
        <w:rPr>
          <w:rFonts w:ascii="Times New Roman" w:hAnsi="Times New Roman" w:cs="Times New Roman"/>
          <w:i/>
          <w:iCs/>
          <w:sz w:val="24"/>
          <w:szCs w:val="24"/>
        </w:rPr>
        <w:t xml:space="preserve"> &amp; </w:t>
      </w:r>
      <w:proofErr w:type="spellStart"/>
      <w:r w:rsidRPr="001515C6">
        <w:rPr>
          <w:rFonts w:ascii="Times New Roman" w:hAnsi="Times New Roman" w:cs="Times New Roman"/>
          <w:i/>
          <w:iCs/>
          <w:sz w:val="24"/>
          <w:szCs w:val="24"/>
        </w:rPr>
        <w:t>Dembure</w:t>
      </w:r>
      <w:proofErr w:type="spellEnd"/>
      <w:r w:rsidRPr="001515C6">
        <w:rPr>
          <w:rFonts w:ascii="Times New Roman" w:hAnsi="Times New Roman" w:cs="Times New Roman"/>
          <w:sz w:val="24"/>
          <w:szCs w:val="24"/>
        </w:rPr>
        <w:t>, applicant’s legal practitioners</w:t>
      </w:r>
    </w:p>
    <w:p w14:paraId="7A656E9C" w14:textId="5C35A31C" w:rsidR="001515C6" w:rsidRPr="001515C6" w:rsidRDefault="001515C6" w:rsidP="001515C6">
      <w:pPr>
        <w:spacing w:after="0" w:line="240" w:lineRule="auto"/>
        <w:jc w:val="both"/>
        <w:rPr>
          <w:rFonts w:ascii="Times New Roman" w:hAnsi="Times New Roman" w:cs="Times New Roman"/>
          <w:sz w:val="24"/>
          <w:szCs w:val="24"/>
        </w:rPr>
      </w:pPr>
      <w:proofErr w:type="spellStart"/>
      <w:r w:rsidRPr="001515C6">
        <w:rPr>
          <w:rFonts w:ascii="Times New Roman" w:hAnsi="Times New Roman" w:cs="Times New Roman"/>
          <w:i/>
          <w:iCs/>
          <w:sz w:val="24"/>
          <w:szCs w:val="24"/>
        </w:rPr>
        <w:t>Tundu</w:t>
      </w:r>
      <w:proofErr w:type="spellEnd"/>
      <w:r w:rsidRPr="001515C6">
        <w:rPr>
          <w:rFonts w:ascii="Times New Roman" w:hAnsi="Times New Roman" w:cs="Times New Roman"/>
          <w:i/>
          <w:iCs/>
          <w:sz w:val="24"/>
          <w:szCs w:val="24"/>
        </w:rPr>
        <w:t xml:space="preserve"> Law Chambers,</w:t>
      </w:r>
      <w:r>
        <w:rPr>
          <w:rFonts w:ascii="Times New Roman" w:hAnsi="Times New Roman" w:cs="Times New Roman"/>
          <w:i/>
          <w:iCs/>
          <w:sz w:val="24"/>
          <w:szCs w:val="24"/>
        </w:rPr>
        <w:t xml:space="preserve"> </w:t>
      </w:r>
      <w:r w:rsidRPr="001515C6">
        <w:rPr>
          <w:rFonts w:ascii="Times New Roman" w:hAnsi="Times New Roman" w:cs="Times New Roman"/>
          <w:sz w:val="24"/>
          <w:szCs w:val="24"/>
        </w:rPr>
        <w:t>first respondent’s legal practitioners</w:t>
      </w:r>
    </w:p>
    <w:p w14:paraId="57242DBF" w14:textId="77777777" w:rsidR="001515C6" w:rsidRDefault="001515C6" w:rsidP="0000696D">
      <w:pPr>
        <w:spacing w:after="0" w:line="360" w:lineRule="auto"/>
        <w:ind w:firstLine="720"/>
        <w:jc w:val="both"/>
        <w:rPr>
          <w:rFonts w:ascii="Times New Roman" w:hAnsi="Times New Roman" w:cs="Times New Roman"/>
          <w:sz w:val="24"/>
          <w:szCs w:val="24"/>
        </w:rPr>
      </w:pPr>
    </w:p>
    <w:p w14:paraId="105E53C2" w14:textId="77777777" w:rsidR="001515C6" w:rsidRDefault="001515C6" w:rsidP="0000696D">
      <w:pPr>
        <w:spacing w:after="0" w:line="360" w:lineRule="auto"/>
        <w:ind w:firstLine="720"/>
        <w:jc w:val="both"/>
        <w:rPr>
          <w:rFonts w:ascii="Times New Roman" w:hAnsi="Times New Roman" w:cs="Times New Roman"/>
          <w:sz w:val="24"/>
          <w:szCs w:val="24"/>
        </w:rPr>
      </w:pPr>
    </w:p>
    <w:p w14:paraId="1F0A5CA3" w14:textId="25E42454" w:rsidR="00F526A1" w:rsidRPr="00F526A1" w:rsidRDefault="00FB0640" w:rsidP="0000696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380CD88C" w14:textId="77777777" w:rsidR="00F526A1" w:rsidRDefault="00F526A1" w:rsidP="0000696D">
      <w:pPr>
        <w:spacing w:after="0" w:line="360" w:lineRule="auto"/>
        <w:ind w:firstLine="720"/>
        <w:jc w:val="both"/>
        <w:rPr>
          <w:rFonts w:ascii="Times New Roman" w:hAnsi="Times New Roman" w:cs="Times New Roman"/>
          <w:sz w:val="24"/>
          <w:szCs w:val="24"/>
        </w:rPr>
      </w:pPr>
    </w:p>
    <w:p w14:paraId="0D455782" w14:textId="35BFE44C" w:rsidR="00FC77E6" w:rsidRPr="00F22B04" w:rsidRDefault="00F526A1" w:rsidP="0000696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14:paraId="4A145237" w14:textId="77777777" w:rsidR="0016555C" w:rsidRDefault="0016555C"/>
    <w:sectPr w:rsidR="0016555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4A645D" w14:textId="77777777" w:rsidR="00327AEC" w:rsidRDefault="00327AEC" w:rsidP="0016555C">
      <w:pPr>
        <w:spacing w:after="0" w:line="240" w:lineRule="auto"/>
      </w:pPr>
      <w:r>
        <w:separator/>
      </w:r>
    </w:p>
  </w:endnote>
  <w:endnote w:type="continuationSeparator" w:id="0">
    <w:p w14:paraId="6E222DB0" w14:textId="77777777" w:rsidR="00327AEC" w:rsidRDefault="00327AEC" w:rsidP="001655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61818C" w14:textId="77777777" w:rsidR="00327AEC" w:rsidRDefault="00327AEC" w:rsidP="0016555C">
      <w:pPr>
        <w:spacing w:after="0" w:line="240" w:lineRule="auto"/>
      </w:pPr>
      <w:r>
        <w:separator/>
      </w:r>
    </w:p>
  </w:footnote>
  <w:footnote w:type="continuationSeparator" w:id="0">
    <w:p w14:paraId="76445449" w14:textId="77777777" w:rsidR="00327AEC" w:rsidRDefault="00327AEC" w:rsidP="001655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4907484"/>
      <w:docPartObj>
        <w:docPartGallery w:val="Page Numbers (Top of Page)"/>
        <w:docPartUnique/>
      </w:docPartObj>
    </w:sdtPr>
    <w:sdtEndPr>
      <w:rPr>
        <w:noProof/>
      </w:rPr>
    </w:sdtEndPr>
    <w:sdtContent>
      <w:p w14:paraId="2282A240" w14:textId="77777777" w:rsidR="0016555C" w:rsidRDefault="0016555C">
        <w:pPr>
          <w:pStyle w:val="Header"/>
          <w:jc w:val="right"/>
          <w:rPr>
            <w:noProof/>
          </w:rPr>
        </w:pPr>
        <w:r>
          <w:fldChar w:fldCharType="begin"/>
        </w:r>
        <w:r>
          <w:instrText xml:space="preserve"> PAGE   \* MERGEFORMAT </w:instrText>
        </w:r>
        <w:r>
          <w:fldChar w:fldCharType="separate"/>
        </w:r>
        <w:r w:rsidR="009C1716">
          <w:rPr>
            <w:noProof/>
          </w:rPr>
          <w:t>1</w:t>
        </w:r>
        <w:r>
          <w:rPr>
            <w:noProof/>
          </w:rPr>
          <w:fldChar w:fldCharType="end"/>
        </w:r>
      </w:p>
      <w:p w14:paraId="64861F2C" w14:textId="0AA27858" w:rsidR="0016555C" w:rsidRDefault="000E04D0">
        <w:pPr>
          <w:pStyle w:val="Header"/>
          <w:jc w:val="right"/>
          <w:rPr>
            <w:noProof/>
          </w:rPr>
        </w:pPr>
        <w:r>
          <w:rPr>
            <w:noProof/>
          </w:rPr>
          <w:t>HH 198-26</w:t>
        </w:r>
      </w:p>
      <w:p w14:paraId="400FE2A5" w14:textId="46941DB3" w:rsidR="0016555C" w:rsidRDefault="0016555C">
        <w:pPr>
          <w:pStyle w:val="Header"/>
          <w:jc w:val="right"/>
        </w:pPr>
        <w:r>
          <w:rPr>
            <w:noProof/>
          </w:rPr>
          <w:t>HCHF 2023/25</w:t>
        </w:r>
      </w:p>
    </w:sdtContent>
  </w:sdt>
  <w:p w14:paraId="7E754CB0" w14:textId="77777777" w:rsidR="0016555C" w:rsidRDefault="001655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459E5"/>
    <w:multiLevelType w:val="hybridMultilevel"/>
    <w:tmpl w:val="00F07270"/>
    <w:lvl w:ilvl="0" w:tplc="EDEAB6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87F4C0E"/>
    <w:multiLevelType w:val="hybridMultilevel"/>
    <w:tmpl w:val="068C943E"/>
    <w:lvl w:ilvl="0" w:tplc="87C86ED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AF56762"/>
    <w:multiLevelType w:val="hybridMultilevel"/>
    <w:tmpl w:val="75F2254C"/>
    <w:lvl w:ilvl="0" w:tplc="E19A8A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CDD4957"/>
    <w:multiLevelType w:val="hybridMultilevel"/>
    <w:tmpl w:val="2252FD74"/>
    <w:lvl w:ilvl="0" w:tplc="31D2CB5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55C"/>
    <w:rsid w:val="0000696D"/>
    <w:rsid w:val="00022005"/>
    <w:rsid w:val="00044EC1"/>
    <w:rsid w:val="000558D7"/>
    <w:rsid w:val="00066BE0"/>
    <w:rsid w:val="000676AB"/>
    <w:rsid w:val="00090C1E"/>
    <w:rsid w:val="00096373"/>
    <w:rsid w:val="000B1771"/>
    <w:rsid w:val="000E04D0"/>
    <w:rsid w:val="000E61BB"/>
    <w:rsid w:val="000E7181"/>
    <w:rsid w:val="001515C6"/>
    <w:rsid w:val="00157012"/>
    <w:rsid w:val="00162BD0"/>
    <w:rsid w:val="0016555C"/>
    <w:rsid w:val="001C56C7"/>
    <w:rsid w:val="001D5E5F"/>
    <w:rsid w:val="0021510B"/>
    <w:rsid w:val="0022763A"/>
    <w:rsid w:val="002D54F4"/>
    <w:rsid w:val="002F18A7"/>
    <w:rsid w:val="003045A5"/>
    <w:rsid w:val="0031116F"/>
    <w:rsid w:val="00327AEC"/>
    <w:rsid w:val="003335AC"/>
    <w:rsid w:val="003C01F4"/>
    <w:rsid w:val="003C6CF0"/>
    <w:rsid w:val="003C7ED0"/>
    <w:rsid w:val="003D01AA"/>
    <w:rsid w:val="003F15F1"/>
    <w:rsid w:val="0044369D"/>
    <w:rsid w:val="00487A0C"/>
    <w:rsid w:val="005210BA"/>
    <w:rsid w:val="005931D0"/>
    <w:rsid w:val="005E5BB0"/>
    <w:rsid w:val="005F782F"/>
    <w:rsid w:val="00603590"/>
    <w:rsid w:val="006247CE"/>
    <w:rsid w:val="0064215D"/>
    <w:rsid w:val="00675460"/>
    <w:rsid w:val="00681085"/>
    <w:rsid w:val="006E5463"/>
    <w:rsid w:val="00766F31"/>
    <w:rsid w:val="0079756C"/>
    <w:rsid w:val="007B737D"/>
    <w:rsid w:val="007D2E7D"/>
    <w:rsid w:val="0080589E"/>
    <w:rsid w:val="008346D6"/>
    <w:rsid w:val="00843B77"/>
    <w:rsid w:val="00875DB2"/>
    <w:rsid w:val="00911005"/>
    <w:rsid w:val="00925B5C"/>
    <w:rsid w:val="00992909"/>
    <w:rsid w:val="009A222B"/>
    <w:rsid w:val="009A53D6"/>
    <w:rsid w:val="009B03BC"/>
    <w:rsid w:val="009C1716"/>
    <w:rsid w:val="00A9631D"/>
    <w:rsid w:val="00AB6424"/>
    <w:rsid w:val="00B33CFC"/>
    <w:rsid w:val="00C70721"/>
    <w:rsid w:val="00C95142"/>
    <w:rsid w:val="00CE6A2A"/>
    <w:rsid w:val="00D119B3"/>
    <w:rsid w:val="00D84F29"/>
    <w:rsid w:val="00E03295"/>
    <w:rsid w:val="00E14DE9"/>
    <w:rsid w:val="00E26628"/>
    <w:rsid w:val="00E318E9"/>
    <w:rsid w:val="00E67D3A"/>
    <w:rsid w:val="00ED578B"/>
    <w:rsid w:val="00F22B04"/>
    <w:rsid w:val="00F24A72"/>
    <w:rsid w:val="00F526A1"/>
    <w:rsid w:val="00F537B1"/>
    <w:rsid w:val="00FB0640"/>
    <w:rsid w:val="00FC77E6"/>
    <w:rsid w:val="00FD6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D1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55C"/>
    <w:pPr>
      <w:spacing w:line="259" w:lineRule="auto"/>
    </w:pPr>
    <w:rPr>
      <w:sz w:val="22"/>
      <w:szCs w:val="22"/>
      <w:lang w:val="en-ZW"/>
    </w:rPr>
  </w:style>
  <w:style w:type="paragraph" w:styleId="Heading1">
    <w:name w:val="heading 1"/>
    <w:basedOn w:val="Normal"/>
    <w:next w:val="Normal"/>
    <w:link w:val="Heading1Char"/>
    <w:uiPriority w:val="9"/>
    <w:qFormat/>
    <w:rsid w:val="0016555C"/>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16555C"/>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16555C"/>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16555C"/>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16555C"/>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16555C"/>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16555C"/>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16555C"/>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16555C"/>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5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55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55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55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55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55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5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5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55C"/>
    <w:rPr>
      <w:rFonts w:eastAsiaTheme="majorEastAsia" w:cstheme="majorBidi"/>
      <w:color w:val="272727" w:themeColor="text1" w:themeTint="D8"/>
    </w:rPr>
  </w:style>
  <w:style w:type="paragraph" w:styleId="Title">
    <w:name w:val="Title"/>
    <w:basedOn w:val="Normal"/>
    <w:next w:val="Normal"/>
    <w:link w:val="TitleChar"/>
    <w:uiPriority w:val="10"/>
    <w:qFormat/>
    <w:rsid w:val="0016555C"/>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1655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55C"/>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1655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55C"/>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16555C"/>
    <w:rPr>
      <w:i/>
      <w:iCs/>
      <w:color w:val="404040" w:themeColor="text1" w:themeTint="BF"/>
    </w:rPr>
  </w:style>
  <w:style w:type="paragraph" w:styleId="ListParagraph">
    <w:name w:val="List Paragraph"/>
    <w:basedOn w:val="Normal"/>
    <w:uiPriority w:val="34"/>
    <w:qFormat/>
    <w:rsid w:val="0016555C"/>
    <w:pPr>
      <w:spacing w:line="278" w:lineRule="auto"/>
      <w:ind w:left="720"/>
      <w:contextualSpacing/>
    </w:pPr>
    <w:rPr>
      <w:sz w:val="24"/>
      <w:szCs w:val="24"/>
      <w:lang w:val="en-US"/>
    </w:rPr>
  </w:style>
  <w:style w:type="character" w:styleId="IntenseEmphasis">
    <w:name w:val="Intense Emphasis"/>
    <w:basedOn w:val="DefaultParagraphFont"/>
    <w:uiPriority w:val="21"/>
    <w:qFormat/>
    <w:rsid w:val="0016555C"/>
    <w:rPr>
      <w:i/>
      <w:iCs/>
      <w:color w:val="2F5496" w:themeColor="accent1" w:themeShade="BF"/>
    </w:rPr>
  </w:style>
  <w:style w:type="paragraph" w:styleId="IntenseQuote">
    <w:name w:val="Intense Quote"/>
    <w:basedOn w:val="Normal"/>
    <w:next w:val="Normal"/>
    <w:link w:val="IntenseQuoteChar"/>
    <w:uiPriority w:val="30"/>
    <w:qFormat/>
    <w:rsid w:val="0016555C"/>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16555C"/>
    <w:rPr>
      <w:i/>
      <w:iCs/>
      <w:color w:val="2F5496" w:themeColor="accent1" w:themeShade="BF"/>
    </w:rPr>
  </w:style>
  <w:style w:type="character" w:styleId="IntenseReference">
    <w:name w:val="Intense Reference"/>
    <w:basedOn w:val="DefaultParagraphFont"/>
    <w:uiPriority w:val="32"/>
    <w:qFormat/>
    <w:rsid w:val="0016555C"/>
    <w:rPr>
      <w:b/>
      <w:bCs/>
      <w:smallCaps/>
      <w:color w:val="2F5496" w:themeColor="accent1" w:themeShade="BF"/>
      <w:spacing w:val="5"/>
    </w:rPr>
  </w:style>
  <w:style w:type="paragraph" w:styleId="Header">
    <w:name w:val="header"/>
    <w:basedOn w:val="Normal"/>
    <w:link w:val="HeaderChar"/>
    <w:uiPriority w:val="99"/>
    <w:unhideWhenUsed/>
    <w:rsid w:val="001655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55C"/>
    <w:rPr>
      <w:sz w:val="22"/>
      <w:szCs w:val="22"/>
      <w:lang w:val="en-ZW"/>
    </w:rPr>
  </w:style>
  <w:style w:type="paragraph" w:styleId="Footer">
    <w:name w:val="footer"/>
    <w:basedOn w:val="Normal"/>
    <w:link w:val="FooterChar"/>
    <w:uiPriority w:val="99"/>
    <w:unhideWhenUsed/>
    <w:rsid w:val="001655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55C"/>
    <w:rPr>
      <w:sz w:val="22"/>
      <w:szCs w:val="22"/>
      <w:lang w:val="en-Z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55C"/>
    <w:pPr>
      <w:spacing w:line="259" w:lineRule="auto"/>
    </w:pPr>
    <w:rPr>
      <w:sz w:val="22"/>
      <w:szCs w:val="22"/>
      <w:lang w:val="en-ZW"/>
    </w:rPr>
  </w:style>
  <w:style w:type="paragraph" w:styleId="Heading1">
    <w:name w:val="heading 1"/>
    <w:basedOn w:val="Normal"/>
    <w:next w:val="Normal"/>
    <w:link w:val="Heading1Char"/>
    <w:uiPriority w:val="9"/>
    <w:qFormat/>
    <w:rsid w:val="0016555C"/>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16555C"/>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16555C"/>
    <w:pPr>
      <w:keepNext/>
      <w:keepLines/>
      <w:spacing w:before="160" w:after="80" w:line="278" w:lineRule="auto"/>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16555C"/>
    <w:pPr>
      <w:keepNext/>
      <w:keepLines/>
      <w:spacing w:before="80" w:after="40" w:line="278" w:lineRule="auto"/>
      <w:outlineLvl w:val="3"/>
    </w:pPr>
    <w:rPr>
      <w:rFonts w:eastAsiaTheme="majorEastAsia" w:cstheme="majorBidi"/>
      <w:i/>
      <w:iCs/>
      <w:color w:val="2F5496" w:themeColor="accent1" w:themeShade="BF"/>
      <w:sz w:val="24"/>
      <w:szCs w:val="24"/>
      <w:lang w:val="en-US"/>
    </w:rPr>
  </w:style>
  <w:style w:type="paragraph" w:styleId="Heading5">
    <w:name w:val="heading 5"/>
    <w:basedOn w:val="Normal"/>
    <w:next w:val="Normal"/>
    <w:link w:val="Heading5Char"/>
    <w:uiPriority w:val="9"/>
    <w:semiHidden/>
    <w:unhideWhenUsed/>
    <w:qFormat/>
    <w:rsid w:val="0016555C"/>
    <w:pPr>
      <w:keepNext/>
      <w:keepLines/>
      <w:spacing w:before="80" w:after="40" w:line="278" w:lineRule="auto"/>
      <w:outlineLvl w:val="4"/>
    </w:pPr>
    <w:rPr>
      <w:rFonts w:eastAsiaTheme="majorEastAsia" w:cstheme="majorBidi"/>
      <w:color w:val="2F5496" w:themeColor="accent1" w:themeShade="BF"/>
      <w:sz w:val="24"/>
      <w:szCs w:val="24"/>
      <w:lang w:val="en-US"/>
    </w:rPr>
  </w:style>
  <w:style w:type="paragraph" w:styleId="Heading6">
    <w:name w:val="heading 6"/>
    <w:basedOn w:val="Normal"/>
    <w:next w:val="Normal"/>
    <w:link w:val="Heading6Char"/>
    <w:uiPriority w:val="9"/>
    <w:semiHidden/>
    <w:unhideWhenUsed/>
    <w:qFormat/>
    <w:rsid w:val="0016555C"/>
    <w:pPr>
      <w:keepNext/>
      <w:keepLines/>
      <w:spacing w:before="40" w:after="0" w:line="278" w:lineRule="auto"/>
      <w:outlineLvl w:val="5"/>
    </w:pPr>
    <w:rPr>
      <w:rFonts w:eastAsiaTheme="majorEastAsia" w:cstheme="majorBidi"/>
      <w:i/>
      <w:iCs/>
      <w:color w:val="595959" w:themeColor="text1" w:themeTint="A6"/>
      <w:sz w:val="24"/>
      <w:szCs w:val="24"/>
      <w:lang w:val="en-US"/>
    </w:rPr>
  </w:style>
  <w:style w:type="paragraph" w:styleId="Heading7">
    <w:name w:val="heading 7"/>
    <w:basedOn w:val="Normal"/>
    <w:next w:val="Normal"/>
    <w:link w:val="Heading7Char"/>
    <w:uiPriority w:val="9"/>
    <w:semiHidden/>
    <w:unhideWhenUsed/>
    <w:qFormat/>
    <w:rsid w:val="0016555C"/>
    <w:pPr>
      <w:keepNext/>
      <w:keepLines/>
      <w:spacing w:before="40" w:after="0" w:line="278" w:lineRule="auto"/>
      <w:outlineLvl w:val="6"/>
    </w:pPr>
    <w:rPr>
      <w:rFonts w:eastAsiaTheme="majorEastAsia" w:cstheme="majorBidi"/>
      <w:color w:val="595959" w:themeColor="text1" w:themeTint="A6"/>
      <w:sz w:val="24"/>
      <w:szCs w:val="24"/>
      <w:lang w:val="en-US"/>
    </w:rPr>
  </w:style>
  <w:style w:type="paragraph" w:styleId="Heading8">
    <w:name w:val="heading 8"/>
    <w:basedOn w:val="Normal"/>
    <w:next w:val="Normal"/>
    <w:link w:val="Heading8Char"/>
    <w:uiPriority w:val="9"/>
    <w:semiHidden/>
    <w:unhideWhenUsed/>
    <w:qFormat/>
    <w:rsid w:val="0016555C"/>
    <w:pPr>
      <w:keepNext/>
      <w:keepLines/>
      <w:spacing w:after="0" w:line="278" w:lineRule="auto"/>
      <w:outlineLvl w:val="7"/>
    </w:pPr>
    <w:rPr>
      <w:rFonts w:eastAsiaTheme="majorEastAsia" w:cstheme="majorBidi"/>
      <w:i/>
      <w:iCs/>
      <w:color w:val="272727" w:themeColor="text1" w:themeTint="D8"/>
      <w:sz w:val="24"/>
      <w:szCs w:val="24"/>
      <w:lang w:val="en-US"/>
    </w:rPr>
  </w:style>
  <w:style w:type="paragraph" w:styleId="Heading9">
    <w:name w:val="heading 9"/>
    <w:basedOn w:val="Normal"/>
    <w:next w:val="Normal"/>
    <w:link w:val="Heading9Char"/>
    <w:uiPriority w:val="9"/>
    <w:semiHidden/>
    <w:unhideWhenUsed/>
    <w:qFormat/>
    <w:rsid w:val="0016555C"/>
    <w:pPr>
      <w:keepNext/>
      <w:keepLines/>
      <w:spacing w:after="0" w:line="278" w:lineRule="auto"/>
      <w:outlineLvl w:val="8"/>
    </w:pPr>
    <w:rPr>
      <w:rFonts w:eastAsiaTheme="majorEastAsia" w:cstheme="majorBidi"/>
      <w:color w:val="272727" w:themeColor="text1" w:themeTint="D8"/>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5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55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55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55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55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55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55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55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555C"/>
    <w:rPr>
      <w:rFonts w:eastAsiaTheme="majorEastAsia" w:cstheme="majorBidi"/>
      <w:color w:val="272727" w:themeColor="text1" w:themeTint="D8"/>
    </w:rPr>
  </w:style>
  <w:style w:type="paragraph" w:styleId="Title">
    <w:name w:val="Title"/>
    <w:basedOn w:val="Normal"/>
    <w:next w:val="Normal"/>
    <w:link w:val="TitleChar"/>
    <w:uiPriority w:val="10"/>
    <w:qFormat/>
    <w:rsid w:val="0016555C"/>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1655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555C"/>
    <w:pPr>
      <w:numPr>
        <w:ilvl w:val="1"/>
      </w:numPr>
      <w:spacing w:line="278"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1655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555C"/>
    <w:pPr>
      <w:spacing w:before="160" w:line="278" w:lineRule="auto"/>
      <w:jc w:val="center"/>
    </w:pPr>
    <w:rPr>
      <w:i/>
      <w:iCs/>
      <w:color w:val="404040" w:themeColor="text1" w:themeTint="BF"/>
      <w:sz w:val="24"/>
      <w:szCs w:val="24"/>
      <w:lang w:val="en-US"/>
    </w:rPr>
  </w:style>
  <w:style w:type="character" w:customStyle="1" w:styleId="QuoteChar">
    <w:name w:val="Quote Char"/>
    <w:basedOn w:val="DefaultParagraphFont"/>
    <w:link w:val="Quote"/>
    <w:uiPriority w:val="29"/>
    <w:rsid w:val="0016555C"/>
    <w:rPr>
      <w:i/>
      <w:iCs/>
      <w:color w:val="404040" w:themeColor="text1" w:themeTint="BF"/>
    </w:rPr>
  </w:style>
  <w:style w:type="paragraph" w:styleId="ListParagraph">
    <w:name w:val="List Paragraph"/>
    <w:basedOn w:val="Normal"/>
    <w:uiPriority w:val="34"/>
    <w:qFormat/>
    <w:rsid w:val="0016555C"/>
    <w:pPr>
      <w:spacing w:line="278" w:lineRule="auto"/>
      <w:ind w:left="720"/>
      <w:contextualSpacing/>
    </w:pPr>
    <w:rPr>
      <w:sz w:val="24"/>
      <w:szCs w:val="24"/>
      <w:lang w:val="en-US"/>
    </w:rPr>
  </w:style>
  <w:style w:type="character" w:styleId="IntenseEmphasis">
    <w:name w:val="Intense Emphasis"/>
    <w:basedOn w:val="DefaultParagraphFont"/>
    <w:uiPriority w:val="21"/>
    <w:qFormat/>
    <w:rsid w:val="0016555C"/>
    <w:rPr>
      <w:i/>
      <w:iCs/>
      <w:color w:val="2F5496" w:themeColor="accent1" w:themeShade="BF"/>
    </w:rPr>
  </w:style>
  <w:style w:type="paragraph" w:styleId="IntenseQuote">
    <w:name w:val="Intense Quote"/>
    <w:basedOn w:val="Normal"/>
    <w:next w:val="Normal"/>
    <w:link w:val="IntenseQuoteChar"/>
    <w:uiPriority w:val="30"/>
    <w:qFormat/>
    <w:rsid w:val="0016555C"/>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sz w:val="24"/>
      <w:szCs w:val="24"/>
      <w:lang w:val="en-US"/>
    </w:rPr>
  </w:style>
  <w:style w:type="character" w:customStyle="1" w:styleId="IntenseQuoteChar">
    <w:name w:val="Intense Quote Char"/>
    <w:basedOn w:val="DefaultParagraphFont"/>
    <w:link w:val="IntenseQuote"/>
    <w:uiPriority w:val="30"/>
    <w:rsid w:val="0016555C"/>
    <w:rPr>
      <w:i/>
      <w:iCs/>
      <w:color w:val="2F5496" w:themeColor="accent1" w:themeShade="BF"/>
    </w:rPr>
  </w:style>
  <w:style w:type="character" w:styleId="IntenseReference">
    <w:name w:val="Intense Reference"/>
    <w:basedOn w:val="DefaultParagraphFont"/>
    <w:uiPriority w:val="32"/>
    <w:qFormat/>
    <w:rsid w:val="0016555C"/>
    <w:rPr>
      <w:b/>
      <w:bCs/>
      <w:smallCaps/>
      <w:color w:val="2F5496" w:themeColor="accent1" w:themeShade="BF"/>
      <w:spacing w:val="5"/>
    </w:rPr>
  </w:style>
  <w:style w:type="paragraph" w:styleId="Header">
    <w:name w:val="header"/>
    <w:basedOn w:val="Normal"/>
    <w:link w:val="HeaderChar"/>
    <w:uiPriority w:val="99"/>
    <w:unhideWhenUsed/>
    <w:rsid w:val="001655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55C"/>
    <w:rPr>
      <w:sz w:val="22"/>
      <w:szCs w:val="22"/>
      <w:lang w:val="en-ZW"/>
    </w:rPr>
  </w:style>
  <w:style w:type="paragraph" w:styleId="Footer">
    <w:name w:val="footer"/>
    <w:basedOn w:val="Normal"/>
    <w:link w:val="FooterChar"/>
    <w:uiPriority w:val="99"/>
    <w:unhideWhenUsed/>
    <w:rsid w:val="001655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55C"/>
    <w:rPr>
      <w:sz w:val="22"/>
      <w:szCs w:val="22"/>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1234</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dcterms:created xsi:type="dcterms:W3CDTF">2026-03-06T11:17:00Z</dcterms:created>
  <dcterms:modified xsi:type="dcterms:W3CDTF">2026-03-06T11:17:00Z</dcterms:modified>
</cp:coreProperties>
</file>