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DDD15" w14:textId="77777777" w:rsidR="00D61655" w:rsidRDefault="003E3748">
      <w:pPr>
        <w:spacing w:before="62" w:line="360" w:lineRule="auto"/>
        <w:ind w:left="100" w:right="24"/>
        <w:rPr>
          <w:b/>
        </w:rPr>
      </w:pPr>
      <w:r>
        <w:rPr>
          <w:b/>
        </w:rPr>
        <w:t>THE LABOUR COURT OF ZIMBABWE</w:t>
      </w:r>
      <w:r>
        <w:rPr>
          <w:b/>
          <w:spacing w:val="-52"/>
        </w:rPr>
        <w:t xml:space="preserve"> </w:t>
      </w:r>
      <w:r>
        <w:rPr>
          <w:b/>
        </w:rPr>
        <w:t>HARARE</w:t>
      </w:r>
      <w:r>
        <w:rPr>
          <w:b/>
          <w:spacing w:val="-2"/>
        </w:rPr>
        <w:t xml:space="preserve"> </w:t>
      </w:r>
      <w:r>
        <w:rPr>
          <w:b/>
        </w:rPr>
        <w:t>13 NOVEMBER,2023</w:t>
      </w:r>
    </w:p>
    <w:p w14:paraId="23C735AA" w14:textId="77777777" w:rsidR="00D61655" w:rsidRDefault="003E3748">
      <w:pPr>
        <w:ind w:left="100"/>
        <w:rPr>
          <w:b/>
        </w:rPr>
      </w:pP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04 MARCH, 2024</w:t>
      </w:r>
    </w:p>
    <w:p w14:paraId="2C6275BA" w14:textId="77777777" w:rsidR="00D61655" w:rsidRDefault="00D61655">
      <w:pPr>
        <w:pStyle w:val="BodyText"/>
        <w:ind w:left="0"/>
        <w:rPr>
          <w:b/>
          <w:sz w:val="24"/>
        </w:rPr>
      </w:pPr>
    </w:p>
    <w:p w14:paraId="584B3889" w14:textId="77777777" w:rsidR="00D61655" w:rsidRDefault="00D61655">
      <w:pPr>
        <w:pStyle w:val="BodyText"/>
        <w:spacing w:before="11"/>
        <w:ind w:left="0"/>
        <w:rPr>
          <w:b/>
        </w:rPr>
      </w:pPr>
    </w:p>
    <w:p w14:paraId="58C4C30C" w14:textId="77777777" w:rsidR="00D61655" w:rsidRDefault="003E3748">
      <w:pPr>
        <w:ind w:left="100"/>
        <w:rPr>
          <w:sz w:val="24"/>
        </w:rPr>
      </w:pP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matter</w:t>
      </w:r>
      <w:r>
        <w:rPr>
          <w:spacing w:val="-1"/>
          <w:sz w:val="24"/>
        </w:rPr>
        <w:t xml:space="preserve"> </w:t>
      </w:r>
      <w:r>
        <w:rPr>
          <w:sz w:val="24"/>
        </w:rPr>
        <w:t>between: -</w:t>
      </w:r>
    </w:p>
    <w:p w14:paraId="0F7B970D" w14:textId="77777777" w:rsidR="00D61655" w:rsidRDefault="003E3748">
      <w:pPr>
        <w:spacing w:before="62" w:line="360" w:lineRule="auto"/>
        <w:ind w:left="100" w:right="1068"/>
        <w:rPr>
          <w:b/>
        </w:rPr>
      </w:pPr>
      <w:r>
        <w:br w:type="column"/>
      </w:r>
      <w:r>
        <w:rPr>
          <w:b/>
        </w:rPr>
        <w:t>JUDGMENT NO. LC/H/88/24</w:t>
      </w:r>
      <w:r>
        <w:rPr>
          <w:b/>
          <w:spacing w:val="-52"/>
        </w:rPr>
        <w:t xml:space="preserve"> </w:t>
      </w:r>
      <w:r>
        <w:rPr>
          <w:b/>
        </w:rPr>
        <w:t>CASE</w:t>
      </w:r>
      <w:r>
        <w:rPr>
          <w:b/>
          <w:spacing w:val="-2"/>
        </w:rPr>
        <w:t xml:space="preserve"> </w:t>
      </w:r>
      <w:r>
        <w:rPr>
          <w:b/>
        </w:rPr>
        <w:t>NO.</w:t>
      </w:r>
      <w:r>
        <w:rPr>
          <w:b/>
          <w:spacing w:val="-2"/>
        </w:rPr>
        <w:t xml:space="preserve"> </w:t>
      </w:r>
      <w:r>
        <w:rPr>
          <w:b/>
        </w:rPr>
        <w:t>LC/H/509/21</w:t>
      </w:r>
    </w:p>
    <w:p w14:paraId="135E9296" w14:textId="77777777" w:rsidR="00D61655" w:rsidRDefault="00D61655">
      <w:pPr>
        <w:spacing w:line="360" w:lineRule="auto"/>
        <w:sectPr w:rsidR="00D61655">
          <w:footerReference w:type="default" r:id="rId7"/>
          <w:type w:val="continuous"/>
          <w:pgSz w:w="11910" w:h="16840"/>
          <w:pgMar w:top="1360" w:right="1320" w:bottom="1180" w:left="1340" w:header="720" w:footer="992" w:gutter="0"/>
          <w:pgNumType w:start="1"/>
          <w:cols w:num="2" w:space="720" w:equalWidth="0">
            <w:col w:w="4129" w:space="1079"/>
            <w:col w:w="4042"/>
          </w:cols>
        </w:sectPr>
      </w:pPr>
    </w:p>
    <w:p w14:paraId="2E2A3532" w14:textId="77777777" w:rsidR="00D61655" w:rsidRDefault="00D61655">
      <w:pPr>
        <w:pStyle w:val="BodyText"/>
        <w:ind w:left="0"/>
        <w:rPr>
          <w:b/>
          <w:sz w:val="20"/>
        </w:rPr>
      </w:pPr>
    </w:p>
    <w:p w14:paraId="24479B8D" w14:textId="77777777" w:rsidR="00D61655" w:rsidRDefault="00D61655">
      <w:pPr>
        <w:pStyle w:val="BodyText"/>
        <w:spacing w:before="2"/>
        <w:ind w:left="0"/>
        <w:rPr>
          <w:b/>
          <w:sz w:val="20"/>
        </w:rPr>
      </w:pPr>
    </w:p>
    <w:p w14:paraId="6A2748A3" w14:textId="77777777" w:rsidR="00D61655" w:rsidRDefault="003E3748">
      <w:pPr>
        <w:pStyle w:val="Heading1"/>
        <w:tabs>
          <w:tab w:val="left" w:pos="6055"/>
        </w:tabs>
        <w:spacing w:before="90"/>
      </w:pPr>
      <w:r>
        <w:t>Richard</w:t>
      </w:r>
      <w:r>
        <w:rPr>
          <w:spacing w:val="-1"/>
        </w:rPr>
        <w:t xml:space="preserve"> </w:t>
      </w:r>
      <w:r>
        <w:t>Rudziva</w:t>
      </w:r>
      <w:r>
        <w:tab/>
      </w:r>
      <w:r>
        <w:t>Appellant</w:t>
      </w:r>
    </w:p>
    <w:p w14:paraId="001A7BF2" w14:textId="77777777" w:rsidR="00D61655" w:rsidRDefault="00D61655">
      <w:pPr>
        <w:pStyle w:val="BodyText"/>
        <w:ind w:left="0"/>
        <w:rPr>
          <w:b/>
          <w:sz w:val="24"/>
        </w:rPr>
      </w:pPr>
    </w:p>
    <w:p w14:paraId="1311A784" w14:textId="77777777" w:rsidR="00D61655" w:rsidRDefault="003E3748">
      <w:pPr>
        <w:ind w:left="100"/>
        <w:rPr>
          <w:sz w:val="24"/>
        </w:rPr>
      </w:pPr>
      <w:r>
        <w:rPr>
          <w:sz w:val="24"/>
        </w:rPr>
        <w:t>Versus</w:t>
      </w:r>
    </w:p>
    <w:p w14:paraId="27543A10" w14:textId="77777777" w:rsidR="00D61655" w:rsidRDefault="00D61655">
      <w:pPr>
        <w:pStyle w:val="BodyText"/>
        <w:ind w:left="0"/>
        <w:rPr>
          <w:sz w:val="24"/>
        </w:rPr>
      </w:pPr>
    </w:p>
    <w:p w14:paraId="6544481D" w14:textId="77777777" w:rsidR="00D61655" w:rsidRDefault="003E3748">
      <w:pPr>
        <w:pStyle w:val="Heading1"/>
        <w:tabs>
          <w:tab w:val="left" w:pos="6031"/>
        </w:tabs>
      </w:pPr>
      <w:r>
        <w:t>Zimbabwe</w:t>
      </w:r>
      <w:r>
        <w:rPr>
          <w:spacing w:val="-3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Examinations</w:t>
      </w:r>
      <w:r>
        <w:rPr>
          <w:spacing w:val="-1"/>
        </w:rPr>
        <w:t xml:space="preserve"> </w:t>
      </w:r>
      <w:r>
        <w:t>Council</w:t>
      </w:r>
      <w:r>
        <w:tab/>
        <w:t>Respondent</w:t>
      </w:r>
    </w:p>
    <w:p w14:paraId="078F7DD2" w14:textId="77777777" w:rsidR="00D61655" w:rsidRDefault="00D61655">
      <w:pPr>
        <w:pStyle w:val="BodyText"/>
        <w:ind w:left="0"/>
        <w:rPr>
          <w:b/>
          <w:sz w:val="26"/>
        </w:rPr>
      </w:pPr>
    </w:p>
    <w:p w14:paraId="26DA8961" w14:textId="77777777" w:rsidR="00D61655" w:rsidRDefault="00D61655">
      <w:pPr>
        <w:pStyle w:val="BodyText"/>
        <w:spacing w:before="8"/>
        <w:ind w:left="0"/>
        <w:rPr>
          <w:b/>
          <w:sz w:val="32"/>
        </w:rPr>
      </w:pPr>
    </w:p>
    <w:p w14:paraId="28D50889" w14:textId="77777777" w:rsidR="00D61655" w:rsidRDefault="003E3748">
      <w:pPr>
        <w:ind w:left="100"/>
        <w:rPr>
          <w:b/>
          <w:sz w:val="24"/>
        </w:rPr>
      </w:pPr>
      <w:r>
        <w:rPr>
          <w:b/>
          <w:sz w:val="24"/>
        </w:rPr>
        <w:t>Before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Honourable L.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Hove,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Judge:</w:t>
      </w:r>
    </w:p>
    <w:p w14:paraId="0FB52F63" w14:textId="77777777" w:rsidR="00D61655" w:rsidRDefault="00D61655">
      <w:pPr>
        <w:pStyle w:val="BodyText"/>
        <w:spacing w:before="3"/>
        <w:ind w:left="0"/>
        <w:rPr>
          <w:b/>
          <w:sz w:val="31"/>
        </w:rPr>
      </w:pPr>
    </w:p>
    <w:p w14:paraId="34E7A49C" w14:textId="77777777" w:rsidR="00D61655" w:rsidRDefault="003E3748">
      <w:pPr>
        <w:pStyle w:val="Heading1"/>
        <w:tabs>
          <w:tab w:val="left" w:pos="1732"/>
          <w:tab w:val="left" w:pos="2058"/>
          <w:tab w:val="left" w:pos="2111"/>
        </w:tabs>
        <w:spacing w:before="1" w:line="276" w:lineRule="auto"/>
        <w:ind w:right="4982"/>
      </w:pPr>
      <w:r>
        <w:t>For</w:t>
      </w:r>
      <w:r>
        <w:rPr>
          <w:spacing w:val="-3"/>
        </w:rPr>
        <w:t xml:space="preserve"> </w:t>
      </w:r>
      <w:r>
        <w:t>appellant</w:t>
      </w:r>
      <w:r>
        <w:tab/>
        <w:t>:</w:t>
      </w:r>
      <w:r>
        <w:tab/>
      </w:r>
      <w:r>
        <w:tab/>
        <w:t>Mr. M. H. Chitsanga</w:t>
      </w:r>
      <w:r>
        <w:rPr>
          <w:spacing w:val="-57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respondent</w:t>
      </w:r>
      <w:r>
        <w:rPr>
          <w:spacing w:val="-1"/>
        </w:rPr>
        <w:t xml:space="preserve"> </w:t>
      </w:r>
      <w:r>
        <w:t>:</w:t>
      </w:r>
      <w:r>
        <w:tab/>
        <w:t>Mr.</w:t>
      </w:r>
      <w:r>
        <w:rPr>
          <w:spacing w:val="1"/>
        </w:rPr>
        <w:t xml:space="preserve"> </w:t>
      </w:r>
      <w:r>
        <w:t>Z.</w:t>
      </w:r>
      <w:r>
        <w:rPr>
          <w:spacing w:val="-1"/>
        </w:rPr>
        <w:t xml:space="preserve"> </w:t>
      </w:r>
      <w:r>
        <w:t>T. Zvobgo</w:t>
      </w:r>
    </w:p>
    <w:p w14:paraId="35A2BEA1" w14:textId="77777777" w:rsidR="00D61655" w:rsidRDefault="00D61655">
      <w:pPr>
        <w:pStyle w:val="BodyText"/>
        <w:ind w:left="0"/>
        <w:rPr>
          <w:b/>
          <w:sz w:val="26"/>
        </w:rPr>
      </w:pPr>
    </w:p>
    <w:p w14:paraId="3F77E4AE" w14:textId="77777777" w:rsidR="00D61655" w:rsidRDefault="00D61655">
      <w:pPr>
        <w:pStyle w:val="BodyText"/>
        <w:spacing w:before="10"/>
        <w:ind w:left="0"/>
        <w:rPr>
          <w:b/>
          <w:sz w:val="23"/>
        </w:rPr>
      </w:pPr>
    </w:p>
    <w:p w14:paraId="758CB7E8" w14:textId="77777777" w:rsidR="00D61655" w:rsidRDefault="003E3748">
      <w:pPr>
        <w:pStyle w:val="BodyText"/>
        <w:spacing w:line="259" w:lineRule="auto"/>
        <w:ind w:right="418"/>
      </w:pPr>
      <w:r>
        <w:t>The respondent in this matter raised preliminary points which were partly successful. It sought to</w:t>
      </w:r>
      <w:r>
        <w:rPr>
          <w:spacing w:val="1"/>
        </w:rPr>
        <w:t xml:space="preserve"> </w:t>
      </w:r>
      <w:r>
        <w:t>appeal to the Supreme Court but that Court declined jurisdiction at that stage preferring to have the</w:t>
      </w:r>
      <w:r>
        <w:rPr>
          <w:spacing w:val="-52"/>
        </w:rPr>
        <w:t xml:space="preserve"> </w:t>
      </w:r>
      <w:r>
        <w:t>matter referred back</w:t>
      </w:r>
      <w:r>
        <w:rPr>
          <w:spacing w:val="-2"/>
        </w:rPr>
        <w:t xml:space="preserve"> </w:t>
      </w:r>
      <w:r>
        <w:t>to this</w:t>
      </w:r>
      <w:r>
        <w:rPr>
          <w:spacing w:val="-2"/>
        </w:rPr>
        <w:t xml:space="preserve"> </w:t>
      </w:r>
      <w:r>
        <w:t>Court.</w:t>
      </w:r>
    </w:p>
    <w:p w14:paraId="3278312C" w14:textId="77777777" w:rsidR="00D61655" w:rsidRDefault="003E3748">
      <w:pPr>
        <w:pStyle w:val="BodyText"/>
        <w:spacing w:before="160" w:line="259" w:lineRule="auto"/>
        <w:ind w:right="466"/>
      </w:pPr>
      <w:r>
        <w:t>When the matter was again set down, the respondent raised two more preliminary points and these</w:t>
      </w:r>
      <w:r>
        <w:rPr>
          <w:spacing w:val="-52"/>
        </w:rPr>
        <w:t xml:space="preserve"> </w:t>
      </w:r>
      <w:r>
        <w:t>were:</w:t>
      </w:r>
    </w:p>
    <w:p w14:paraId="4803426B" w14:textId="77777777" w:rsidR="00D61655" w:rsidRDefault="003E3748">
      <w:pPr>
        <w:pStyle w:val="ListParagraph"/>
        <w:numPr>
          <w:ilvl w:val="0"/>
          <w:numId w:val="3"/>
        </w:numPr>
        <w:tabs>
          <w:tab w:val="left" w:pos="821"/>
        </w:tabs>
        <w:spacing w:before="160"/>
        <w:ind w:hanging="361"/>
      </w:pPr>
      <w:r>
        <w:t>The</w:t>
      </w:r>
      <w:r>
        <w:rPr>
          <w:spacing w:val="-4"/>
        </w:rPr>
        <w:t xml:space="preserve"> </w:t>
      </w:r>
      <w:r>
        <w:t>first preliminary</w:t>
      </w:r>
      <w:r>
        <w:rPr>
          <w:spacing w:val="-5"/>
        </w:rPr>
        <w:t xml:space="preserve"> </w:t>
      </w:r>
      <w:r>
        <w:t>point</w:t>
      </w:r>
    </w:p>
    <w:p w14:paraId="4017F01E" w14:textId="77777777" w:rsidR="00D61655" w:rsidRDefault="003E3748">
      <w:pPr>
        <w:pStyle w:val="BodyText"/>
        <w:spacing w:before="181" w:line="259" w:lineRule="auto"/>
        <w:ind w:right="131"/>
      </w:pPr>
      <w:r>
        <w:t>That in grounds of appeal numbers 1 and 2, the appellant was challenging factual issues and this was</w:t>
      </w:r>
      <w:r>
        <w:rPr>
          <w:spacing w:val="1"/>
        </w:rPr>
        <w:t xml:space="preserve"> </w:t>
      </w:r>
      <w:r>
        <w:t>not permitted by law unless there were specific allegations that the factual findings made were grossly</w:t>
      </w:r>
      <w:r>
        <w:rPr>
          <w:spacing w:val="-52"/>
        </w:rPr>
        <w:t xml:space="preserve"> </w:t>
      </w:r>
      <w:r>
        <w:t>unreasonable.</w:t>
      </w:r>
    </w:p>
    <w:p w14:paraId="7163824A" w14:textId="77777777" w:rsidR="00D61655" w:rsidRDefault="003E3748">
      <w:pPr>
        <w:spacing w:before="160" w:line="259" w:lineRule="auto"/>
        <w:ind w:left="100" w:right="178"/>
      </w:pPr>
      <w:r>
        <w:t>The Court is of the view that there is no merit in this preliminary point. The Supreme Court has in the</w:t>
      </w:r>
      <w:r>
        <w:rPr>
          <w:spacing w:val="-52"/>
        </w:rPr>
        <w:t xml:space="preserve"> </w:t>
      </w:r>
      <w:r>
        <w:t>case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b/>
        </w:rPr>
        <w:t>Zvokusekwa v</w:t>
      </w:r>
      <w:r>
        <w:rPr>
          <w:b/>
          <w:spacing w:val="-3"/>
        </w:rPr>
        <w:t xml:space="preserve"> </w:t>
      </w:r>
      <w:r>
        <w:rPr>
          <w:b/>
        </w:rPr>
        <w:t>Bikita Rural District Council</w:t>
      </w:r>
      <w:r>
        <w:rPr>
          <w:b/>
          <w:spacing w:val="2"/>
        </w:rPr>
        <w:t xml:space="preserve"> </w:t>
      </w:r>
      <w:r>
        <w:t>stated</w:t>
      </w:r>
      <w:r>
        <w:rPr>
          <w:spacing w:val="-2"/>
        </w:rPr>
        <w:t xml:space="preserve"> </w:t>
      </w:r>
      <w:r>
        <w:t>that;</w:t>
      </w:r>
    </w:p>
    <w:p w14:paraId="118A5775" w14:textId="77777777" w:rsidR="00D61655" w:rsidRDefault="003E3748">
      <w:pPr>
        <w:pStyle w:val="BodyText"/>
        <w:spacing w:before="159" w:line="259" w:lineRule="auto"/>
        <w:ind w:left="820" w:right="126"/>
      </w:pPr>
      <w:r>
        <w:t xml:space="preserve">“the remarks in the </w:t>
      </w:r>
      <w:r>
        <w:rPr>
          <w:b/>
        </w:rPr>
        <w:t xml:space="preserve">RBZ v Granger and another SC 43/01 </w:t>
      </w:r>
      <w:r>
        <w:t>need to be qualified, to the extent</w:t>
      </w:r>
      <w:r>
        <w:rPr>
          <w:spacing w:val="-52"/>
        </w:rPr>
        <w:t xml:space="preserve"> </w:t>
      </w:r>
      <w:r>
        <w:t>that they may be interpreted as saying that to constitute a point of law, in all cases where</w:t>
      </w:r>
      <w:r>
        <w:rPr>
          <w:spacing w:val="1"/>
        </w:rPr>
        <w:t xml:space="preserve"> </w:t>
      </w:r>
      <w:r>
        <w:t>findings of fact are attacked there must be an allegation that there was a misdirection on the</w:t>
      </w:r>
      <w:r>
        <w:rPr>
          <w:spacing w:val="1"/>
        </w:rPr>
        <w:t xml:space="preserve"> </w:t>
      </w:r>
      <w:r>
        <w:t>facts which was so unreasonable that no sensible person properly applying his mind would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arrived</w:t>
      </w:r>
      <w:r>
        <w:rPr>
          <w:spacing w:val="2"/>
        </w:rPr>
        <w:t xml:space="preserve"> </w:t>
      </w:r>
      <w:r>
        <w:t>at such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decision;</w:t>
      </w:r>
      <w:r>
        <w:rPr>
          <w:spacing w:val="-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must,</w:t>
      </w:r>
      <w:r>
        <w:rPr>
          <w:spacing w:val="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think,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guided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substance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grounds</w:t>
      </w:r>
      <w:r>
        <w:rPr>
          <w:spacing w:val="1"/>
        </w:rPr>
        <w:t xml:space="preserve"> </w:t>
      </w:r>
      <w:r>
        <w:t>of appeal and not the form. Legal practitioners often exhibit different styles in formulating</w:t>
      </w:r>
      <w:r>
        <w:rPr>
          <w:spacing w:val="1"/>
        </w:rPr>
        <w:t xml:space="preserve"> </w:t>
      </w:r>
      <w:r>
        <w:t>such grounds. What is important at the end of the day is that the grounds disclose the basis</w:t>
      </w:r>
      <w:r>
        <w:rPr>
          <w:spacing w:val="1"/>
        </w:rPr>
        <w:t xml:space="preserve"> </w:t>
      </w:r>
      <w:r>
        <w:t>upon which the decision of the lower Court is impugned in a clear and concise manner if it is</w:t>
      </w:r>
      <w:r>
        <w:rPr>
          <w:spacing w:val="1"/>
        </w:rPr>
        <w:t xml:space="preserve"> </w:t>
      </w:r>
      <w:r>
        <w:t>clear that an appellant is criticizing a finding by an inferior Court on the basis that such</w:t>
      </w:r>
      <w:r>
        <w:rPr>
          <w:spacing w:val="1"/>
        </w:rPr>
        <w:t xml:space="preserve"> </w:t>
      </w:r>
      <w:r>
        <w:t>finding</w:t>
      </w:r>
      <w:r>
        <w:rPr>
          <w:spacing w:val="-1"/>
        </w:rPr>
        <w:t xml:space="preserve"> </w:t>
      </w:r>
      <w:r>
        <w:t>was</w:t>
      </w:r>
      <w:r>
        <w:rPr>
          <w:spacing w:val="3"/>
        </w:rPr>
        <w:t xml:space="preserve"> </w:t>
      </w:r>
      <w:r>
        <w:t>contrary</w:t>
      </w:r>
      <w:r>
        <w:rPr>
          <w:spacing w:val="-1"/>
        </w:rPr>
        <w:t xml:space="preserve"> </w:t>
      </w:r>
      <w:r>
        <w:t>to the evidence</w:t>
      </w:r>
      <w:r>
        <w:rPr>
          <w:spacing w:val="1"/>
        </w:rPr>
        <w:t xml:space="preserve"> </w:t>
      </w:r>
      <w:r>
        <w:t>led</w:t>
      </w:r>
      <w:r>
        <w:rPr>
          <w:spacing w:val="1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was</w:t>
      </w:r>
      <w:r>
        <w:rPr>
          <w:spacing w:val="3"/>
        </w:rPr>
        <w:t xml:space="preserve"> </w:t>
      </w:r>
      <w:r>
        <w:t>not</w:t>
      </w:r>
      <w:r>
        <w:rPr>
          <w:spacing w:val="3"/>
        </w:rPr>
        <w:t xml:space="preserve"> </w:t>
      </w:r>
      <w:r>
        <w:t>supported</w:t>
      </w:r>
      <w:r>
        <w:rPr>
          <w:spacing w:val="3"/>
        </w:rPr>
        <w:t xml:space="preserve"> </w:t>
      </w:r>
      <w:r>
        <w:t>by such evidence,</w:t>
      </w:r>
      <w:r>
        <w:rPr>
          <w:spacing w:val="3"/>
        </w:rPr>
        <w:t xml:space="preserve"> </w:t>
      </w:r>
      <w:r>
        <w:t>such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ground</w:t>
      </w:r>
      <w:r>
        <w:rPr>
          <w:spacing w:val="3"/>
        </w:rPr>
        <w:t xml:space="preserve"> </w:t>
      </w:r>
      <w:r>
        <w:t>cannot</w:t>
      </w:r>
      <w:r>
        <w:rPr>
          <w:spacing w:val="5"/>
        </w:rPr>
        <w:t xml:space="preserve"> </w:t>
      </w:r>
      <w:r>
        <w:t>be</w:t>
      </w:r>
      <w:r>
        <w:rPr>
          <w:spacing w:val="4"/>
        </w:rPr>
        <w:t xml:space="preserve"> </w:t>
      </w:r>
      <w:r>
        <w:t>said</w:t>
      </w:r>
      <w:r>
        <w:rPr>
          <w:spacing w:val="1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be</w:t>
      </w:r>
      <w:r>
        <w:rPr>
          <w:spacing w:val="2"/>
        </w:rPr>
        <w:t xml:space="preserve"> </w:t>
      </w:r>
      <w:r>
        <w:t>improper</w:t>
      </w:r>
      <w:r>
        <w:rPr>
          <w:spacing w:val="5"/>
        </w:rPr>
        <w:t xml:space="preserve"> </w:t>
      </w:r>
      <w:r>
        <w:t>merely</w:t>
      </w:r>
      <w:r>
        <w:rPr>
          <w:spacing w:val="1"/>
        </w:rPr>
        <w:t xml:space="preserve"> </w:t>
      </w:r>
      <w:r>
        <w:t>because</w:t>
      </w:r>
      <w:r>
        <w:rPr>
          <w:spacing w:val="3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words</w:t>
      </w:r>
      <w:r>
        <w:rPr>
          <w:spacing w:val="2"/>
        </w:rPr>
        <w:t xml:space="preserve"> </w:t>
      </w:r>
      <w:r>
        <w:t>‘there</w:t>
      </w:r>
      <w:r>
        <w:rPr>
          <w:spacing w:val="4"/>
        </w:rPr>
        <w:t xml:space="preserve"> </w:t>
      </w:r>
      <w:r>
        <w:t>has</w:t>
      </w:r>
      <w:r>
        <w:rPr>
          <w:spacing w:val="3"/>
        </w:rPr>
        <w:t xml:space="preserve"> </w:t>
      </w:r>
      <w:r>
        <w:t>been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misdirection on the facts which is so unreasonable that no sensible person would have arrived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such a</w:t>
      </w:r>
      <w:r>
        <w:rPr>
          <w:spacing w:val="-2"/>
        </w:rPr>
        <w:t xml:space="preserve"> </w:t>
      </w:r>
      <w:r>
        <w:t>decision’</w:t>
      </w:r>
      <w:r>
        <w:rPr>
          <w:spacing w:val="-2"/>
        </w:rPr>
        <w:t xml:space="preserve"> </w:t>
      </w:r>
      <w:r>
        <w:t>have not</w:t>
      </w:r>
      <w:r>
        <w:rPr>
          <w:spacing w:val="-1"/>
        </w:rPr>
        <w:t xml:space="preserve"> </w:t>
      </w:r>
      <w:r>
        <w:t>been added</w:t>
      </w:r>
      <w:r>
        <w:rPr>
          <w:spacing w:val="-2"/>
        </w:rPr>
        <w:t xml:space="preserve"> </w:t>
      </w:r>
      <w:r>
        <w:t>thereto.”</w:t>
      </w:r>
    </w:p>
    <w:p w14:paraId="0349DFAD" w14:textId="77777777" w:rsidR="00D61655" w:rsidRDefault="00D61655">
      <w:pPr>
        <w:spacing w:line="259" w:lineRule="auto"/>
        <w:sectPr w:rsidR="00D61655">
          <w:type w:val="continuous"/>
          <w:pgSz w:w="11910" w:h="16840"/>
          <w:pgMar w:top="1360" w:right="1320" w:bottom="1180" w:left="1340" w:header="720" w:footer="720" w:gutter="0"/>
          <w:cols w:space="720"/>
        </w:sectPr>
      </w:pPr>
    </w:p>
    <w:p w14:paraId="44169DDB" w14:textId="77777777" w:rsidR="00D61655" w:rsidRDefault="003E3748">
      <w:pPr>
        <w:pStyle w:val="BodyText"/>
        <w:spacing w:before="62"/>
      </w:pPr>
      <w:r>
        <w:lastRenderedPageBreak/>
        <w:t>It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basis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authority</w:t>
      </w:r>
      <w:r>
        <w:rPr>
          <w:spacing w:val="-3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dismiss the</w:t>
      </w:r>
      <w:r>
        <w:rPr>
          <w:spacing w:val="-1"/>
        </w:rPr>
        <w:t xml:space="preserve"> </w:t>
      </w:r>
      <w:r>
        <w:t>preliminary</w:t>
      </w:r>
      <w:r>
        <w:rPr>
          <w:spacing w:val="-3"/>
        </w:rPr>
        <w:t xml:space="preserve"> </w:t>
      </w:r>
      <w:r>
        <w:t>point</w:t>
      </w:r>
      <w:r>
        <w:rPr>
          <w:spacing w:val="-3"/>
        </w:rPr>
        <w:t xml:space="preserve"> </w:t>
      </w:r>
      <w:r>
        <w:t>raised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being</w:t>
      </w:r>
      <w:r>
        <w:rPr>
          <w:spacing w:val="-4"/>
        </w:rPr>
        <w:t xml:space="preserve"> </w:t>
      </w:r>
      <w:r>
        <w:t>without merit.</w:t>
      </w:r>
    </w:p>
    <w:p w14:paraId="32B2A245" w14:textId="77777777" w:rsidR="00D61655" w:rsidRDefault="003E3748">
      <w:pPr>
        <w:pStyle w:val="ListParagraph"/>
        <w:numPr>
          <w:ilvl w:val="0"/>
          <w:numId w:val="3"/>
        </w:numPr>
        <w:tabs>
          <w:tab w:val="left" w:pos="821"/>
        </w:tabs>
        <w:spacing w:before="180"/>
        <w:ind w:hanging="361"/>
      </w:pPr>
      <w:r>
        <w:t>Second</w:t>
      </w:r>
      <w:r>
        <w:rPr>
          <w:spacing w:val="-1"/>
        </w:rPr>
        <w:t xml:space="preserve"> </w:t>
      </w:r>
      <w:r>
        <w:t>Preliminary</w:t>
      </w:r>
      <w:r>
        <w:rPr>
          <w:spacing w:val="-4"/>
        </w:rPr>
        <w:t xml:space="preserve"> </w:t>
      </w:r>
      <w:r>
        <w:t>Point</w:t>
      </w:r>
    </w:p>
    <w:p w14:paraId="0A07F508" w14:textId="77777777" w:rsidR="00D61655" w:rsidRDefault="003E3748">
      <w:pPr>
        <w:pStyle w:val="BodyText"/>
        <w:spacing w:before="181" w:line="259" w:lineRule="auto"/>
        <w:ind w:right="112"/>
      </w:pPr>
      <w:r>
        <w:t>I find it prudent to consider the second preliminary point together with the merits of the appeal as both</w:t>
      </w:r>
      <w:r>
        <w:rPr>
          <w:spacing w:val="-52"/>
        </w:rPr>
        <w:t xml:space="preserve"> </w:t>
      </w:r>
      <w:r>
        <w:t>discuss the same issue. The second preliminary point raised by the respondent therefore will be</w:t>
      </w:r>
      <w:r>
        <w:rPr>
          <w:spacing w:val="1"/>
        </w:rPr>
        <w:t xml:space="preserve"> </w:t>
      </w:r>
      <w:r>
        <w:t>discussed</w:t>
      </w:r>
      <w:r>
        <w:rPr>
          <w:spacing w:val="-1"/>
        </w:rPr>
        <w:t xml:space="preserve"> </w:t>
      </w:r>
      <w:r>
        <w:t>together</w:t>
      </w:r>
      <w:r>
        <w:rPr>
          <w:spacing w:val="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merits.</w:t>
      </w:r>
    </w:p>
    <w:p w14:paraId="6E4FDDB7" w14:textId="77777777" w:rsidR="00D61655" w:rsidRDefault="003E3748">
      <w:pPr>
        <w:pStyle w:val="BodyText"/>
        <w:spacing w:before="160" w:line="410" w:lineRule="auto"/>
        <w:ind w:right="2415"/>
      </w:pPr>
      <w:r>
        <w:t>Appellants preliminary point will also be discussed together with the merits.</w:t>
      </w:r>
      <w:r>
        <w:rPr>
          <w:spacing w:val="-52"/>
        </w:rPr>
        <w:t xml:space="preserve"> </w:t>
      </w:r>
      <w:r>
        <w:rPr>
          <w:u w:val="single"/>
        </w:rPr>
        <w:t>THE</w:t>
      </w:r>
      <w:r>
        <w:rPr>
          <w:spacing w:val="-1"/>
          <w:u w:val="single"/>
        </w:rPr>
        <w:t xml:space="preserve"> </w:t>
      </w:r>
      <w:r>
        <w:rPr>
          <w:u w:val="single"/>
        </w:rPr>
        <w:t>MERITS OF</w:t>
      </w:r>
      <w:r>
        <w:rPr>
          <w:spacing w:val="-3"/>
          <w:u w:val="single"/>
        </w:rPr>
        <w:t xml:space="preserve"> </w:t>
      </w:r>
      <w:r>
        <w:rPr>
          <w:u w:val="single"/>
        </w:rPr>
        <w:t>THE APPEAL</w:t>
      </w:r>
    </w:p>
    <w:p w14:paraId="08F99CF6" w14:textId="77777777" w:rsidR="00D61655" w:rsidRDefault="003E3748">
      <w:pPr>
        <w:pStyle w:val="BodyText"/>
        <w:spacing w:before="1"/>
      </w:pPr>
      <w:r>
        <w:rPr>
          <w:u w:val="single"/>
        </w:rPr>
        <w:t>Brief</w:t>
      </w:r>
      <w:r>
        <w:rPr>
          <w:spacing w:val="-2"/>
          <w:u w:val="single"/>
        </w:rPr>
        <w:t xml:space="preserve"> </w:t>
      </w:r>
      <w:r>
        <w:rPr>
          <w:u w:val="single"/>
        </w:rPr>
        <w:t>background</w:t>
      </w:r>
    </w:p>
    <w:p w14:paraId="6B0736FF" w14:textId="77777777" w:rsidR="00D61655" w:rsidRDefault="003E3748">
      <w:pPr>
        <w:pStyle w:val="BodyText"/>
        <w:spacing w:before="179" w:line="259" w:lineRule="auto"/>
        <w:ind w:right="124"/>
      </w:pPr>
      <w:r>
        <w:t>The appellant was employed by the respondent as Senior Manager Risk and Security. He was charged</w:t>
      </w:r>
      <w:r>
        <w:rPr>
          <w:spacing w:val="-52"/>
        </w:rPr>
        <w:t xml:space="preserve"> </w:t>
      </w:r>
      <w:r>
        <w:t>with acts of misconduct it being alleged that he had acted in a manner which was inconsistent with the</w:t>
      </w:r>
      <w:r>
        <w:rPr>
          <w:spacing w:val="-52"/>
        </w:rPr>
        <w:t xml:space="preserve"> </w:t>
      </w:r>
      <w:r>
        <w:t>express or implied conditions of his or her employment contract and lack of skill which the employee</w:t>
      </w:r>
      <w:r>
        <w:rPr>
          <w:spacing w:val="1"/>
        </w:rPr>
        <w:t xml:space="preserve"> </w:t>
      </w:r>
      <w:r>
        <w:t>expressly</w:t>
      </w:r>
      <w:r>
        <w:rPr>
          <w:spacing w:val="-4"/>
        </w:rPr>
        <w:t xml:space="preserve"> </w:t>
      </w:r>
      <w:r>
        <w:t>or impliedly</w:t>
      </w:r>
      <w:r>
        <w:rPr>
          <w:spacing w:val="-3"/>
        </w:rPr>
        <w:t xml:space="preserve"> </w:t>
      </w:r>
      <w:r>
        <w:t>held</w:t>
      </w:r>
      <w:r>
        <w:rPr>
          <w:spacing w:val="-5"/>
        </w:rPr>
        <w:t xml:space="preserve"> </w:t>
      </w:r>
      <w:r>
        <w:t>himself out</w:t>
      </w:r>
      <w:r>
        <w:rPr>
          <w:spacing w:val="-2"/>
        </w:rPr>
        <w:t xml:space="preserve"> </w:t>
      </w:r>
      <w:r>
        <w:t>to possess.</w:t>
      </w:r>
    </w:p>
    <w:p w14:paraId="0ED5C63B" w14:textId="77777777" w:rsidR="00D61655" w:rsidRDefault="003E3748">
      <w:pPr>
        <w:pStyle w:val="BodyText"/>
        <w:spacing w:before="160" w:line="256" w:lineRule="auto"/>
        <w:ind w:right="191"/>
      </w:pPr>
      <w:r>
        <w:t>Appellant pleaded not guilty but was found guilty. He appealed to the Labour Court against the entire</w:t>
      </w:r>
      <w:r>
        <w:rPr>
          <w:spacing w:val="-52"/>
        </w:rPr>
        <w:t xml:space="preserve"> </w:t>
      </w:r>
      <w:r>
        <w:t>decision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respondent’s disciplinary</w:t>
      </w:r>
      <w:r>
        <w:rPr>
          <w:spacing w:val="-3"/>
        </w:rPr>
        <w:t xml:space="preserve"> </w:t>
      </w:r>
      <w:r>
        <w:t>committee in</w:t>
      </w:r>
      <w:r>
        <w:rPr>
          <w:spacing w:val="-3"/>
        </w:rPr>
        <w:t xml:space="preserve"> </w:t>
      </w:r>
      <w:r>
        <w:t>convicting</w:t>
      </w:r>
      <w:r>
        <w:rPr>
          <w:spacing w:val="-4"/>
        </w:rPr>
        <w:t xml:space="preserve"> </w:t>
      </w:r>
      <w:r>
        <w:t>and dismissing</w:t>
      </w:r>
      <w:r>
        <w:rPr>
          <w:spacing w:val="-5"/>
        </w:rPr>
        <w:t xml:space="preserve"> </w:t>
      </w:r>
      <w:r>
        <w:t>him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the</w:t>
      </w:r>
    </w:p>
    <w:p w14:paraId="3A2286FF" w14:textId="77777777" w:rsidR="00D61655" w:rsidRDefault="003E3748">
      <w:pPr>
        <w:pStyle w:val="BodyText"/>
        <w:spacing w:before="4"/>
      </w:pPr>
      <w:r>
        <w:t>respondent’s</w:t>
      </w:r>
      <w:r>
        <w:rPr>
          <w:spacing w:val="-3"/>
        </w:rPr>
        <w:t xml:space="preserve"> </w:t>
      </w:r>
      <w:r>
        <w:t>employment.</w:t>
      </w:r>
    </w:p>
    <w:p w14:paraId="59A1BC00" w14:textId="77777777" w:rsidR="00D61655" w:rsidRDefault="003E3748">
      <w:pPr>
        <w:spacing w:before="181"/>
        <w:ind w:left="100"/>
        <w:rPr>
          <w:sz w:val="28"/>
        </w:rPr>
      </w:pPr>
      <w:r>
        <w:rPr>
          <w:sz w:val="28"/>
          <w:u w:val="single"/>
        </w:rPr>
        <w:t>Grounds</w:t>
      </w:r>
      <w:r>
        <w:rPr>
          <w:spacing w:val="-5"/>
          <w:sz w:val="28"/>
          <w:u w:val="single"/>
        </w:rPr>
        <w:t xml:space="preserve"> </w:t>
      </w:r>
      <w:r>
        <w:rPr>
          <w:sz w:val="28"/>
          <w:u w:val="single"/>
        </w:rPr>
        <w:t>of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appeal</w:t>
      </w:r>
    </w:p>
    <w:p w14:paraId="2CB64443" w14:textId="77777777" w:rsidR="00D61655" w:rsidRDefault="003E3748">
      <w:pPr>
        <w:pStyle w:val="BodyText"/>
        <w:spacing w:before="185"/>
      </w:pPr>
      <w:r>
        <w:t>AD</w:t>
      </w:r>
      <w:r>
        <w:rPr>
          <w:spacing w:val="-4"/>
        </w:rPr>
        <w:t xml:space="preserve"> </w:t>
      </w:r>
      <w:r>
        <w:t>CONVICTION</w:t>
      </w:r>
    </w:p>
    <w:p w14:paraId="67658645" w14:textId="77777777" w:rsidR="00D61655" w:rsidRDefault="003E3748">
      <w:pPr>
        <w:pStyle w:val="ListParagraph"/>
        <w:numPr>
          <w:ilvl w:val="0"/>
          <w:numId w:val="2"/>
        </w:numPr>
        <w:tabs>
          <w:tab w:val="left" w:pos="821"/>
        </w:tabs>
        <w:spacing w:before="179" w:line="259" w:lineRule="auto"/>
        <w:ind w:right="386"/>
      </w:pPr>
      <w:r>
        <w:t>The disciplinary committee erred in making a finding of guilt against appellant, on both</w:t>
      </w:r>
      <w:r>
        <w:rPr>
          <w:spacing w:val="1"/>
        </w:rPr>
        <w:t xml:space="preserve"> </w:t>
      </w:r>
      <w:r>
        <w:t>counts, when such finding was not supported by evidence showing that appellant’s conduct</w:t>
      </w:r>
      <w:r>
        <w:rPr>
          <w:spacing w:val="-52"/>
        </w:rPr>
        <w:t xml:space="preserve"> </w:t>
      </w:r>
      <w:r>
        <w:t>constituted the offenses charged on a balance of probabilities. The disciplinary committee</w:t>
      </w:r>
      <w:r>
        <w:rPr>
          <w:spacing w:val="1"/>
        </w:rPr>
        <w:t xml:space="preserve"> </w:t>
      </w:r>
      <w:r>
        <w:t>erred</w:t>
      </w:r>
      <w:r>
        <w:rPr>
          <w:spacing w:val="-1"/>
        </w:rPr>
        <w:t xml:space="preserve"> </w:t>
      </w:r>
      <w:r>
        <w:t>in making</w:t>
      </w:r>
      <w:r>
        <w:rPr>
          <w:spacing w:val="-3"/>
        </w:rPr>
        <w:t xml:space="preserve"> </w:t>
      </w:r>
      <w:r>
        <w:t>a finding</w:t>
      </w:r>
      <w:r>
        <w:rPr>
          <w:spacing w:val="-1"/>
        </w:rPr>
        <w:t xml:space="preserve"> </w:t>
      </w:r>
      <w:r>
        <w:t>which was not</w:t>
      </w:r>
      <w:r>
        <w:rPr>
          <w:spacing w:val="1"/>
        </w:rPr>
        <w:t xml:space="preserve"> </w:t>
      </w:r>
      <w:r>
        <w:t>supported by</w:t>
      </w:r>
      <w:r>
        <w:rPr>
          <w:spacing w:val="-5"/>
        </w:rPr>
        <w:t xml:space="preserve"> </w:t>
      </w:r>
      <w:r>
        <w:t>evidence.</w:t>
      </w:r>
    </w:p>
    <w:p w14:paraId="3CDCED4B" w14:textId="77777777" w:rsidR="00D61655" w:rsidRDefault="003E3748">
      <w:pPr>
        <w:pStyle w:val="ListParagraph"/>
        <w:numPr>
          <w:ilvl w:val="0"/>
          <w:numId w:val="2"/>
        </w:numPr>
        <w:tabs>
          <w:tab w:val="left" w:pos="821"/>
        </w:tabs>
        <w:spacing w:before="2" w:line="259" w:lineRule="auto"/>
        <w:ind w:right="118"/>
      </w:pPr>
      <w:r>
        <w:t>The disciplinary committee further erred in convicting on the basis of conduct ‘inconsistent</w:t>
      </w:r>
      <w:r>
        <w:rPr>
          <w:spacing w:val="1"/>
        </w:rPr>
        <w:t xml:space="preserve"> </w:t>
      </w:r>
      <w:r>
        <w:t>with express or implied conditions of his employment contract’ when in actual fact it made a</w:t>
      </w:r>
      <w:r>
        <w:rPr>
          <w:spacing w:val="1"/>
        </w:rPr>
        <w:t xml:space="preserve"> </w:t>
      </w:r>
      <w:r>
        <w:t>finding that the duty to supervise and schedule security personnel did not arise from a contract</w:t>
      </w:r>
      <w:r>
        <w:rPr>
          <w:spacing w:val="-52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employment</w:t>
      </w:r>
      <w:r>
        <w:rPr>
          <w:spacing w:val="4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an</w:t>
      </w:r>
      <w:r>
        <w:rPr>
          <w:spacing w:val="5"/>
        </w:rPr>
        <w:t xml:space="preserve"> </w:t>
      </w:r>
      <w:r>
        <w:t>instruction. The</w:t>
      </w:r>
      <w:r>
        <w:rPr>
          <w:spacing w:val="3"/>
        </w:rPr>
        <w:t xml:space="preserve"> </w:t>
      </w:r>
      <w:r>
        <w:t>conviction,</w:t>
      </w:r>
      <w:r>
        <w:rPr>
          <w:spacing w:val="2"/>
        </w:rPr>
        <w:t xml:space="preserve"> </w:t>
      </w:r>
      <w:r>
        <w:t>according to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verdict,</w:t>
      </w:r>
      <w:r>
        <w:rPr>
          <w:spacing w:val="-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therefore premised</w:t>
      </w:r>
      <w:r>
        <w:rPr>
          <w:spacing w:val="-1"/>
        </w:rPr>
        <w:t xml:space="preserve"> </w:t>
      </w:r>
      <w:r>
        <w:t>on a</w:t>
      </w:r>
      <w:r>
        <w:rPr>
          <w:spacing w:val="-1"/>
        </w:rPr>
        <w:t xml:space="preserve"> </w:t>
      </w:r>
      <w:r>
        <w:t>charge</w:t>
      </w:r>
      <w:r>
        <w:rPr>
          <w:spacing w:val="-1"/>
        </w:rPr>
        <w:t xml:space="preserve"> </w:t>
      </w:r>
      <w:r>
        <w:t>which was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preferred against the</w:t>
      </w:r>
      <w:r>
        <w:rPr>
          <w:spacing w:val="-1"/>
        </w:rPr>
        <w:t xml:space="preserve"> </w:t>
      </w:r>
      <w:r>
        <w:t>appellant.</w:t>
      </w:r>
    </w:p>
    <w:p w14:paraId="02882320" w14:textId="77777777" w:rsidR="00D61655" w:rsidRDefault="003E3748">
      <w:pPr>
        <w:pStyle w:val="ListParagraph"/>
        <w:numPr>
          <w:ilvl w:val="0"/>
          <w:numId w:val="2"/>
        </w:numPr>
        <w:tabs>
          <w:tab w:val="left" w:pos="821"/>
        </w:tabs>
        <w:spacing w:before="0" w:line="259" w:lineRule="auto"/>
        <w:ind w:right="267"/>
        <w:jc w:val="both"/>
      </w:pPr>
      <w:r>
        <w:t>The disciplinary committee further erred in convicting the appellant on both charges without</w:t>
      </w:r>
      <w:r>
        <w:rPr>
          <w:spacing w:val="-52"/>
        </w:rPr>
        <w:t xml:space="preserve"> </w:t>
      </w:r>
      <w:r>
        <w:t>considering the appellant’s defense which clearly exonerated him from the charges preferred</w:t>
      </w:r>
      <w:r>
        <w:rPr>
          <w:spacing w:val="-52"/>
        </w:rPr>
        <w:t xml:space="preserve"> </w:t>
      </w:r>
      <w:r>
        <w:t>against</w:t>
      </w:r>
      <w:r>
        <w:rPr>
          <w:spacing w:val="-2"/>
        </w:rPr>
        <w:t xml:space="preserve"> </w:t>
      </w:r>
      <w:r>
        <w:t>him.</w:t>
      </w:r>
    </w:p>
    <w:p w14:paraId="3BB8440A" w14:textId="77777777" w:rsidR="00D61655" w:rsidRDefault="003E3748">
      <w:pPr>
        <w:pStyle w:val="BodyText"/>
        <w:spacing w:before="156"/>
      </w:pPr>
      <w:r>
        <w:t>AD</w:t>
      </w:r>
      <w:r>
        <w:rPr>
          <w:spacing w:val="-2"/>
        </w:rPr>
        <w:t xml:space="preserve"> </w:t>
      </w:r>
      <w:r>
        <w:t>SENTENCE</w:t>
      </w:r>
    </w:p>
    <w:p w14:paraId="2716FD11" w14:textId="77777777" w:rsidR="00D61655" w:rsidRDefault="003E3748">
      <w:pPr>
        <w:pStyle w:val="ListParagraph"/>
        <w:numPr>
          <w:ilvl w:val="0"/>
          <w:numId w:val="2"/>
        </w:numPr>
        <w:tabs>
          <w:tab w:val="left" w:pos="821"/>
        </w:tabs>
        <w:spacing w:before="182" w:line="259" w:lineRule="auto"/>
        <w:ind w:right="194"/>
      </w:pPr>
      <w:r>
        <w:t>The disciplinary Committee further erred in imposing the sentence of dismissal on the basis</w:t>
      </w:r>
      <w:r>
        <w:rPr>
          <w:spacing w:val="1"/>
        </w:rPr>
        <w:t xml:space="preserve"> </w:t>
      </w:r>
      <w:r>
        <w:t>that the misconduct went to the root of the employment contract when in actual fact it made a</w:t>
      </w:r>
      <w:r>
        <w:rPr>
          <w:spacing w:val="-52"/>
        </w:rPr>
        <w:t xml:space="preserve"> </w:t>
      </w:r>
      <w:r>
        <w:t>finding that the misconduct did not arise from the employment contract. Owing to that</w:t>
      </w:r>
      <w:r>
        <w:rPr>
          <w:spacing w:val="1"/>
        </w:rPr>
        <w:t xml:space="preserve"> </w:t>
      </w:r>
      <w:r>
        <w:t>misdirection, it then imposed an unduly harsh sentence which is so excessive to the extent of</w:t>
      </w:r>
      <w:r>
        <w:rPr>
          <w:spacing w:val="1"/>
        </w:rPr>
        <w:t xml:space="preserve"> </w:t>
      </w:r>
      <w:r>
        <w:t>inducing</w:t>
      </w:r>
      <w:r>
        <w:rPr>
          <w:spacing w:val="-4"/>
        </w:rPr>
        <w:t xml:space="preserve"> </w:t>
      </w:r>
      <w:r>
        <w:t>a sense of shock.</w:t>
      </w:r>
    </w:p>
    <w:p w14:paraId="37F73FF4" w14:textId="77777777" w:rsidR="00D61655" w:rsidRDefault="003E3748">
      <w:pPr>
        <w:pStyle w:val="BodyText"/>
        <w:spacing w:before="158" w:line="410" w:lineRule="auto"/>
        <w:ind w:right="4255"/>
      </w:pPr>
      <w:r>
        <w:t>These grounds of appeal will be considered here under;</w:t>
      </w:r>
      <w:r>
        <w:rPr>
          <w:spacing w:val="-52"/>
        </w:rPr>
        <w:t xml:space="preserve"> </w:t>
      </w:r>
      <w:r>
        <w:rPr>
          <w:u w:val="single"/>
        </w:rPr>
        <w:t>Grounds</w:t>
      </w:r>
      <w:r>
        <w:rPr>
          <w:spacing w:val="-1"/>
          <w:u w:val="single"/>
        </w:rPr>
        <w:t xml:space="preserve"> </w:t>
      </w:r>
      <w:r>
        <w:rPr>
          <w:u w:val="single"/>
        </w:rPr>
        <w:t>of appeal</w:t>
      </w:r>
      <w:r>
        <w:rPr>
          <w:spacing w:val="1"/>
          <w:u w:val="single"/>
        </w:rPr>
        <w:t xml:space="preserve"> </w:t>
      </w:r>
      <w:r>
        <w:rPr>
          <w:u w:val="single"/>
        </w:rPr>
        <w:t>number</w:t>
      </w:r>
      <w:r>
        <w:rPr>
          <w:spacing w:val="-2"/>
          <w:u w:val="single"/>
        </w:rPr>
        <w:t xml:space="preserve"> </w:t>
      </w:r>
      <w:r>
        <w:rPr>
          <w:u w:val="single"/>
        </w:rPr>
        <w:t>1&amp;2</w:t>
      </w:r>
    </w:p>
    <w:p w14:paraId="235D581F" w14:textId="77777777" w:rsidR="00D61655" w:rsidRDefault="003E3748">
      <w:pPr>
        <w:pStyle w:val="BodyText"/>
        <w:spacing w:before="2" w:line="259" w:lineRule="auto"/>
        <w:ind w:right="228"/>
      </w:pPr>
      <w:r>
        <w:rPr>
          <w:u w:val="single"/>
        </w:rPr>
        <w:t>Was the finding of guilty against appellant on both counts supported by evidence and the convictions</w:t>
      </w:r>
      <w:r>
        <w:rPr>
          <w:spacing w:val="-52"/>
        </w:rPr>
        <w:t xml:space="preserve"> </w:t>
      </w:r>
      <w:r>
        <w:rPr>
          <w:u w:val="single"/>
        </w:rPr>
        <w:t>based</w:t>
      </w:r>
      <w:r>
        <w:rPr>
          <w:spacing w:val="-3"/>
          <w:u w:val="single"/>
        </w:rPr>
        <w:t xml:space="preserve"> </w:t>
      </w:r>
      <w:r>
        <w:rPr>
          <w:u w:val="single"/>
        </w:rPr>
        <w:t>on a breach of the contract</w:t>
      </w:r>
      <w:r>
        <w:rPr>
          <w:spacing w:val="-2"/>
          <w:u w:val="single"/>
        </w:rPr>
        <w:t xml:space="preserve"> </w:t>
      </w:r>
      <w:r>
        <w:rPr>
          <w:u w:val="single"/>
        </w:rPr>
        <w:t>of employment.</w:t>
      </w:r>
    </w:p>
    <w:p w14:paraId="4F0A66FE" w14:textId="77777777" w:rsidR="00D61655" w:rsidRDefault="003E3748">
      <w:pPr>
        <w:pStyle w:val="BodyText"/>
        <w:spacing w:before="159"/>
      </w:pPr>
      <w:r>
        <w:t>The</w:t>
      </w:r>
      <w:r>
        <w:rPr>
          <w:spacing w:val="-3"/>
        </w:rPr>
        <w:t xml:space="preserve"> </w:t>
      </w:r>
      <w:r>
        <w:t>counts</w:t>
      </w:r>
      <w:r>
        <w:rPr>
          <w:spacing w:val="-2"/>
        </w:rPr>
        <w:t xml:space="preserve"> </w:t>
      </w:r>
      <w:r>
        <w:t>that the appellant</w:t>
      </w:r>
      <w:r>
        <w:rPr>
          <w:spacing w:val="1"/>
        </w:rPr>
        <w:t xml:space="preserve"> </w:t>
      </w:r>
      <w:r>
        <w:t>faced</w:t>
      </w:r>
      <w:r>
        <w:rPr>
          <w:spacing w:val="-1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briefly</w:t>
      </w:r>
      <w:r>
        <w:rPr>
          <w:spacing w:val="-4"/>
        </w:rPr>
        <w:t xml:space="preserve"> </w:t>
      </w:r>
      <w:r>
        <w:t>that:-</w:t>
      </w:r>
    </w:p>
    <w:p w14:paraId="5D1DEDEC" w14:textId="77777777" w:rsidR="00D61655" w:rsidRDefault="00D61655">
      <w:pPr>
        <w:sectPr w:rsidR="00D61655">
          <w:pgSz w:w="11910" w:h="16840"/>
          <w:pgMar w:top="1360" w:right="1320" w:bottom="1180" w:left="1340" w:header="0" w:footer="992" w:gutter="0"/>
          <w:cols w:space="720"/>
        </w:sectPr>
      </w:pPr>
    </w:p>
    <w:p w14:paraId="603D53CB" w14:textId="77777777" w:rsidR="00D61655" w:rsidRDefault="003E3748">
      <w:pPr>
        <w:pStyle w:val="BodyText"/>
        <w:spacing w:before="62" w:line="259" w:lineRule="auto"/>
        <w:ind w:left="820" w:hanging="360"/>
      </w:pPr>
      <w:r>
        <w:lastRenderedPageBreak/>
        <w:t>1.</w:t>
      </w:r>
      <w:r>
        <w:rPr>
          <w:spacing w:val="1"/>
        </w:rPr>
        <w:t xml:space="preserve"> </w:t>
      </w:r>
      <w:r>
        <w:t>a) the appellant had failed to properly supervise and schedule security personnel at Zimsec’s</w:t>
      </w:r>
      <w:r>
        <w:rPr>
          <w:spacing w:val="-52"/>
        </w:rPr>
        <w:t xml:space="preserve"> </w:t>
      </w:r>
      <w:r>
        <w:t>Norton</w:t>
      </w:r>
      <w:r>
        <w:rPr>
          <w:spacing w:val="-1"/>
        </w:rPr>
        <w:t xml:space="preserve"> </w:t>
      </w:r>
      <w:r>
        <w:t>Printing</w:t>
      </w:r>
      <w:r>
        <w:rPr>
          <w:spacing w:val="-3"/>
        </w:rPr>
        <w:t xml:space="preserve"> </w:t>
      </w:r>
      <w:r>
        <w:t>Press</w:t>
      </w:r>
      <w:r>
        <w:rPr>
          <w:spacing w:val="-2"/>
        </w:rPr>
        <w:t xml:space="preserve"> </w:t>
      </w:r>
      <w:r>
        <w:t>resulting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leakage of</w:t>
      </w:r>
      <w:r>
        <w:rPr>
          <w:spacing w:val="1"/>
        </w:rPr>
        <w:t xml:space="preserve"> </w:t>
      </w:r>
      <w:r>
        <w:t>examination papers,</w:t>
      </w:r>
      <w:r>
        <w:rPr>
          <w:spacing w:val="-3"/>
        </w:rPr>
        <w:t xml:space="preserve"> </w:t>
      </w:r>
      <w:r>
        <w:t>and</w:t>
      </w:r>
    </w:p>
    <w:p w14:paraId="2BC48384" w14:textId="77777777" w:rsidR="00D61655" w:rsidRDefault="003E3748">
      <w:pPr>
        <w:pStyle w:val="ListParagraph"/>
        <w:numPr>
          <w:ilvl w:val="0"/>
          <w:numId w:val="1"/>
        </w:numPr>
        <w:tabs>
          <w:tab w:val="left" w:pos="821"/>
        </w:tabs>
        <w:spacing w:line="256" w:lineRule="auto"/>
        <w:ind w:right="775"/>
      </w:pPr>
      <w:r>
        <w:t>appellant failed to urgently attend to highlighted security concerns and further failed to</w:t>
      </w:r>
      <w:r>
        <w:rPr>
          <w:spacing w:val="-52"/>
        </w:rPr>
        <w:t xml:space="preserve"> </w:t>
      </w:r>
      <w:r>
        <w:t>escalate</w:t>
      </w:r>
      <w:r>
        <w:rPr>
          <w:spacing w:val="-3"/>
        </w:rPr>
        <w:t xml:space="preserve"> </w:t>
      </w:r>
      <w:r>
        <w:t>them</w:t>
      </w:r>
      <w:r>
        <w:rPr>
          <w:spacing w:val="-4"/>
        </w:rPr>
        <w:t xml:space="preserve"> </w:t>
      </w:r>
      <w:r>
        <w:t>to management</w:t>
      </w:r>
      <w:r>
        <w:rPr>
          <w:spacing w:val="1"/>
        </w:rPr>
        <w:t xml:space="preserve"> </w:t>
      </w:r>
      <w:r>
        <w:t>resulting</w:t>
      </w:r>
      <w:r>
        <w:rPr>
          <w:spacing w:val="-3"/>
        </w:rPr>
        <w:t xml:space="preserve"> </w:t>
      </w:r>
      <w:r>
        <w:t>in leakages,</w:t>
      </w:r>
      <w:r>
        <w:rPr>
          <w:spacing w:val="-1"/>
        </w:rPr>
        <w:t xml:space="preserve"> </w:t>
      </w:r>
      <w:r>
        <w:t>and</w:t>
      </w:r>
    </w:p>
    <w:p w14:paraId="2CF62098" w14:textId="77777777" w:rsidR="00D61655" w:rsidRDefault="00D61655">
      <w:pPr>
        <w:pStyle w:val="BodyText"/>
        <w:spacing w:before="1"/>
        <w:ind w:left="0"/>
        <w:rPr>
          <w:sz w:val="24"/>
        </w:rPr>
      </w:pPr>
    </w:p>
    <w:p w14:paraId="794D1F30" w14:textId="77777777" w:rsidR="00D61655" w:rsidRDefault="003E3748">
      <w:pPr>
        <w:pStyle w:val="ListParagraph"/>
        <w:numPr>
          <w:ilvl w:val="0"/>
          <w:numId w:val="1"/>
        </w:numPr>
        <w:tabs>
          <w:tab w:val="left" w:pos="821"/>
        </w:tabs>
        <w:ind w:hanging="361"/>
      </w:pPr>
      <w:r>
        <w:t>lack</w:t>
      </w:r>
      <w:r>
        <w:rPr>
          <w:spacing w:val="-4"/>
        </w:rPr>
        <w:t xml:space="preserve"> </w:t>
      </w:r>
      <w:r>
        <w:t>of skill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that</w:t>
      </w:r>
    </w:p>
    <w:p w14:paraId="1EB26894" w14:textId="77777777" w:rsidR="00D61655" w:rsidRDefault="003E3748">
      <w:pPr>
        <w:pStyle w:val="ListParagraph"/>
        <w:numPr>
          <w:ilvl w:val="1"/>
          <w:numId w:val="1"/>
        </w:numPr>
        <w:tabs>
          <w:tab w:val="left" w:pos="1181"/>
        </w:tabs>
        <w:spacing w:before="20" w:line="256" w:lineRule="auto"/>
        <w:ind w:right="642"/>
      </w:pPr>
      <w:r>
        <w:t>Failure to asses and ensure that the Norton Printing Press CCTV camera system was</w:t>
      </w:r>
      <w:r>
        <w:rPr>
          <w:spacing w:val="-52"/>
        </w:rPr>
        <w:t xml:space="preserve"> </w:t>
      </w:r>
      <w:r>
        <w:t>repaired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maintained.</w:t>
      </w:r>
    </w:p>
    <w:p w14:paraId="3D62BE39" w14:textId="77777777" w:rsidR="00D61655" w:rsidRDefault="003E3748">
      <w:pPr>
        <w:pStyle w:val="ListParagraph"/>
        <w:numPr>
          <w:ilvl w:val="1"/>
          <w:numId w:val="1"/>
        </w:numPr>
        <w:tabs>
          <w:tab w:val="left" w:pos="1181"/>
        </w:tabs>
        <w:spacing w:before="4"/>
        <w:ind w:hanging="361"/>
      </w:pPr>
      <w:r>
        <w:t>Failure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supervise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schedule</w:t>
      </w:r>
      <w:r>
        <w:rPr>
          <w:spacing w:val="-4"/>
        </w:rPr>
        <w:t xml:space="preserve"> </w:t>
      </w:r>
      <w:r>
        <w:t>control room</w:t>
      </w:r>
      <w:r>
        <w:rPr>
          <w:spacing w:val="-5"/>
        </w:rPr>
        <w:t xml:space="preserve"> </w:t>
      </w:r>
      <w:r>
        <w:t>security.</w:t>
      </w:r>
    </w:p>
    <w:p w14:paraId="10285CFD" w14:textId="77777777" w:rsidR="00D61655" w:rsidRDefault="003E3748">
      <w:pPr>
        <w:pStyle w:val="ListParagraph"/>
        <w:numPr>
          <w:ilvl w:val="1"/>
          <w:numId w:val="1"/>
        </w:numPr>
        <w:tabs>
          <w:tab w:val="left" w:pos="1181"/>
        </w:tabs>
        <w:spacing w:before="20"/>
        <w:ind w:hanging="361"/>
      </w:pPr>
      <w:r>
        <w:t>Failure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put</w:t>
      </w:r>
      <w:r>
        <w:rPr>
          <w:spacing w:val="1"/>
        </w:rPr>
        <w:t xml:space="preserve"> </w:t>
      </w:r>
      <w:r>
        <w:t>adequate</w:t>
      </w:r>
      <w:r>
        <w:rPr>
          <w:spacing w:val="-3"/>
        </w:rPr>
        <w:t xml:space="preserve"> </w:t>
      </w:r>
      <w:r>
        <w:t>security</w:t>
      </w:r>
      <w:r>
        <w:rPr>
          <w:spacing w:val="-3"/>
        </w:rPr>
        <w:t xml:space="preserve"> </w:t>
      </w:r>
      <w:r>
        <w:t>procedures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place,</w:t>
      </w:r>
      <w:r>
        <w:rPr>
          <w:spacing w:val="-2"/>
        </w:rPr>
        <w:t xml:space="preserve"> </w:t>
      </w:r>
      <w:r>
        <w:t>and</w:t>
      </w:r>
    </w:p>
    <w:p w14:paraId="778405F0" w14:textId="77777777" w:rsidR="00D61655" w:rsidRDefault="003E3748">
      <w:pPr>
        <w:pStyle w:val="ListParagraph"/>
        <w:numPr>
          <w:ilvl w:val="1"/>
          <w:numId w:val="1"/>
        </w:numPr>
        <w:tabs>
          <w:tab w:val="left" w:pos="1181"/>
        </w:tabs>
        <w:spacing w:before="21" w:line="259" w:lineRule="auto"/>
        <w:ind w:right="467"/>
        <w:jc w:val="both"/>
      </w:pPr>
      <w:r>
        <w:t>Failure to report for duty at Norton Printing Press during the 2020 November question</w:t>
      </w:r>
      <w:r>
        <w:rPr>
          <w:spacing w:val="-52"/>
        </w:rPr>
        <w:t xml:space="preserve"> </w:t>
      </w:r>
      <w:r>
        <w:t>paper printing and packaging periods in spite of having been instructed to do so by his</w:t>
      </w:r>
      <w:r>
        <w:rPr>
          <w:spacing w:val="-52"/>
        </w:rPr>
        <w:t xml:space="preserve"> </w:t>
      </w:r>
      <w:r>
        <w:t>supervisors.</w:t>
      </w:r>
    </w:p>
    <w:p w14:paraId="1EE4B297" w14:textId="77777777" w:rsidR="00D61655" w:rsidRDefault="003E3748">
      <w:pPr>
        <w:pStyle w:val="BodyText"/>
        <w:spacing w:before="158" w:line="259" w:lineRule="auto"/>
        <w:ind w:right="344"/>
      </w:pPr>
      <w:r>
        <w:t>The appellant argued in support of his first ground of appeal that there was no evidence to support a</w:t>
      </w:r>
      <w:r>
        <w:rPr>
          <w:spacing w:val="-52"/>
        </w:rPr>
        <w:t xml:space="preserve"> </w:t>
      </w:r>
      <w:r>
        <w:t>finding</w:t>
      </w:r>
      <w:r>
        <w:rPr>
          <w:spacing w:val="-3"/>
        </w:rPr>
        <w:t xml:space="preserve"> </w:t>
      </w:r>
      <w:r>
        <w:t>of guilt</w:t>
      </w:r>
      <w:r>
        <w:rPr>
          <w:spacing w:val="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both</w:t>
      </w:r>
      <w:r>
        <w:rPr>
          <w:spacing w:val="-3"/>
        </w:rPr>
        <w:t xml:space="preserve"> </w:t>
      </w:r>
      <w:r>
        <w:t>counts.</w:t>
      </w:r>
    </w:p>
    <w:p w14:paraId="46A3FBA2" w14:textId="77777777" w:rsidR="00D61655" w:rsidRDefault="003E3748">
      <w:pPr>
        <w:pStyle w:val="BodyText"/>
        <w:spacing w:before="161" w:line="259" w:lineRule="auto"/>
        <w:ind w:right="345"/>
      </w:pPr>
      <w:r>
        <w:t>The appellant further argued in support of this second ground of appeal that what was breached was</w:t>
      </w:r>
      <w:r>
        <w:rPr>
          <w:spacing w:val="-52"/>
        </w:rPr>
        <w:t xml:space="preserve"> </w:t>
      </w:r>
      <w:r>
        <w:t>not something which arose from his contract of employment. The respondent ought to have</w:t>
      </w:r>
      <w:r>
        <w:rPr>
          <w:spacing w:val="1"/>
        </w:rPr>
        <w:t xml:space="preserve"> </w:t>
      </w:r>
      <w:r>
        <w:t>specifically addressed the issue of which term of the contract was breached. No specific or express</w:t>
      </w:r>
      <w:r>
        <w:rPr>
          <w:spacing w:val="1"/>
        </w:rPr>
        <w:t xml:space="preserve"> </w:t>
      </w:r>
      <w:r>
        <w:t>term</w:t>
      </w:r>
      <w:r>
        <w:rPr>
          <w:spacing w:val="-5"/>
        </w:rPr>
        <w:t xml:space="preserve"> </w:t>
      </w:r>
      <w:r>
        <w:t>of his contract</w:t>
      </w:r>
      <w:r>
        <w:rPr>
          <w:spacing w:val="1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found to</w:t>
      </w:r>
      <w:r>
        <w:rPr>
          <w:spacing w:val="-3"/>
        </w:rPr>
        <w:t xml:space="preserve"> </w:t>
      </w:r>
      <w:r>
        <w:t>have been</w:t>
      </w:r>
      <w:r>
        <w:rPr>
          <w:spacing w:val="-2"/>
        </w:rPr>
        <w:t xml:space="preserve"> </w:t>
      </w:r>
      <w:r>
        <w:t>breached.</w:t>
      </w:r>
    </w:p>
    <w:p w14:paraId="1BF95936" w14:textId="77777777" w:rsidR="00D61655" w:rsidRDefault="003E3748">
      <w:pPr>
        <w:pStyle w:val="BodyText"/>
        <w:spacing w:before="158" w:line="259" w:lineRule="auto"/>
        <w:ind w:right="240"/>
      </w:pPr>
      <w:r>
        <w:t>It was argued, further, that which was breached was not even an implied term of the appellant’s</w:t>
      </w:r>
      <w:r>
        <w:rPr>
          <w:spacing w:val="1"/>
        </w:rPr>
        <w:t xml:space="preserve"> </w:t>
      </w:r>
      <w:r>
        <w:t>contract of employment, it was argued that the record shows that there was someone whose</w:t>
      </w:r>
      <w:r>
        <w:rPr>
          <w:spacing w:val="1"/>
        </w:rPr>
        <w:t xml:space="preserve"> </w:t>
      </w:r>
      <w:r>
        <w:t>responsibility it was to schedule and supervise security personnel. As a result of these arguments, the</w:t>
      </w:r>
      <w:r>
        <w:rPr>
          <w:spacing w:val="-52"/>
        </w:rPr>
        <w:t xml:space="preserve"> </w:t>
      </w:r>
      <w:r>
        <w:t>appellant urged the</w:t>
      </w:r>
      <w:r>
        <w:rPr>
          <w:spacing w:val="-2"/>
        </w:rPr>
        <w:t xml:space="preserve"> </w:t>
      </w:r>
      <w:r>
        <w:t>Court to find that</w:t>
      </w:r>
      <w:r>
        <w:rPr>
          <w:spacing w:val="-3"/>
        </w:rPr>
        <w:t xml:space="preserve"> </w:t>
      </w:r>
      <w:r>
        <w:t>there was no basis</w:t>
      </w:r>
      <w:r>
        <w:rPr>
          <w:spacing w:val="-1"/>
        </w:rPr>
        <w:t xml:space="preserve"> </w:t>
      </w:r>
      <w:r>
        <w:t>for conviction.</w:t>
      </w:r>
    </w:p>
    <w:p w14:paraId="47E01A8C" w14:textId="77777777" w:rsidR="00D61655" w:rsidRDefault="003E3748">
      <w:pPr>
        <w:pStyle w:val="BodyText"/>
        <w:spacing w:before="160" w:line="259" w:lineRule="auto"/>
        <w:ind w:right="258"/>
      </w:pPr>
      <w:r>
        <w:t>The Court notes that the appellant, as the Senior Manager Risk and Security, did not seek to argue or</w:t>
      </w:r>
      <w:r>
        <w:rPr>
          <w:spacing w:val="-52"/>
        </w:rPr>
        <w:t xml:space="preserve"> </w:t>
      </w:r>
      <w:r>
        <w:t>show the Court that there was proper supervision and scheduling of security personnel nor that the</w:t>
      </w:r>
      <w:r>
        <w:rPr>
          <w:spacing w:val="1"/>
        </w:rPr>
        <w:t xml:space="preserve"> </w:t>
      </w:r>
      <w:r>
        <w:t>security concerns highlighted by an independent security company were promptly attended to and</w:t>
      </w:r>
      <w:r>
        <w:rPr>
          <w:spacing w:val="1"/>
        </w:rPr>
        <w:t xml:space="preserve"> </w:t>
      </w:r>
      <w:r>
        <w:t>escalated to management. He merely argues on technical issues. While these may, carry the day in a</w:t>
      </w:r>
      <w:r>
        <w:rPr>
          <w:spacing w:val="1"/>
        </w:rPr>
        <w:t xml:space="preserve"> </w:t>
      </w:r>
      <w:r>
        <w:t>Criminal Court, in the Labour Court, it is the substance of the alleged acts of misconduct that should</w:t>
      </w:r>
      <w:r>
        <w:rPr>
          <w:spacing w:val="-52"/>
        </w:rPr>
        <w:t xml:space="preserve"> </w:t>
      </w:r>
      <w:r>
        <w:t>be addressed.</w:t>
      </w:r>
    </w:p>
    <w:p w14:paraId="7B6753F5" w14:textId="77777777" w:rsidR="00D61655" w:rsidRDefault="003E3748">
      <w:pPr>
        <w:pStyle w:val="BodyText"/>
        <w:spacing w:before="158" w:line="259" w:lineRule="auto"/>
        <w:ind w:right="295"/>
      </w:pPr>
      <w:r>
        <w:t>The disciplinary and appeals committee’s mandate in considering the facts was not to make findings</w:t>
      </w:r>
      <w:r>
        <w:rPr>
          <w:spacing w:val="-52"/>
        </w:rPr>
        <w:t xml:space="preserve"> </w:t>
      </w:r>
      <w:r>
        <w:t>beyond reasonable doubt but to assess the facts from both parties and decide on a balance of</w:t>
      </w:r>
      <w:r>
        <w:rPr>
          <w:spacing w:val="1"/>
        </w:rPr>
        <w:t xml:space="preserve"> </w:t>
      </w:r>
      <w:r>
        <w:t>probabilities what could be more probable version even though in so doing or in so finding, they</w:t>
      </w:r>
      <w:r>
        <w:rPr>
          <w:spacing w:val="1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exclude every</w:t>
      </w:r>
      <w:r>
        <w:rPr>
          <w:spacing w:val="-3"/>
        </w:rPr>
        <w:t xml:space="preserve"> </w:t>
      </w:r>
      <w:r>
        <w:t>possible doubt.</w:t>
      </w:r>
    </w:p>
    <w:p w14:paraId="460CDBCF" w14:textId="77777777" w:rsidR="00D61655" w:rsidRDefault="003E3748">
      <w:pPr>
        <w:spacing w:before="160" w:line="259" w:lineRule="auto"/>
        <w:ind w:left="100" w:right="929"/>
        <w:rPr>
          <w:b/>
        </w:rPr>
      </w:pPr>
      <w:r>
        <w:t xml:space="preserve">See in this regard the cases of </w:t>
      </w:r>
      <w:r>
        <w:rPr>
          <w:b/>
        </w:rPr>
        <w:t>Ebrahim v Pittman NO 1995 (1) ZLR 184 (H) and Govan v</w:t>
      </w:r>
      <w:r>
        <w:rPr>
          <w:b/>
          <w:spacing w:val="-52"/>
        </w:rPr>
        <w:t xml:space="preserve"> </w:t>
      </w:r>
      <w:r>
        <w:rPr>
          <w:b/>
        </w:rPr>
        <w:t>Skidmore 1952</w:t>
      </w:r>
      <w:r>
        <w:rPr>
          <w:b/>
          <w:spacing w:val="-1"/>
        </w:rPr>
        <w:t xml:space="preserve"> </w:t>
      </w:r>
      <w:r>
        <w:rPr>
          <w:b/>
        </w:rPr>
        <w:t>(1) SA</w:t>
      </w:r>
      <w:r>
        <w:rPr>
          <w:b/>
          <w:spacing w:val="-2"/>
        </w:rPr>
        <w:t xml:space="preserve"> </w:t>
      </w:r>
      <w:r>
        <w:rPr>
          <w:b/>
        </w:rPr>
        <w:t>732</w:t>
      </w:r>
    </w:p>
    <w:p w14:paraId="76596D23" w14:textId="77777777" w:rsidR="00D61655" w:rsidRDefault="003E3748">
      <w:pPr>
        <w:pStyle w:val="BodyText"/>
        <w:spacing w:before="159"/>
      </w:pPr>
      <w:r>
        <w:t>Where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Court</w:t>
      </w:r>
      <w:r>
        <w:rPr>
          <w:spacing w:val="-1"/>
        </w:rPr>
        <w:t xml:space="preserve"> </w:t>
      </w:r>
      <w:r>
        <w:t>stated</w:t>
      </w:r>
      <w:r>
        <w:rPr>
          <w:spacing w:val="-3"/>
        </w:rPr>
        <w:t xml:space="preserve"> </w:t>
      </w:r>
      <w:r>
        <w:t>that;</w:t>
      </w:r>
    </w:p>
    <w:p w14:paraId="5FBCC8DB" w14:textId="77777777" w:rsidR="00D61655" w:rsidRDefault="003E3748">
      <w:pPr>
        <w:pStyle w:val="BodyText"/>
        <w:spacing w:before="180" w:line="259" w:lineRule="auto"/>
        <w:ind w:right="393"/>
      </w:pPr>
      <w:r>
        <w:t>“it is trite that in general, in finding facts and making inferences in a civil case, the Court may go</w:t>
      </w:r>
      <w:r>
        <w:rPr>
          <w:spacing w:val="1"/>
        </w:rPr>
        <w:t xml:space="preserve"> </w:t>
      </w:r>
      <w:r>
        <w:t>upon a mere preponderance of probability, although in so doing, does not exclude every reasonable</w:t>
      </w:r>
      <w:r>
        <w:rPr>
          <w:spacing w:val="-52"/>
        </w:rPr>
        <w:t xml:space="preserve"> </w:t>
      </w:r>
      <w:r>
        <w:t>doubt…</w:t>
      </w:r>
    </w:p>
    <w:p w14:paraId="68725E2F" w14:textId="77777777" w:rsidR="00D61655" w:rsidRDefault="003E3748">
      <w:pPr>
        <w:pStyle w:val="BodyText"/>
        <w:spacing w:before="160" w:line="259" w:lineRule="auto"/>
        <w:ind w:right="106"/>
      </w:pPr>
      <w:r>
        <w:t>In civil cases one may by balancing probabilities select a conclusion which seems to be the more</w:t>
      </w:r>
      <w:r>
        <w:rPr>
          <w:spacing w:val="1"/>
        </w:rPr>
        <w:t xml:space="preserve"> </w:t>
      </w:r>
      <w:r>
        <w:t>natural or plausible conclusion from amongst several conceivable ones even though that conclusion be</w:t>
      </w:r>
      <w:r>
        <w:rPr>
          <w:spacing w:val="-52"/>
        </w:rPr>
        <w:t xml:space="preserve"> </w:t>
      </w:r>
      <w:r>
        <w:t>not the only</w:t>
      </w:r>
      <w:r>
        <w:rPr>
          <w:spacing w:val="-3"/>
        </w:rPr>
        <w:t xml:space="preserve"> </w:t>
      </w:r>
      <w:r>
        <w:t>reasonable one,”</w:t>
      </w:r>
    </w:p>
    <w:p w14:paraId="06942F1C" w14:textId="77777777" w:rsidR="00D61655" w:rsidRDefault="00D61655">
      <w:pPr>
        <w:spacing w:line="259" w:lineRule="auto"/>
        <w:sectPr w:rsidR="00D61655">
          <w:pgSz w:w="11910" w:h="16840"/>
          <w:pgMar w:top="1360" w:right="1320" w:bottom="1180" w:left="1340" w:header="0" w:footer="992" w:gutter="0"/>
          <w:cols w:space="720"/>
        </w:sectPr>
      </w:pPr>
    </w:p>
    <w:p w14:paraId="7DDFE636" w14:textId="77777777" w:rsidR="00D61655" w:rsidRDefault="003E3748">
      <w:pPr>
        <w:pStyle w:val="BodyText"/>
        <w:spacing w:before="62" w:line="259" w:lineRule="auto"/>
        <w:ind w:right="186"/>
      </w:pPr>
      <w:r>
        <w:lastRenderedPageBreak/>
        <w:t>In ground of appeal number two the finding of the appeals Committee is challenged on the basis that</w:t>
      </w:r>
      <w:r>
        <w:rPr>
          <w:spacing w:val="1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instruction</w:t>
      </w:r>
      <w:r>
        <w:rPr>
          <w:spacing w:val="-2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appellant’s</w:t>
      </w:r>
      <w:r>
        <w:rPr>
          <w:spacing w:val="-4"/>
        </w:rPr>
        <w:t xml:space="preserve"> </w:t>
      </w:r>
      <w:r>
        <w:t>supervisor</w:t>
      </w:r>
      <w:r>
        <w:rPr>
          <w:spacing w:val="-1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followed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term</w:t>
      </w:r>
      <w:r>
        <w:rPr>
          <w:spacing w:val="-6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his</w:t>
      </w:r>
      <w:r>
        <w:rPr>
          <w:spacing w:val="-1"/>
        </w:rPr>
        <w:t xml:space="preserve"> </w:t>
      </w:r>
      <w:r>
        <w:t>contract</w:t>
      </w:r>
      <w:r>
        <w:rPr>
          <w:spacing w:val="-5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employment.</w:t>
      </w:r>
    </w:p>
    <w:p w14:paraId="118FA9CB" w14:textId="77777777" w:rsidR="00D61655" w:rsidRDefault="003E3748">
      <w:pPr>
        <w:pStyle w:val="BodyText"/>
        <w:spacing w:before="160" w:line="259" w:lineRule="auto"/>
        <w:ind w:right="161"/>
      </w:pPr>
      <w:r>
        <w:t>The respondent argument in relation to this first ground of appeal that the Senior Risk Manager’s risk</w:t>
      </w:r>
      <w:r>
        <w:rPr>
          <w:spacing w:val="-52"/>
        </w:rPr>
        <w:t xml:space="preserve"> </w:t>
      </w:r>
      <w:r>
        <w:t>profile increases during the time of printing. He was specifically instructed to be at the printing press</w:t>
      </w:r>
      <w:r>
        <w:rPr>
          <w:spacing w:val="1"/>
        </w:rPr>
        <w:t xml:space="preserve"> </w:t>
      </w:r>
      <w:r>
        <w:t>during this time. He was aware that his daily presence during the relevant printing periods was</w:t>
      </w:r>
      <w:r>
        <w:rPr>
          <w:spacing w:val="1"/>
        </w:rPr>
        <w:t xml:space="preserve"> </w:t>
      </w:r>
      <w:r>
        <w:t>required. There is an email on record as evidence to this, as the Senior Risk Manager he only reported</w:t>
      </w:r>
      <w:r>
        <w:rPr>
          <w:spacing w:val="-5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just</w:t>
      </w:r>
      <w:r>
        <w:rPr>
          <w:spacing w:val="1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three days</w:t>
      </w:r>
      <w:r>
        <w:rPr>
          <w:spacing w:val="-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period</w:t>
      </w:r>
      <w:r>
        <w:rPr>
          <w:spacing w:val="1"/>
        </w:rPr>
        <w:t xml:space="preserve"> </w:t>
      </w:r>
      <w:r>
        <w:t>running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1 November</w:t>
      </w:r>
      <w:r>
        <w:rPr>
          <w:spacing w:val="1"/>
        </w:rPr>
        <w:t xml:space="preserve"> </w:t>
      </w:r>
      <w:r>
        <w:t>2020 to 13</w:t>
      </w:r>
      <w:r>
        <w:rPr>
          <w:spacing w:val="-4"/>
        </w:rPr>
        <w:t xml:space="preserve"> </w:t>
      </w:r>
      <w:r>
        <w:t>December</w:t>
      </w:r>
      <w:r>
        <w:rPr>
          <w:spacing w:val="1"/>
        </w:rPr>
        <w:t xml:space="preserve"> </w:t>
      </w:r>
      <w:r>
        <w:t>2020.</w:t>
      </w:r>
    </w:p>
    <w:p w14:paraId="4F71941B" w14:textId="77777777" w:rsidR="00D61655" w:rsidRDefault="003E3748">
      <w:pPr>
        <w:pStyle w:val="BodyText"/>
        <w:spacing w:line="256" w:lineRule="auto"/>
        <w:ind w:right="558"/>
      </w:pPr>
      <w:r>
        <w:t>This entire period was the high-risk period. The record shows that he was instructed to be present</w:t>
      </w:r>
      <w:r>
        <w:rPr>
          <w:spacing w:val="-52"/>
        </w:rPr>
        <w:t xml:space="preserve"> </w:t>
      </w:r>
      <w:r>
        <w:t>daily</w:t>
      </w:r>
      <w:r>
        <w:rPr>
          <w:spacing w:val="-3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he</w:t>
      </w:r>
      <w:r>
        <w:rPr>
          <w:spacing w:val="-1"/>
        </w:rPr>
        <w:t xml:space="preserve"> </w:t>
      </w:r>
      <w:r>
        <w:t>was there only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three</w:t>
      </w:r>
      <w:r>
        <w:rPr>
          <w:spacing w:val="-2"/>
        </w:rPr>
        <w:t xml:space="preserve"> </w:t>
      </w:r>
      <w:r>
        <w:t>days.</w:t>
      </w:r>
      <w:r>
        <w:rPr>
          <w:spacing w:val="-1"/>
        </w:rPr>
        <w:t xml:space="preserve"> </w:t>
      </w:r>
      <w:r>
        <w:t>He failed to</w:t>
      </w:r>
      <w:r>
        <w:rPr>
          <w:spacing w:val="-4"/>
        </w:rPr>
        <w:t xml:space="preserve"> </w:t>
      </w:r>
      <w:r>
        <w:t>be present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critical</w:t>
      </w:r>
      <w:r>
        <w:rPr>
          <w:spacing w:val="-2"/>
        </w:rPr>
        <w:t xml:space="preserve"> </w:t>
      </w:r>
      <w:r>
        <w:t>time.</w:t>
      </w:r>
    </w:p>
    <w:p w14:paraId="534BB4F6" w14:textId="77777777" w:rsidR="00D61655" w:rsidRDefault="003E3748">
      <w:pPr>
        <w:pStyle w:val="BodyText"/>
        <w:spacing w:before="164" w:line="259" w:lineRule="auto"/>
        <w:ind w:right="136"/>
      </w:pPr>
      <w:r>
        <w:t>The respondent had contracted guard alert to increase security. The respondent had appointed the</w:t>
      </w:r>
      <w:r>
        <w:rPr>
          <w:spacing w:val="1"/>
        </w:rPr>
        <w:t xml:space="preserve"> </w:t>
      </w:r>
      <w:r>
        <w:t>appellant to represent it in all dealings with guard alert. He accepted that he was responsible for</w:t>
      </w:r>
      <w:r>
        <w:rPr>
          <w:spacing w:val="1"/>
        </w:rPr>
        <w:t xml:space="preserve"> </w:t>
      </w:r>
      <w:r>
        <w:t>managing security personnel. It is therefore simply not true that his responsibilities did not include the</w:t>
      </w:r>
      <w:r>
        <w:rPr>
          <w:spacing w:val="-52"/>
        </w:rPr>
        <w:t xml:space="preserve"> </w:t>
      </w:r>
      <w:r>
        <w:t>scheduling of security personnel. Even though he was specifically instructed by his supervisor it was</w:t>
      </w:r>
      <w:r>
        <w:rPr>
          <w:spacing w:val="1"/>
        </w:rPr>
        <w:t xml:space="preserve"> </w:t>
      </w:r>
      <w:r>
        <w:t>also part of his responsibilities to manage the security and risk portfolio as the Senior Risk Manager.</w:t>
      </w:r>
      <w:r>
        <w:rPr>
          <w:spacing w:val="1"/>
        </w:rPr>
        <w:t xml:space="preserve"> </w:t>
      </w:r>
      <w:r>
        <w:t>The breach therefore related to not only failure to follow instructions but also a failure to perf</w:t>
      </w:r>
      <w:r>
        <w:t>orm his</w:t>
      </w:r>
      <w:r>
        <w:rPr>
          <w:spacing w:val="1"/>
        </w:rPr>
        <w:t xml:space="preserve"> </w:t>
      </w:r>
      <w:r>
        <w:t>duties</w:t>
      </w:r>
      <w:r>
        <w:rPr>
          <w:spacing w:val="-3"/>
        </w:rPr>
        <w:t xml:space="preserve"> </w:t>
      </w:r>
      <w:r>
        <w:t>in terms of</w:t>
      </w:r>
      <w:r>
        <w:rPr>
          <w:spacing w:val="-2"/>
        </w:rPr>
        <w:t xml:space="preserve"> </w:t>
      </w:r>
      <w:r>
        <w:t>the contract</w:t>
      </w:r>
      <w:r>
        <w:rPr>
          <w:spacing w:val="1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employment.</w:t>
      </w:r>
    </w:p>
    <w:p w14:paraId="1A6A2373" w14:textId="77777777" w:rsidR="00D61655" w:rsidRDefault="003E3748">
      <w:pPr>
        <w:pStyle w:val="BodyText"/>
        <w:spacing w:before="159" w:line="259" w:lineRule="auto"/>
        <w:ind w:right="125"/>
      </w:pPr>
      <w:r>
        <w:t>He admitted during the hearing that he was the one responsible for security at the Norton Printing</w:t>
      </w:r>
      <w:r>
        <w:rPr>
          <w:spacing w:val="1"/>
        </w:rPr>
        <w:t xml:space="preserve"> </w:t>
      </w:r>
      <w:r>
        <w:t>Press. He admitted that there was increased risk during the printing period. He admitted that he was</w:t>
      </w:r>
      <w:r>
        <w:rPr>
          <w:spacing w:val="1"/>
        </w:rPr>
        <w:t xml:space="preserve"> </w:t>
      </w:r>
      <w:r>
        <w:t>responsible for security and especially during periods when risk is increased, he attended for just three</w:t>
      </w:r>
      <w:r>
        <w:rPr>
          <w:spacing w:val="-52"/>
        </w:rPr>
        <w:t xml:space="preserve"> </w:t>
      </w:r>
      <w:r>
        <w:t>days contrary to his responsibilities as the manager in charge of and responsible for security. I agree,</w:t>
      </w:r>
      <w:r>
        <w:rPr>
          <w:spacing w:val="1"/>
        </w:rPr>
        <w:t xml:space="preserve"> </w:t>
      </w:r>
      <w:r>
        <w:t>with the respondent’s counsel that his conduct is surely conduct inconsistent with the terms of his</w:t>
      </w:r>
      <w:r>
        <w:rPr>
          <w:spacing w:val="1"/>
        </w:rPr>
        <w:t xml:space="preserve"> </w:t>
      </w:r>
      <w:r>
        <w:t>employment contract.</w:t>
      </w:r>
    </w:p>
    <w:p w14:paraId="74DEC3B2" w14:textId="77777777" w:rsidR="00D61655" w:rsidRDefault="003E3748">
      <w:pPr>
        <w:pStyle w:val="BodyText"/>
        <w:spacing w:before="159" w:line="259" w:lineRule="auto"/>
        <w:ind w:right="253"/>
      </w:pPr>
      <w:r>
        <w:t>The appellant had also failed to escalate issues highlighted by guard alert, these issues were noted by</w:t>
      </w:r>
      <w:r>
        <w:rPr>
          <w:spacing w:val="-52"/>
        </w:rPr>
        <w:t xml:space="preserve"> </w:t>
      </w:r>
      <w:r>
        <w:t>guard alert and recorded them. They recorded that the employees had independently changed the</w:t>
      </w:r>
      <w:r>
        <w:rPr>
          <w:spacing w:val="1"/>
        </w:rPr>
        <w:t xml:space="preserve"> </w:t>
      </w:r>
      <w:r>
        <w:t>protocol made of searching when exiting and there was material blocking the CCTV. These two</w:t>
      </w:r>
      <w:r>
        <w:rPr>
          <w:spacing w:val="1"/>
        </w:rPr>
        <w:t xml:space="preserve"> </w:t>
      </w:r>
      <w:r>
        <w:t>entries were not brought to the attention of respondent’s management most probably because he did</w:t>
      </w:r>
      <w:r>
        <w:rPr>
          <w:spacing w:val="1"/>
        </w:rPr>
        <w:t xml:space="preserve"> </w:t>
      </w:r>
      <w:r>
        <w:t>not see the entries</w:t>
      </w:r>
      <w:r>
        <w:rPr>
          <w:spacing w:val="1"/>
        </w:rPr>
        <w:t xml:space="preserve"> </w:t>
      </w:r>
      <w:r>
        <w:t>since</w:t>
      </w:r>
      <w:r>
        <w:rPr>
          <w:spacing w:val="-2"/>
        </w:rPr>
        <w:t xml:space="preserve"> </w:t>
      </w:r>
      <w:r>
        <w:t>he</w:t>
      </w:r>
      <w:r>
        <w:rPr>
          <w:spacing w:val="-2"/>
        </w:rPr>
        <w:t xml:space="preserve"> </w:t>
      </w:r>
      <w:r>
        <w:t>was</w:t>
      </w:r>
      <w:r>
        <w:rPr>
          <w:spacing w:val="2"/>
        </w:rPr>
        <w:t xml:space="preserve"> </w:t>
      </w:r>
      <w:r>
        <w:t>away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entire period except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three</w:t>
      </w:r>
      <w:r>
        <w:rPr>
          <w:spacing w:val="-1"/>
        </w:rPr>
        <w:t xml:space="preserve"> </w:t>
      </w:r>
      <w:r>
        <w:t>days.</w:t>
      </w:r>
    </w:p>
    <w:p w14:paraId="21068A76" w14:textId="77777777" w:rsidR="00D61655" w:rsidRDefault="003E3748">
      <w:pPr>
        <w:pStyle w:val="BodyText"/>
        <w:spacing w:before="158" w:line="259" w:lineRule="auto"/>
        <w:ind w:right="125"/>
      </w:pPr>
      <w:r>
        <w:t>The record shows that he agreed that he was the contact person for all security and he had stated in his</w:t>
      </w:r>
      <w:r>
        <w:rPr>
          <w:spacing w:val="-52"/>
        </w:rPr>
        <w:t xml:space="preserve"> </w:t>
      </w:r>
      <w:r>
        <w:t>email that he would be present at Norton during this period. The appellant also admitted under cross</w:t>
      </w:r>
      <w:r>
        <w:rPr>
          <w:spacing w:val="1"/>
        </w:rPr>
        <w:t xml:space="preserve"> </w:t>
      </w:r>
      <w:r>
        <w:t>examination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he was responsible</w:t>
      </w:r>
      <w:r>
        <w:rPr>
          <w:spacing w:val="-2"/>
        </w:rPr>
        <w:t xml:space="preserve"> </w:t>
      </w:r>
      <w:r>
        <w:t>for security.</w:t>
      </w:r>
    </w:p>
    <w:p w14:paraId="12FAA205" w14:textId="77777777" w:rsidR="00D61655" w:rsidRDefault="003E3748">
      <w:pPr>
        <w:pStyle w:val="BodyText"/>
        <w:spacing w:before="159" w:line="259" w:lineRule="auto"/>
        <w:ind w:right="461"/>
      </w:pPr>
      <w:r>
        <w:t>There is therefore no merit in these two grounds of appeal his own admissions on record and the</w:t>
      </w:r>
      <w:r>
        <w:rPr>
          <w:spacing w:val="1"/>
        </w:rPr>
        <w:t xml:space="preserve"> </w:t>
      </w:r>
      <w:r>
        <w:t>evidence on record shows that the disciplinary committee and the appeals committee did not err as</w:t>
      </w:r>
      <w:r>
        <w:rPr>
          <w:spacing w:val="-52"/>
        </w:rPr>
        <w:t xml:space="preserve"> </w:t>
      </w:r>
      <w:r>
        <w:t>alleged.</w:t>
      </w:r>
    </w:p>
    <w:p w14:paraId="3426426E" w14:textId="77777777" w:rsidR="00D61655" w:rsidRDefault="003E3748">
      <w:pPr>
        <w:pStyle w:val="BodyText"/>
        <w:spacing w:before="160"/>
      </w:pPr>
      <w:r>
        <w:rPr>
          <w:u w:val="single"/>
        </w:rPr>
        <w:t>Ad</w:t>
      </w:r>
      <w:r>
        <w:rPr>
          <w:spacing w:val="-1"/>
          <w:u w:val="single"/>
        </w:rPr>
        <w:t xml:space="preserve"> </w:t>
      </w:r>
      <w:r>
        <w:rPr>
          <w:u w:val="single"/>
        </w:rPr>
        <w:t>lack</w:t>
      </w:r>
      <w:r>
        <w:rPr>
          <w:spacing w:val="-3"/>
          <w:u w:val="single"/>
        </w:rPr>
        <w:t xml:space="preserve"> </w:t>
      </w:r>
      <w:r>
        <w:rPr>
          <w:u w:val="single"/>
        </w:rPr>
        <w:t>of</w:t>
      </w:r>
      <w:r>
        <w:rPr>
          <w:spacing w:val="-1"/>
          <w:u w:val="single"/>
        </w:rPr>
        <w:t xml:space="preserve"> </w:t>
      </w:r>
      <w:r>
        <w:rPr>
          <w:u w:val="single"/>
        </w:rPr>
        <w:t>skill</w:t>
      </w:r>
    </w:p>
    <w:p w14:paraId="3ACF3AAC" w14:textId="77777777" w:rsidR="00D61655" w:rsidRDefault="003E3748">
      <w:pPr>
        <w:pStyle w:val="BodyText"/>
        <w:spacing w:before="182" w:line="259" w:lineRule="auto"/>
        <w:ind w:right="693"/>
      </w:pPr>
      <w:r>
        <w:t>The appellant held himself out to be an expert in security and was employed as a Senior Risk</w:t>
      </w:r>
      <w:r>
        <w:rPr>
          <w:spacing w:val="1"/>
        </w:rPr>
        <w:t xml:space="preserve"> </w:t>
      </w:r>
      <w:r>
        <w:t>Manager. In his evidence in chief he stated that he holds an under graduate qualification in Risk</w:t>
      </w:r>
      <w:r>
        <w:rPr>
          <w:spacing w:val="-52"/>
        </w:rPr>
        <w:t xml:space="preserve"> </w:t>
      </w:r>
      <w:r>
        <w:t>related</w:t>
      </w:r>
      <w:r>
        <w:rPr>
          <w:spacing w:val="-1"/>
        </w:rPr>
        <w:t xml:space="preserve"> </w:t>
      </w:r>
      <w:r>
        <w:t>security.</w:t>
      </w:r>
    </w:p>
    <w:p w14:paraId="3B0AA19D" w14:textId="77777777" w:rsidR="00D61655" w:rsidRDefault="003E3748">
      <w:pPr>
        <w:pStyle w:val="BodyText"/>
        <w:spacing w:before="160" w:line="259" w:lineRule="auto"/>
        <w:ind w:right="565"/>
      </w:pPr>
      <w:r>
        <w:t>He however made a report that the CCTV camera was in need of repair. But it was shown in the</w:t>
      </w:r>
      <w:r>
        <w:rPr>
          <w:spacing w:val="1"/>
        </w:rPr>
        <w:t xml:space="preserve"> </w:t>
      </w:r>
      <w:r>
        <w:t>evidence that the cameras were working well but they were just blocked by materials as had been</w:t>
      </w:r>
      <w:r>
        <w:rPr>
          <w:spacing w:val="-52"/>
        </w:rPr>
        <w:t xml:space="preserve"> </w:t>
      </w:r>
      <w:r>
        <w:t>highlighted by guard alert in one of their entries. The appellant only needed to make sure that the</w:t>
      </w:r>
      <w:r>
        <w:rPr>
          <w:spacing w:val="-52"/>
        </w:rPr>
        <w:t xml:space="preserve"> </w:t>
      </w:r>
      <w:r>
        <w:t>cameras</w:t>
      </w:r>
      <w:r>
        <w:rPr>
          <w:spacing w:val="-1"/>
        </w:rPr>
        <w:t xml:space="preserve"> </w:t>
      </w:r>
      <w:r>
        <w:t>were properly</w:t>
      </w:r>
      <w:r>
        <w:rPr>
          <w:spacing w:val="-3"/>
        </w:rPr>
        <w:t xml:space="preserve"> </w:t>
      </w:r>
      <w:r>
        <w:t>positioned</w:t>
      </w:r>
      <w:r>
        <w:rPr>
          <w:spacing w:val="1"/>
        </w:rPr>
        <w:t xml:space="preserve"> </w:t>
      </w:r>
      <w:r>
        <w:t>and not</w:t>
      </w:r>
      <w:r>
        <w:rPr>
          <w:spacing w:val="1"/>
        </w:rPr>
        <w:t xml:space="preserve"> </w:t>
      </w:r>
      <w:r>
        <w:t>blocked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materials.</w:t>
      </w:r>
    </w:p>
    <w:p w14:paraId="21E6E8AA" w14:textId="77777777" w:rsidR="00D61655" w:rsidRDefault="003E3748">
      <w:pPr>
        <w:pStyle w:val="BodyText"/>
        <w:spacing w:before="157" w:line="259" w:lineRule="auto"/>
        <w:ind w:right="186"/>
      </w:pPr>
      <w:r>
        <w:t>The appellant also failed to put in place adequate security measures and was absent during the critical</w:t>
      </w:r>
      <w:r>
        <w:rPr>
          <w:spacing w:val="-52"/>
        </w:rPr>
        <w:t xml:space="preserve"> </w:t>
      </w:r>
      <w:r>
        <w:t>period. He had advised that he would notify his supervisor if he had to be away during this critical</w:t>
      </w:r>
      <w:r>
        <w:rPr>
          <w:spacing w:val="1"/>
        </w:rPr>
        <w:t xml:space="preserve"> </w:t>
      </w:r>
      <w:r>
        <w:t>period,</w:t>
      </w:r>
      <w:r>
        <w:rPr>
          <w:spacing w:val="-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record shows</w:t>
      </w:r>
      <w:r>
        <w:rPr>
          <w:spacing w:val="-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he</w:t>
      </w:r>
      <w:r>
        <w:rPr>
          <w:spacing w:val="-3"/>
        </w:rPr>
        <w:t xml:space="preserve"> </w:t>
      </w:r>
      <w:r>
        <w:t>never</w:t>
      </w:r>
      <w:r>
        <w:rPr>
          <w:spacing w:val="1"/>
        </w:rPr>
        <w:t xml:space="preserve"> </w:t>
      </w:r>
      <w:r>
        <w:t>advised</w:t>
      </w:r>
      <w:r>
        <w:rPr>
          <w:spacing w:val="-1"/>
        </w:rPr>
        <w:t xml:space="preserve"> </w:t>
      </w:r>
      <w:r>
        <w:t>his</w:t>
      </w:r>
      <w:r>
        <w:rPr>
          <w:spacing w:val="-2"/>
        </w:rPr>
        <w:t xml:space="preserve"> </w:t>
      </w:r>
      <w:r>
        <w:t>supervisor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his</w:t>
      </w:r>
      <w:r>
        <w:rPr>
          <w:spacing w:val="3"/>
        </w:rPr>
        <w:t xml:space="preserve"> </w:t>
      </w:r>
      <w:r>
        <w:t>extended absence.</w:t>
      </w:r>
    </w:p>
    <w:p w14:paraId="3278996D" w14:textId="77777777" w:rsidR="00D61655" w:rsidRDefault="00D61655">
      <w:pPr>
        <w:spacing w:line="259" w:lineRule="auto"/>
        <w:sectPr w:rsidR="00D61655">
          <w:pgSz w:w="11910" w:h="16840"/>
          <w:pgMar w:top="1360" w:right="1320" w:bottom="1180" w:left="1340" w:header="0" w:footer="992" w:gutter="0"/>
          <w:cols w:space="720"/>
        </w:sectPr>
      </w:pPr>
    </w:p>
    <w:p w14:paraId="57A2B201" w14:textId="77777777" w:rsidR="00D61655" w:rsidRDefault="003E3748">
      <w:pPr>
        <w:pStyle w:val="BodyText"/>
        <w:spacing w:before="62" w:line="259" w:lineRule="auto"/>
        <w:ind w:right="157"/>
      </w:pPr>
      <w:r>
        <w:lastRenderedPageBreak/>
        <w:t>The</w:t>
      </w:r>
      <w:r>
        <w:rPr>
          <w:spacing w:val="-2"/>
        </w:rPr>
        <w:t xml:space="preserve"> </w:t>
      </w:r>
      <w:r>
        <w:t>appellant’s</w:t>
      </w:r>
      <w:r>
        <w:rPr>
          <w:spacing w:val="-2"/>
        </w:rPr>
        <w:t xml:space="preserve"> </w:t>
      </w:r>
      <w:r>
        <w:t>conduct</w:t>
      </w:r>
      <w:r>
        <w:rPr>
          <w:spacing w:val="2"/>
        </w:rPr>
        <w:t xml:space="preserve"> </w:t>
      </w:r>
      <w:r>
        <w:t>was clearly</w:t>
      </w:r>
      <w:r>
        <w:rPr>
          <w:spacing w:val="-3"/>
        </w:rPr>
        <w:t xml:space="preserve"> </w:t>
      </w:r>
      <w:r>
        <w:t>inconsistent</w:t>
      </w:r>
      <w:r>
        <w:rPr>
          <w:spacing w:val="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his contract</w:t>
      </w:r>
      <w:r>
        <w:rPr>
          <w:spacing w:val="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employment</w:t>
      </w:r>
      <w:r>
        <w:rPr>
          <w:spacing w:val="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merit what so ever in his first two grounds of appeal. That other persons were present and attending to</w:t>
      </w:r>
      <w:r>
        <w:rPr>
          <w:spacing w:val="-52"/>
        </w:rPr>
        <w:t xml:space="preserve"> </w:t>
      </w:r>
      <w:r>
        <w:t>security</w:t>
      </w:r>
      <w:r>
        <w:rPr>
          <w:spacing w:val="-4"/>
        </w:rPr>
        <w:t xml:space="preserve"> </w:t>
      </w:r>
      <w:r>
        <w:t>duties does exonerate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appellant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Senior</w:t>
      </w:r>
      <w:r>
        <w:rPr>
          <w:spacing w:val="-2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doing</w:t>
      </w:r>
      <w:r>
        <w:rPr>
          <w:spacing w:val="-3"/>
        </w:rPr>
        <w:t xml:space="preserve"> </w:t>
      </w:r>
      <w:r>
        <w:t>his duties and being</w:t>
      </w:r>
      <w:r>
        <w:rPr>
          <w:spacing w:val="-3"/>
        </w:rPr>
        <w:t xml:space="preserve"> </w:t>
      </w:r>
      <w:r>
        <w:t>present.</w:t>
      </w:r>
    </w:p>
    <w:p w14:paraId="1793AE2D" w14:textId="77777777" w:rsidR="00D61655" w:rsidRDefault="003E3748">
      <w:pPr>
        <w:pStyle w:val="BodyText"/>
        <w:spacing w:before="160"/>
      </w:pPr>
      <w:r>
        <w:rPr>
          <w:u w:val="single"/>
        </w:rPr>
        <w:t>Ground</w:t>
      </w:r>
      <w:r>
        <w:rPr>
          <w:spacing w:val="-1"/>
          <w:u w:val="single"/>
        </w:rPr>
        <w:t xml:space="preserve"> </w:t>
      </w:r>
      <w:r>
        <w:rPr>
          <w:u w:val="single"/>
        </w:rPr>
        <w:t>of</w:t>
      </w:r>
      <w:r>
        <w:rPr>
          <w:spacing w:val="-1"/>
          <w:u w:val="single"/>
        </w:rPr>
        <w:t xml:space="preserve"> </w:t>
      </w:r>
      <w:r>
        <w:rPr>
          <w:u w:val="single"/>
        </w:rPr>
        <w:t>appeal number 3</w:t>
      </w:r>
    </w:p>
    <w:p w14:paraId="178DB7B6" w14:textId="77777777" w:rsidR="00D61655" w:rsidRDefault="003E3748">
      <w:pPr>
        <w:pStyle w:val="BodyText"/>
        <w:spacing w:before="179" w:line="259" w:lineRule="auto"/>
        <w:ind w:right="686"/>
      </w:pPr>
      <w:r>
        <w:t>The appellant does not say in this ground what aspects of his defense were not considered; what</w:t>
      </w:r>
      <w:r>
        <w:rPr>
          <w:spacing w:val="-52"/>
        </w:rPr>
        <w:t xml:space="preserve"> </w:t>
      </w:r>
      <w:r>
        <w:t>aspects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his defense</w:t>
      </w:r>
      <w:r>
        <w:rPr>
          <w:spacing w:val="-3"/>
        </w:rPr>
        <w:t xml:space="preserve"> </w:t>
      </w:r>
      <w:r>
        <w:t>exonerated</w:t>
      </w:r>
      <w:r>
        <w:rPr>
          <w:spacing w:val="-1"/>
        </w:rPr>
        <w:t xml:space="preserve"> </w:t>
      </w:r>
      <w:r>
        <w:t>him. The</w:t>
      </w:r>
      <w:r>
        <w:rPr>
          <w:spacing w:val="-3"/>
        </w:rPr>
        <w:t xml:space="preserve"> </w:t>
      </w:r>
      <w:r>
        <w:t>appellant’s</w:t>
      </w:r>
      <w:r>
        <w:rPr>
          <w:spacing w:val="-3"/>
        </w:rPr>
        <w:t xml:space="preserve"> </w:t>
      </w:r>
      <w:r>
        <w:t>evidence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that 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respondent was</w:t>
      </w:r>
    </w:p>
    <w:p w14:paraId="32CD7FE9" w14:textId="77777777" w:rsidR="00D61655" w:rsidRDefault="003E3748">
      <w:pPr>
        <w:pStyle w:val="BodyText"/>
        <w:spacing w:before="1" w:line="259" w:lineRule="auto"/>
        <w:ind w:right="149"/>
      </w:pPr>
      <w:r>
        <w:t>weighed by the appeals Committee which decided on the basis of the evidence which bad been placed</w:t>
      </w:r>
      <w:r>
        <w:rPr>
          <w:spacing w:val="-52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appellant</w:t>
      </w:r>
      <w:r>
        <w:rPr>
          <w:spacing w:val="-2"/>
        </w:rPr>
        <w:t xml:space="preserve"> </w:t>
      </w:r>
      <w:r>
        <w:t>was guilty.</w:t>
      </w:r>
    </w:p>
    <w:p w14:paraId="10B0C95E" w14:textId="77777777" w:rsidR="00D61655" w:rsidRDefault="003E3748">
      <w:pPr>
        <w:pStyle w:val="BodyText"/>
        <w:spacing w:before="159" w:line="259" w:lineRule="auto"/>
        <w:ind w:right="418"/>
      </w:pPr>
      <w:r>
        <w:t>The argument that the appeals tribunal failed to resolve, within the prescribed time periods, and</w:t>
      </w:r>
      <w:r>
        <w:rPr>
          <w:spacing w:val="1"/>
        </w:rPr>
        <w:t xml:space="preserve"> </w:t>
      </w:r>
      <w:r>
        <w:t>thereafter lost its jurisdiction to proceed with the proceedings is wrong in law. The proceedings are</w:t>
      </w:r>
      <w:r>
        <w:rPr>
          <w:spacing w:val="-52"/>
        </w:rPr>
        <w:t xml:space="preserve"> </w:t>
      </w:r>
      <w:r>
        <w:t>not vitiated by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failure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meet</w:t>
      </w:r>
      <w:r>
        <w:rPr>
          <w:spacing w:val="1"/>
        </w:rPr>
        <w:t xml:space="preserve"> </w:t>
      </w:r>
      <w:r>
        <w:t>the deadlines prescribed.</w:t>
      </w:r>
    </w:p>
    <w:p w14:paraId="6929C5B5" w14:textId="77777777" w:rsidR="00D61655" w:rsidRDefault="003E3748">
      <w:pPr>
        <w:spacing w:before="160" w:line="259" w:lineRule="auto"/>
        <w:ind w:left="100" w:right="272"/>
        <w:rPr>
          <w:b/>
        </w:rPr>
      </w:pPr>
      <w:r>
        <w:t>The position of law is clear that a delay merely gives the aggrieved party the right to the remedy of a</w:t>
      </w:r>
      <w:r>
        <w:rPr>
          <w:spacing w:val="-52"/>
        </w:rPr>
        <w:t xml:space="preserve"> </w:t>
      </w:r>
      <w:r>
        <w:t xml:space="preserve">mandamus, to enforce due compliance with any time limits. See in this regard the cases of </w:t>
      </w:r>
      <w:r>
        <w:rPr>
          <w:b/>
        </w:rPr>
        <w:t>Nhari v</w:t>
      </w:r>
      <w:r>
        <w:rPr>
          <w:b/>
          <w:spacing w:val="1"/>
        </w:rPr>
        <w:t xml:space="preserve"> </w:t>
      </w:r>
      <w:r>
        <w:rPr>
          <w:b/>
        </w:rPr>
        <w:t>Zimbabwe Allied Banking Group SC 51/13, Nyoni v Secretary for Public Service Labour and</w:t>
      </w:r>
      <w:r>
        <w:rPr>
          <w:b/>
          <w:spacing w:val="1"/>
        </w:rPr>
        <w:t xml:space="preserve"> </w:t>
      </w:r>
      <w:r>
        <w:rPr>
          <w:b/>
        </w:rPr>
        <w:t>Social Welfare and anor 1997 (2) ZLR 516 and Posts and Telecommunications Corporation v</w:t>
      </w:r>
      <w:r>
        <w:rPr>
          <w:b/>
          <w:spacing w:val="1"/>
        </w:rPr>
        <w:t xml:space="preserve"> </w:t>
      </w:r>
      <w:r>
        <w:rPr>
          <w:b/>
        </w:rPr>
        <w:t>Zvenyika Chizema SC</w:t>
      </w:r>
      <w:r>
        <w:rPr>
          <w:b/>
          <w:spacing w:val="-3"/>
        </w:rPr>
        <w:t xml:space="preserve"> </w:t>
      </w:r>
      <w:r>
        <w:rPr>
          <w:b/>
        </w:rPr>
        <w:t>108/04.</w:t>
      </w:r>
    </w:p>
    <w:p w14:paraId="02929131" w14:textId="77777777" w:rsidR="00D61655" w:rsidRDefault="003E3748">
      <w:pPr>
        <w:pStyle w:val="BodyText"/>
        <w:spacing w:before="158" w:line="412" w:lineRule="auto"/>
        <w:ind w:right="4920"/>
      </w:pPr>
      <w:r>
        <w:t>There is therefore no merit in ground number 3.</w:t>
      </w:r>
      <w:r>
        <w:rPr>
          <w:spacing w:val="-52"/>
        </w:rPr>
        <w:t xml:space="preserve"> </w:t>
      </w:r>
      <w:r>
        <w:rPr>
          <w:u w:val="single"/>
        </w:rPr>
        <w:t>Ad sentence</w:t>
      </w:r>
    </w:p>
    <w:p w14:paraId="4BD8AF82" w14:textId="77777777" w:rsidR="00D61655" w:rsidRDefault="003E3748">
      <w:pPr>
        <w:pStyle w:val="BodyText"/>
        <w:spacing w:line="259" w:lineRule="auto"/>
        <w:ind w:right="124"/>
      </w:pPr>
      <w:r>
        <w:t>In view of the findings of this Court that the appellant’s acts of misconduct which were contrary to his</w:t>
      </w:r>
      <w:r>
        <w:rPr>
          <w:spacing w:val="-52"/>
        </w:rPr>
        <w:t xml:space="preserve"> </w:t>
      </w:r>
      <w:r>
        <w:t>contract of employment as the Senior Security Mnager responsible for security at the Norton Printing</w:t>
      </w:r>
      <w:r>
        <w:rPr>
          <w:spacing w:val="1"/>
        </w:rPr>
        <w:t xml:space="preserve"> </w:t>
      </w:r>
      <w:r>
        <w:t>Press,</w:t>
      </w:r>
      <w:r>
        <w:rPr>
          <w:spacing w:val="-1"/>
        </w:rPr>
        <w:t xml:space="preserve"> </w:t>
      </w:r>
      <w:r>
        <w:t>the basis</w:t>
      </w:r>
      <w:r>
        <w:rPr>
          <w:spacing w:val="-2"/>
        </w:rPr>
        <w:t xml:space="preserve"> </w:t>
      </w:r>
      <w:r>
        <w:t>for challenging</w:t>
      </w:r>
      <w:r>
        <w:rPr>
          <w:spacing w:val="-3"/>
        </w:rPr>
        <w:t xml:space="preserve"> </w:t>
      </w:r>
      <w:r>
        <w:t>the sentence</w:t>
      </w:r>
      <w:r>
        <w:rPr>
          <w:spacing w:val="-2"/>
        </w:rPr>
        <w:t xml:space="preserve"> </w:t>
      </w:r>
      <w:r>
        <w:t>imposed falls</w:t>
      </w:r>
      <w:r>
        <w:rPr>
          <w:spacing w:val="-3"/>
        </w:rPr>
        <w:t xml:space="preserve"> </w:t>
      </w:r>
      <w:r>
        <w:t>away.</w:t>
      </w:r>
    </w:p>
    <w:p w14:paraId="52D1FC99" w14:textId="77777777" w:rsidR="00D61655" w:rsidRDefault="003E3748">
      <w:pPr>
        <w:pStyle w:val="BodyText"/>
        <w:spacing w:before="156" w:line="259" w:lineRule="auto"/>
        <w:ind w:right="827"/>
      </w:pPr>
      <w:r>
        <w:t>There were no mis directions in the finding of guilty therefore no misdirection on the sentence</w:t>
      </w:r>
      <w:r>
        <w:rPr>
          <w:spacing w:val="-52"/>
        </w:rPr>
        <w:t xml:space="preserve"> </w:t>
      </w:r>
      <w:r>
        <w:t>imposed.</w:t>
      </w:r>
    </w:p>
    <w:p w14:paraId="5CD4596A" w14:textId="77777777" w:rsidR="00D61655" w:rsidRDefault="003E3748">
      <w:pPr>
        <w:pStyle w:val="BodyText"/>
        <w:spacing w:before="160" w:line="259" w:lineRule="auto"/>
        <w:ind w:right="528"/>
      </w:pPr>
      <w:r>
        <w:t>In any event the Employer’s discretion in matters of sentence has been emphasized by the Courts.</w:t>
      </w:r>
      <w:r>
        <w:rPr>
          <w:spacing w:val="-52"/>
        </w:rPr>
        <w:t xml:space="preserve"> </w:t>
      </w:r>
      <w:r>
        <w:t>Once an employee is found guilty of an act of misconduct that goes to the root of the contract of</w:t>
      </w:r>
      <w:r>
        <w:rPr>
          <w:spacing w:val="1"/>
        </w:rPr>
        <w:t xml:space="preserve"> </w:t>
      </w:r>
      <w:r>
        <w:t>employment as was the case in casu, there cannot be any talk of a less severe penalty. In</w:t>
      </w:r>
      <w:r>
        <w:rPr>
          <w:spacing w:val="1"/>
        </w:rPr>
        <w:t xml:space="preserve"> </w:t>
      </w:r>
      <w:r>
        <w:rPr>
          <w:b/>
        </w:rPr>
        <w:t>Mashonaland</w:t>
      </w:r>
      <w:r>
        <w:rPr>
          <w:b/>
          <w:spacing w:val="-2"/>
        </w:rPr>
        <w:t xml:space="preserve"> </w:t>
      </w:r>
      <w:r>
        <w:rPr>
          <w:b/>
        </w:rPr>
        <w:t>Turf Club</w:t>
      </w:r>
      <w:r>
        <w:rPr>
          <w:b/>
          <w:spacing w:val="-3"/>
        </w:rPr>
        <w:t xml:space="preserve"> </w:t>
      </w:r>
      <w:r>
        <w:rPr>
          <w:b/>
        </w:rPr>
        <w:t>v Mutangadura 2012</w:t>
      </w:r>
      <w:r>
        <w:rPr>
          <w:b/>
          <w:spacing w:val="-3"/>
        </w:rPr>
        <w:t xml:space="preserve"> </w:t>
      </w:r>
      <w:r>
        <w:rPr>
          <w:b/>
        </w:rPr>
        <w:t>(1)</w:t>
      </w:r>
      <w:r>
        <w:rPr>
          <w:b/>
          <w:spacing w:val="-2"/>
        </w:rPr>
        <w:t xml:space="preserve"> </w:t>
      </w:r>
      <w:r>
        <w:rPr>
          <w:b/>
        </w:rPr>
        <w:t>ZLR</w:t>
      </w:r>
      <w:r>
        <w:rPr>
          <w:b/>
          <w:spacing w:val="-1"/>
        </w:rPr>
        <w:t xml:space="preserve"> </w:t>
      </w:r>
      <w:r>
        <w:rPr>
          <w:b/>
        </w:rPr>
        <w:t>183</w:t>
      </w:r>
      <w:r>
        <w:rPr>
          <w:b/>
          <w:spacing w:val="1"/>
        </w:rPr>
        <w:t xml:space="preserve"> </w:t>
      </w:r>
      <w:r>
        <w:t>the Court</w:t>
      </w:r>
      <w:r>
        <w:rPr>
          <w:spacing w:val="-1"/>
        </w:rPr>
        <w:t xml:space="preserve"> </w:t>
      </w:r>
      <w:r>
        <w:t>stated that;</w:t>
      </w:r>
    </w:p>
    <w:p w14:paraId="59771D8F" w14:textId="77777777" w:rsidR="00D61655" w:rsidRDefault="003E3748">
      <w:pPr>
        <w:pStyle w:val="BodyText"/>
        <w:spacing w:before="159" w:line="259" w:lineRule="auto"/>
        <w:ind w:left="820" w:right="388"/>
      </w:pPr>
      <w:r>
        <w:t>“in the exercise of their powers in terms of section 12B (4) of the Labour Act the Labour</w:t>
      </w:r>
      <w:r>
        <w:rPr>
          <w:spacing w:val="1"/>
        </w:rPr>
        <w:t xml:space="preserve"> </w:t>
      </w:r>
      <w:r>
        <w:t>Court and arbitrators must be reminded that the section does not confer upon them an</w:t>
      </w:r>
      <w:r>
        <w:rPr>
          <w:spacing w:val="1"/>
        </w:rPr>
        <w:t xml:space="preserve"> </w:t>
      </w:r>
      <w:r>
        <w:t>unbounded power to alter a penalty of dismissal imposed by an employer just because they</w:t>
      </w:r>
      <w:r>
        <w:rPr>
          <w:spacing w:val="-52"/>
        </w:rPr>
        <w:t xml:space="preserve"> </w:t>
      </w:r>
      <w:r>
        <w:t>disagree with it. In the absence of misdirection or unreasonableness on the part of the</w:t>
      </w:r>
      <w:r>
        <w:rPr>
          <w:spacing w:val="1"/>
        </w:rPr>
        <w:t xml:space="preserve"> </w:t>
      </w:r>
      <w:r>
        <w:t>employer in arriving at the decision to dismiss an employee, an appeal Court will generally</w:t>
      </w:r>
      <w:r>
        <w:rPr>
          <w:spacing w:val="-52"/>
        </w:rPr>
        <w:t xml:space="preserve"> </w:t>
      </w:r>
      <w:r>
        <w:t>not interfere with the employer’s discretion to dismiss an employee found guilty of</w:t>
      </w:r>
      <w:r>
        <w:rPr>
          <w:spacing w:val="1"/>
        </w:rPr>
        <w:t xml:space="preserve"> </w:t>
      </w:r>
      <w:r>
        <w:t>misconduct which goes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 root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contract</w:t>
      </w:r>
      <w:r>
        <w:rPr>
          <w:spacing w:val="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employment.”</w:t>
      </w:r>
    </w:p>
    <w:p w14:paraId="49B5DFEC" w14:textId="77777777" w:rsidR="00D61655" w:rsidRDefault="003E3748">
      <w:pPr>
        <w:pStyle w:val="BodyText"/>
        <w:spacing w:before="160" w:line="259" w:lineRule="auto"/>
        <w:ind w:right="116"/>
      </w:pPr>
      <w:r>
        <w:t>In</w:t>
      </w:r>
      <w:r>
        <w:rPr>
          <w:spacing w:val="2"/>
        </w:rPr>
        <w:t xml:space="preserve"> </w:t>
      </w:r>
      <w:r>
        <w:t>casu</w:t>
      </w:r>
      <w:r>
        <w:rPr>
          <w:spacing w:val="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appellant</w:t>
      </w:r>
      <w:r>
        <w:rPr>
          <w:spacing w:val="4"/>
        </w:rPr>
        <w:t xml:space="preserve"> </w:t>
      </w:r>
      <w:r>
        <w:t>neglected</w:t>
      </w:r>
      <w:r>
        <w:rPr>
          <w:spacing w:val="3"/>
        </w:rPr>
        <w:t xml:space="preserve"> </w:t>
      </w:r>
      <w:r>
        <w:t>his security duties</w:t>
      </w:r>
      <w:r>
        <w:rPr>
          <w:spacing w:val="3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even</w:t>
      </w:r>
      <w:r>
        <w:rPr>
          <w:spacing w:val="3"/>
        </w:rPr>
        <w:t xml:space="preserve"> </w:t>
      </w:r>
      <w:r>
        <w:t>failed to</w:t>
      </w:r>
      <w:r>
        <w:rPr>
          <w:spacing w:val="3"/>
        </w:rPr>
        <w:t xml:space="preserve"> </w:t>
      </w:r>
      <w:r>
        <w:t>attend</w:t>
      </w:r>
      <w:r>
        <w:rPr>
          <w:spacing w:val="3"/>
        </w:rPr>
        <w:t xml:space="preserve"> </w:t>
      </w:r>
      <w:r>
        <w:t>at</w:t>
      </w:r>
      <w:r>
        <w:rPr>
          <w:spacing w:val="3"/>
        </w:rPr>
        <w:t xml:space="preserve"> </w:t>
      </w:r>
      <w:r>
        <w:t>his</w:t>
      </w:r>
      <w:r>
        <w:rPr>
          <w:spacing w:val="3"/>
        </w:rPr>
        <w:t xml:space="preserve"> </w:t>
      </w:r>
      <w:r>
        <w:t>workplace</w:t>
      </w:r>
      <w:r>
        <w:rPr>
          <w:spacing w:val="1"/>
        </w:rPr>
        <w:t xml:space="preserve"> </w:t>
      </w:r>
      <w:r>
        <w:t>at a</w:t>
      </w:r>
      <w:r>
        <w:rPr>
          <w:spacing w:val="1"/>
        </w:rPr>
        <w:t xml:space="preserve"> </w:t>
      </w:r>
      <w:r>
        <w:t>period when there was need for him to attend due to the increased risk during the examination printing</w:t>
      </w:r>
      <w:r>
        <w:rPr>
          <w:spacing w:val="-52"/>
        </w:rPr>
        <w:t xml:space="preserve"> </w:t>
      </w:r>
      <w:r>
        <w:t>and packaging periods. In my opinion, this conduct, by a Senior Security and Risk Manager goes to</w:t>
      </w:r>
      <w:r>
        <w:rPr>
          <w:spacing w:val="1"/>
        </w:rPr>
        <w:t xml:space="preserve"> </w:t>
      </w:r>
      <w:r>
        <w:t>the very root of the contract of employment. Therefore the appeals committee did not misdirect itself</w:t>
      </w:r>
      <w:r>
        <w:rPr>
          <w:spacing w:val="1"/>
        </w:rPr>
        <w:t xml:space="preserve"> </w:t>
      </w:r>
      <w:r>
        <w:t>neither</w:t>
      </w:r>
      <w:r>
        <w:rPr>
          <w:spacing w:val="-2"/>
        </w:rPr>
        <w:t xml:space="preserve"> </w:t>
      </w:r>
      <w:r>
        <w:t>did</w:t>
      </w:r>
      <w:r>
        <w:rPr>
          <w:spacing w:val="-3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err</w:t>
      </w:r>
      <w:r>
        <w:rPr>
          <w:spacing w:val="1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upheld</w:t>
      </w:r>
      <w:r>
        <w:rPr>
          <w:spacing w:val="-3"/>
        </w:rPr>
        <w:t xml:space="preserve"> </w:t>
      </w:r>
      <w:r>
        <w:t>the penalty</w:t>
      </w:r>
      <w:r>
        <w:rPr>
          <w:spacing w:val="-4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dismissal.</w:t>
      </w:r>
    </w:p>
    <w:p w14:paraId="615C4CEE" w14:textId="77777777" w:rsidR="00D61655" w:rsidRDefault="003E3748">
      <w:pPr>
        <w:pStyle w:val="BodyText"/>
        <w:spacing w:before="158" w:line="259" w:lineRule="auto"/>
        <w:ind w:right="148"/>
      </w:pPr>
      <w:r>
        <w:t>In light of the above now well-established principle. The Court finds no merit in this ground of appeal</w:t>
      </w:r>
      <w:r>
        <w:rPr>
          <w:spacing w:val="-52"/>
        </w:rPr>
        <w:t xml:space="preserve"> </w:t>
      </w:r>
      <w:r>
        <w:t>and dismissed</w:t>
      </w:r>
      <w:r>
        <w:rPr>
          <w:spacing w:val="-3"/>
        </w:rPr>
        <w:t xml:space="preserve"> </w:t>
      </w:r>
      <w:r>
        <w:t>it.</w:t>
      </w:r>
    </w:p>
    <w:p w14:paraId="2D002B64" w14:textId="77777777" w:rsidR="00D61655" w:rsidRDefault="003E3748">
      <w:pPr>
        <w:pStyle w:val="BodyText"/>
        <w:spacing w:before="161"/>
      </w:pP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result,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appeal</w:t>
      </w:r>
      <w:r>
        <w:rPr>
          <w:spacing w:val="-3"/>
        </w:rPr>
        <w:t xml:space="preserve"> </w:t>
      </w:r>
      <w:r>
        <w:t>lacks</w:t>
      </w:r>
      <w:r>
        <w:rPr>
          <w:spacing w:val="1"/>
        </w:rPr>
        <w:t xml:space="preserve"> </w:t>
      </w:r>
      <w:r>
        <w:t>merit 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order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made.</w:t>
      </w:r>
    </w:p>
    <w:p w14:paraId="7A8D6880" w14:textId="77777777" w:rsidR="00D61655" w:rsidRDefault="00D61655">
      <w:pPr>
        <w:sectPr w:rsidR="00D61655">
          <w:pgSz w:w="11910" w:h="16840"/>
          <w:pgMar w:top="1360" w:right="1320" w:bottom="1180" w:left="1340" w:header="0" w:footer="992" w:gutter="0"/>
          <w:cols w:space="720"/>
        </w:sectPr>
      </w:pPr>
    </w:p>
    <w:p w14:paraId="1DEEFA27" w14:textId="77777777" w:rsidR="00D61655" w:rsidRDefault="003E3748">
      <w:pPr>
        <w:spacing w:before="62"/>
        <w:ind w:left="100"/>
        <w:rPr>
          <w:b/>
        </w:rPr>
      </w:pPr>
      <w:r>
        <w:rPr>
          <w:b/>
          <w:u w:val="thick"/>
        </w:rPr>
        <w:lastRenderedPageBreak/>
        <w:t>Order:</w:t>
      </w:r>
    </w:p>
    <w:p w14:paraId="73FF6330" w14:textId="77777777" w:rsidR="00D61655" w:rsidRDefault="003E3748">
      <w:pPr>
        <w:pStyle w:val="BodyText"/>
        <w:spacing w:before="180"/>
      </w:pPr>
      <w:r>
        <w:t>The</w:t>
      </w:r>
      <w:r>
        <w:rPr>
          <w:spacing w:val="-3"/>
        </w:rPr>
        <w:t xml:space="preserve"> </w:t>
      </w:r>
      <w:r>
        <w:t>appeal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and is</w:t>
      </w:r>
      <w:r>
        <w:rPr>
          <w:spacing w:val="-1"/>
        </w:rPr>
        <w:t xml:space="preserve"> </w:t>
      </w:r>
      <w:r>
        <w:t>hereby</w:t>
      </w:r>
      <w:r>
        <w:rPr>
          <w:spacing w:val="-1"/>
        </w:rPr>
        <w:t xml:space="preserve"> </w:t>
      </w:r>
      <w:r>
        <w:t>dismissed</w:t>
      </w:r>
      <w:r>
        <w:rPr>
          <w:spacing w:val="-1"/>
        </w:rPr>
        <w:t xml:space="preserve"> </w:t>
      </w:r>
      <w:r>
        <w:t>with each party</w:t>
      </w:r>
      <w:r>
        <w:rPr>
          <w:spacing w:val="-6"/>
        </w:rPr>
        <w:t xml:space="preserve"> </w:t>
      </w:r>
      <w:r>
        <w:t>bearing</w:t>
      </w:r>
      <w:r>
        <w:rPr>
          <w:spacing w:val="-3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own costs.</w:t>
      </w:r>
    </w:p>
    <w:p w14:paraId="278D0B0C" w14:textId="256D25D2" w:rsidR="00D61655" w:rsidRDefault="00D61655">
      <w:pPr>
        <w:pStyle w:val="BodyText"/>
        <w:spacing w:before="8"/>
        <w:ind w:left="0"/>
        <w:rPr>
          <w:sz w:val="14"/>
        </w:rPr>
      </w:pPr>
    </w:p>
    <w:sectPr w:rsidR="00D61655">
      <w:pgSz w:w="11910" w:h="16840"/>
      <w:pgMar w:top="1360" w:right="1320" w:bottom="1180" w:left="1340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648FE" w14:textId="77777777" w:rsidR="003E3748" w:rsidRDefault="003E3748">
      <w:r>
        <w:separator/>
      </w:r>
    </w:p>
  </w:endnote>
  <w:endnote w:type="continuationSeparator" w:id="0">
    <w:p w14:paraId="37BD4FBD" w14:textId="77777777" w:rsidR="003E3748" w:rsidRDefault="003E3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2975A" w14:textId="560B02BD" w:rsidR="00D61655" w:rsidRDefault="003E3748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anchorId="52A8DC6A" wp14:editId="51B2DE67">
              <wp:simplePos x="0" y="0"/>
              <wp:positionH relativeFrom="page">
                <wp:posOffset>896620</wp:posOffset>
              </wp:positionH>
              <wp:positionV relativeFrom="page">
                <wp:posOffset>9884410</wp:posOffset>
              </wp:positionV>
              <wp:extent cx="5768975" cy="6350"/>
              <wp:effectExtent l="0" t="0" r="0" b="0"/>
              <wp:wrapNone/>
              <wp:docPr id="203844429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68975" cy="6350"/>
                      </a:xfrm>
                      <a:prstGeom prst="rect">
                        <a:avLst/>
                      </a:prstGeom>
                      <a:solidFill>
                        <a:srgbClr val="D9D9D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8907DA" id="Rectangle 2" o:spid="_x0000_s1026" style="position:absolute;margin-left:70.6pt;margin-top:778.3pt;width:454.25pt;height:.5pt;z-index:-1580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" fillcolor="#d9d9d9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15648" behindDoc="1" locked="0" layoutInCell="1" allowOverlap="1" wp14:anchorId="331CB982" wp14:editId="53BC4492">
              <wp:simplePos x="0" y="0"/>
              <wp:positionH relativeFrom="page">
                <wp:posOffset>5984240</wp:posOffset>
              </wp:positionH>
              <wp:positionV relativeFrom="page">
                <wp:posOffset>9917430</wp:posOffset>
              </wp:positionV>
              <wp:extent cx="676910" cy="165735"/>
              <wp:effectExtent l="0" t="0" r="0" b="0"/>
              <wp:wrapNone/>
              <wp:docPr id="127579864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69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057263" w14:textId="77777777" w:rsidR="00D61655" w:rsidRDefault="003E3748">
                          <w:pPr>
                            <w:pStyle w:val="BodyText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|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7E7E7E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7E7E7E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g</w:t>
                          </w:r>
                          <w:r>
                            <w:rPr>
                              <w:rFonts w:ascii="Calibri"/>
                              <w:color w:val="7E7E7E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1CB98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71.2pt;margin-top:780.9pt;width:53.3pt;height:13.05pt;z-index:-1580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" filled="f" stroked="f">
              <v:textbox inset="0,0,0,0">
                <w:txbxContent>
                  <w:p w14:paraId="70057263" w14:textId="77777777" w:rsidR="00D61655" w:rsidRDefault="003E3748">
                    <w:pPr>
                      <w:pStyle w:val="BodyText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Calibri"/>
                        <w:spacing w:val="1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|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P</w:t>
                    </w:r>
                    <w:r>
                      <w:rPr>
                        <w:rFonts w:ascii="Calibri"/>
                        <w:color w:val="7E7E7E"/>
                        <w:spacing w:val="12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a</w:t>
                    </w:r>
                    <w:r>
                      <w:rPr>
                        <w:rFonts w:ascii="Calibri"/>
                        <w:color w:val="7E7E7E"/>
                        <w:spacing w:val="9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g</w:t>
                    </w:r>
                    <w:r>
                      <w:rPr>
                        <w:rFonts w:ascii="Calibri"/>
                        <w:color w:val="7E7E7E"/>
                        <w:spacing w:val="9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029E9" w14:textId="77777777" w:rsidR="003E3748" w:rsidRDefault="003E3748">
      <w:r>
        <w:separator/>
      </w:r>
    </w:p>
  </w:footnote>
  <w:footnote w:type="continuationSeparator" w:id="0">
    <w:p w14:paraId="0C1A0D04" w14:textId="77777777" w:rsidR="003E3748" w:rsidRDefault="003E37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365CE"/>
    <w:multiLevelType w:val="hybridMultilevel"/>
    <w:tmpl w:val="A7145916"/>
    <w:lvl w:ilvl="0" w:tplc="17742026">
      <w:start w:val="1"/>
      <w:numFmt w:val="lowerLetter"/>
      <w:lvlText w:val="%1)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D2F21C86">
      <w:numFmt w:val="bullet"/>
      <w:lvlText w:val="•"/>
      <w:lvlJc w:val="left"/>
      <w:pPr>
        <w:ind w:left="1662" w:hanging="360"/>
      </w:pPr>
      <w:rPr>
        <w:rFonts w:hint="default"/>
        <w:lang w:val="en-US" w:eastAsia="en-US" w:bidi="ar-SA"/>
      </w:rPr>
    </w:lvl>
    <w:lvl w:ilvl="2" w:tplc="8EB2DA7C">
      <w:numFmt w:val="bullet"/>
      <w:lvlText w:val="•"/>
      <w:lvlJc w:val="left"/>
      <w:pPr>
        <w:ind w:left="2505" w:hanging="360"/>
      </w:pPr>
      <w:rPr>
        <w:rFonts w:hint="default"/>
        <w:lang w:val="en-US" w:eastAsia="en-US" w:bidi="ar-SA"/>
      </w:rPr>
    </w:lvl>
    <w:lvl w:ilvl="3" w:tplc="84C6012E">
      <w:numFmt w:val="bullet"/>
      <w:lvlText w:val="•"/>
      <w:lvlJc w:val="left"/>
      <w:pPr>
        <w:ind w:left="3347" w:hanging="360"/>
      </w:pPr>
      <w:rPr>
        <w:rFonts w:hint="default"/>
        <w:lang w:val="en-US" w:eastAsia="en-US" w:bidi="ar-SA"/>
      </w:rPr>
    </w:lvl>
    <w:lvl w:ilvl="4" w:tplc="B0762E72">
      <w:numFmt w:val="bullet"/>
      <w:lvlText w:val="•"/>
      <w:lvlJc w:val="left"/>
      <w:pPr>
        <w:ind w:left="4190" w:hanging="360"/>
      </w:pPr>
      <w:rPr>
        <w:rFonts w:hint="default"/>
        <w:lang w:val="en-US" w:eastAsia="en-US" w:bidi="ar-SA"/>
      </w:rPr>
    </w:lvl>
    <w:lvl w:ilvl="5" w:tplc="2A661A6C">
      <w:numFmt w:val="bullet"/>
      <w:lvlText w:val="•"/>
      <w:lvlJc w:val="left"/>
      <w:pPr>
        <w:ind w:left="5033" w:hanging="360"/>
      </w:pPr>
      <w:rPr>
        <w:rFonts w:hint="default"/>
        <w:lang w:val="en-US" w:eastAsia="en-US" w:bidi="ar-SA"/>
      </w:rPr>
    </w:lvl>
    <w:lvl w:ilvl="6" w:tplc="E84E9894">
      <w:numFmt w:val="bullet"/>
      <w:lvlText w:val="•"/>
      <w:lvlJc w:val="left"/>
      <w:pPr>
        <w:ind w:left="5875" w:hanging="360"/>
      </w:pPr>
      <w:rPr>
        <w:rFonts w:hint="default"/>
        <w:lang w:val="en-US" w:eastAsia="en-US" w:bidi="ar-SA"/>
      </w:rPr>
    </w:lvl>
    <w:lvl w:ilvl="7" w:tplc="DE18B80A">
      <w:numFmt w:val="bullet"/>
      <w:lvlText w:val="•"/>
      <w:lvlJc w:val="left"/>
      <w:pPr>
        <w:ind w:left="6718" w:hanging="360"/>
      </w:pPr>
      <w:rPr>
        <w:rFonts w:hint="default"/>
        <w:lang w:val="en-US" w:eastAsia="en-US" w:bidi="ar-SA"/>
      </w:rPr>
    </w:lvl>
    <w:lvl w:ilvl="8" w:tplc="CE0C3E56">
      <w:numFmt w:val="bullet"/>
      <w:lvlText w:val="•"/>
      <w:lvlJc w:val="left"/>
      <w:pPr>
        <w:ind w:left="756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8604726"/>
    <w:multiLevelType w:val="hybridMultilevel"/>
    <w:tmpl w:val="8E8E6574"/>
    <w:lvl w:ilvl="0" w:tplc="AE2436E8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E2C8CF52">
      <w:numFmt w:val="bullet"/>
      <w:lvlText w:val="•"/>
      <w:lvlJc w:val="left"/>
      <w:pPr>
        <w:ind w:left="1662" w:hanging="360"/>
      </w:pPr>
      <w:rPr>
        <w:rFonts w:hint="default"/>
        <w:lang w:val="en-US" w:eastAsia="en-US" w:bidi="ar-SA"/>
      </w:rPr>
    </w:lvl>
    <w:lvl w:ilvl="2" w:tplc="2A5C9862">
      <w:numFmt w:val="bullet"/>
      <w:lvlText w:val="•"/>
      <w:lvlJc w:val="left"/>
      <w:pPr>
        <w:ind w:left="2505" w:hanging="360"/>
      </w:pPr>
      <w:rPr>
        <w:rFonts w:hint="default"/>
        <w:lang w:val="en-US" w:eastAsia="en-US" w:bidi="ar-SA"/>
      </w:rPr>
    </w:lvl>
    <w:lvl w:ilvl="3" w:tplc="698815F8">
      <w:numFmt w:val="bullet"/>
      <w:lvlText w:val="•"/>
      <w:lvlJc w:val="left"/>
      <w:pPr>
        <w:ind w:left="3347" w:hanging="360"/>
      </w:pPr>
      <w:rPr>
        <w:rFonts w:hint="default"/>
        <w:lang w:val="en-US" w:eastAsia="en-US" w:bidi="ar-SA"/>
      </w:rPr>
    </w:lvl>
    <w:lvl w:ilvl="4" w:tplc="0816A098">
      <w:numFmt w:val="bullet"/>
      <w:lvlText w:val="•"/>
      <w:lvlJc w:val="left"/>
      <w:pPr>
        <w:ind w:left="4190" w:hanging="360"/>
      </w:pPr>
      <w:rPr>
        <w:rFonts w:hint="default"/>
        <w:lang w:val="en-US" w:eastAsia="en-US" w:bidi="ar-SA"/>
      </w:rPr>
    </w:lvl>
    <w:lvl w:ilvl="5" w:tplc="5B60F868">
      <w:numFmt w:val="bullet"/>
      <w:lvlText w:val="•"/>
      <w:lvlJc w:val="left"/>
      <w:pPr>
        <w:ind w:left="5033" w:hanging="360"/>
      </w:pPr>
      <w:rPr>
        <w:rFonts w:hint="default"/>
        <w:lang w:val="en-US" w:eastAsia="en-US" w:bidi="ar-SA"/>
      </w:rPr>
    </w:lvl>
    <w:lvl w:ilvl="6" w:tplc="680AAF12">
      <w:numFmt w:val="bullet"/>
      <w:lvlText w:val="•"/>
      <w:lvlJc w:val="left"/>
      <w:pPr>
        <w:ind w:left="5875" w:hanging="360"/>
      </w:pPr>
      <w:rPr>
        <w:rFonts w:hint="default"/>
        <w:lang w:val="en-US" w:eastAsia="en-US" w:bidi="ar-SA"/>
      </w:rPr>
    </w:lvl>
    <w:lvl w:ilvl="7" w:tplc="BA46A8C0">
      <w:numFmt w:val="bullet"/>
      <w:lvlText w:val="•"/>
      <w:lvlJc w:val="left"/>
      <w:pPr>
        <w:ind w:left="6718" w:hanging="360"/>
      </w:pPr>
      <w:rPr>
        <w:rFonts w:hint="default"/>
        <w:lang w:val="en-US" w:eastAsia="en-US" w:bidi="ar-SA"/>
      </w:rPr>
    </w:lvl>
    <w:lvl w:ilvl="8" w:tplc="73329F22">
      <w:numFmt w:val="bullet"/>
      <w:lvlText w:val="•"/>
      <w:lvlJc w:val="left"/>
      <w:pPr>
        <w:ind w:left="756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6A90D80"/>
    <w:multiLevelType w:val="hybridMultilevel"/>
    <w:tmpl w:val="172A0532"/>
    <w:lvl w:ilvl="0" w:tplc="BA6E7EB2">
      <w:start w:val="2"/>
      <w:numFmt w:val="lowerLetter"/>
      <w:lvlText w:val="%1)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00AAB048">
      <w:start w:val="1"/>
      <w:numFmt w:val="lowerLetter"/>
      <w:lvlText w:val="%2)"/>
      <w:lvlJc w:val="left"/>
      <w:pPr>
        <w:ind w:left="1180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2" w:tplc="41326B38">
      <w:numFmt w:val="bullet"/>
      <w:lvlText w:val="•"/>
      <w:lvlJc w:val="left"/>
      <w:pPr>
        <w:ind w:left="2076" w:hanging="360"/>
      </w:pPr>
      <w:rPr>
        <w:rFonts w:hint="default"/>
        <w:lang w:val="en-US" w:eastAsia="en-US" w:bidi="ar-SA"/>
      </w:rPr>
    </w:lvl>
    <w:lvl w:ilvl="3" w:tplc="D19020D4">
      <w:numFmt w:val="bullet"/>
      <w:lvlText w:val="•"/>
      <w:lvlJc w:val="left"/>
      <w:pPr>
        <w:ind w:left="2972" w:hanging="360"/>
      </w:pPr>
      <w:rPr>
        <w:rFonts w:hint="default"/>
        <w:lang w:val="en-US" w:eastAsia="en-US" w:bidi="ar-SA"/>
      </w:rPr>
    </w:lvl>
    <w:lvl w:ilvl="4" w:tplc="DD7ED514">
      <w:numFmt w:val="bullet"/>
      <w:lvlText w:val="•"/>
      <w:lvlJc w:val="left"/>
      <w:pPr>
        <w:ind w:left="3868" w:hanging="360"/>
      </w:pPr>
      <w:rPr>
        <w:rFonts w:hint="default"/>
        <w:lang w:val="en-US" w:eastAsia="en-US" w:bidi="ar-SA"/>
      </w:rPr>
    </w:lvl>
    <w:lvl w:ilvl="5" w:tplc="21CC13A2">
      <w:numFmt w:val="bullet"/>
      <w:lvlText w:val="•"/>
      <w:lvlJc w:val="left"/>
      <w:pPr>
        <w:ind w:left="4765" w:hanging="360"/>
      </w:pPr>
      <w:rPr>
        <w:rFonts w:hint="default"/>
        <w:lang w:val="en-US" w:eastAsia="en-US" w:bidi="ar-SA"/>
      </w:rPr>
    </w:lvl>
    <w:lvl w:ilvl="6" w:tplc="8B18B2CC">
      <w:numFmt w:val="bullet"/>
      <w:lvlText w:val="•"/>
      <w:lvlJc w:val="left"/>
      <w:pPr>
        <w:ind w:left="5661" w:hanging="360"/>
      </w:pPr>
      <w:rPr>
        <w:rFonts w:hint="default"/>
        <w:lang w:val="en-US" w:eastAsia="en-US" w:bidi="ar-SA"/>
      </w:rPr>
    </w:lvl>
    <w:lvl w:ilvl="7" w:tplc="DA22FFD6">
      <w:numFmt w:val="bullet"/>
      <w:lvlText w:val="•"/>
      <w:lvlJc w:val="left"/>
      <w:pPr>
        <w:ind w:left="6557" w:hanging="360"/>
      </w:pPr>
      <w:rPr>
        <w:rFonts w:hint="default"/>
        <w:lang w:val="en-US" w:eastAsia="en-US" w:bidi="ar-SA"/>
      </w:rPr>
    </w:lvl>
    <w:lvl w:ilvl="8" w:tplc="6254C26E">
      <w:numFmt w:val="bullet"/>
      <w:lvlText w:val="•"/>
      <w:lvlJc w:val="left"/>
      <w:pPr>
        <w:ind w:left="7453" w:hanging="360"/>
      </w:pPr>
      <w:rPr>
        <w:rFonts w:hint="default"/>
        <w:lang w:val="en-US" w:eastAsia="en-US" w:bidi="ar-SA"/>
      </w:rPr>
    </w:lvl>
  </w:abstractNum>
  <w:num w:numId="1" w16cid:durableId="996348080">
    <w:abstractNumId w:val="2"/>
  </w:num>
  <w:num w:numId="2" w16cid:durableId="2074690834">
    <w:abstractNumId w:val="1"/>
  </w:num>
  <w:num w:numId="3" w16cid:durableId="1492981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655"/>
    <w:rsid w:val="003E3748"/>
    <w:rsid w:val="00D61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09D8C1"/>
  <w15:docId w15:val="{DAEE73FD-2F7B-482B-9FD0-8ECBAD196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</w:style>
  <w:style w:type="paragraph" w:styleId="ListParagraph">
    <w:name w:val="List Paragraph"/>
    <w:basedOn w:val="Normal"/>
    <w:uiPriority w:val="1"/>
    <w:qFormat/>
    <w:pPr>
      <w:spacing w:before="1"/>
      <w:ind w:left="82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2297</Words>
  <Characters>13098</Characters>
  <Application>Microsoft Office Word</Application>
  <DocSecurity>0</DocSecurity>
  <Lines>109</Lines>
  <Paragraphs>30</Paragraphs>
  <ScaleCrop>false</ScaleCrop>
  <Company/>
  <LinksUpToDate>false</LinksUpToDate>
  <CharactersWithSpaces>15365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 Hove J</dc:creator>
  <cp:lastModifiedBy>Ophiliah Tokowoyo</cp:lastModifiedBy>
  <cp:revision>2</cp:revision>
  <dcterms:created xsi:type="dcterms:W3CDTF">2024-03-25T08:16:00Z</dcterms:created>
  <dcterms:modified xsi:type="dcterms:W3CDTF">2024-03-25T08:16:00Z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2024-03-25T00:00:00Z</vt:filetime>
  </property>
</Properties>
</file>