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3F98C" w14:textId="32685D5F" w:rsidR="00E175F1" w:rsidRDefault="002C0621">
      <w:pPr>
        <w:pStyle w:val="Heading1"/>
        <w:tabs>
          <w:tab w:val="left" w:pos="5861"/>
        </w:tabs>
        <w:spacing w:before="80" w:line="535" w:lineRule="auto"/>
        <w:ind w:right="514"/>
      </w:pP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LABOUR</w:t>
      </w:r>
      <w:r>
        <w:rPr>
          <w:spacing w:val="-2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ZIMBABWE          </w:t>
      </w:r>
      <w:r>
        <w:t>JUDGMENT NO. LC</w:t>
      </w:r>
      <w:r>
        <w:t>H67</w:t>
      </w:r>
      <w:r>
        <w:t>/24</w:t>
      </w:r>
      <w:r>
        <w:rPr>
          <w:spacing w:val="-63"/>
        </w:rPr>
        <w:t xml:space="preserve">                                                                                                                              </w:t>
      </w:r>
      <w:r>
        <w:t>HELD AT</w:t>
      </w:r>
      <w:r>
        <w:rPr>
          <w:spacing w:val="-2"/>
        </w:rPr>
        <w:t xml:space="preserve"> </w:t>
      </w:r>
      <w:r>
        <w:t>HARARE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FEBRUARY</w:t>
      </w:r>
      <w:r>
        <w:rPr>
          <w:spacing w:val="-3"/>
        </w:rPr>
        <w:t xml:space="preserve"> </w:t>
      </w:r>
      <w:r>
        <w:t>2024</w:t>
      </w:r>
      <w:r>
        <w:tab/>
        <w:t>CASE NO. LC/H/89/21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2024</w:t>
      </w:r>
    </w:p>
    <w:p w14:paraId="5F5972AF" w14:textId="77777777" w:rsidR="00E175F1" w:rsidRDefault="002C0621">
      <w:pPr>
        <w:spacing w:line="270" w:lineRule="exact"/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</w:rPr>
        <w:t>IN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THE MATTER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BETWEEN:-</w:t>
      </w:r>
    </w:p>
    <w:p w14:paraId="0591831D" w14:textId="77777777" w:rsidR="00E175F1" w:rsidRDefault="00E175F1">
      <w:pPr>
        <w:pStyle w:val="BodyText"/>
        <w:spacing w:before="5"/>
        <w:rPr>
          <w:rFonts w:ascii="Arial"/>
          <w:b/>
          <w:sz w:val="29"/>
        </w:rPr>
      </w:pPr>
    </w:p>
    <w:p w14:paraId="3A5F935A" w14:textId="77777777" w:rsidR="00E175F1" w:rsidRDefault="002C0621">
      <w:pPr>
        <w:pStyle w:val="Heading1"/>
        <w:tabs>
          <w:tab w:val="left" w:pos="5861"/>
        </w:tabs>
        <w:spacing w:line="535" w:lineRule="auto"/>
        <w:ind w:right="1945"/>
      </w:pPr>
      <w:r>
        <w:t>CHIKOMBA</w:t>
      </w:r>
      <w:r>
        <w:rPr>
          <w:spacing w:val="-7"/>
        </w:rPr>
        <w:t xml:space="preserve"> </w:t>
      </w:r>
      <w:r>
        <w:t>RURAL</w:t>
      </w:r>
      <w:r>
        <w:rPr>
          <w:spacing w:val="3"/>
        </w:rPr>
        <w:t xml:space="preserve"> </w:t>
      </w:r>
      <w:r>
        <w:t>DISTRICT COUNCIL</w:t>
      </w:r>
      <w:r>
        <w:tab/>
      </w:r>
      <w:r>
        <w:rPr>
          <w:spacing w:val="-1"/>
        </w:rPr>
        <w:t>APPELLANT</w:t>
      </w:r>
      <w:r>
        <w:rPr>
          <w:spacing w:val="-64"/>
        </w:rPr>
        <w:t xml:space="preserve"> </w:t>
      </w:r>
      <w:r>
        <w:t>AND</w:t>
      </w:r>
    </w:p>
    <w:p w14:paraId="7FA4B6CA" w14:textId="77777777" w:rsidR="00E175F1" w:rsidRDefault="002C0621">
      <w:pPr>
        <w:tabs>
          <w:tab w:val="left" w:pos="5861"/>
        </w:tabs>
        <w:spacing w:line="275" w:lineRule="exact"/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</w:rPr>
        <w:t>LAWRENCE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MAGWIROTO</w:t>
      </w:r>
      <w:r>
        <w:rPr>
          <w:rFonts w:ascii="Arial"/>
          <w:b/>
          <w:sz w:val="24"/>
        </w:rPr>
        <w:tab/>
        <w:t>RESPONDENT</w:t>
      </w:r>
    </w:p>
    <w:p w14:paraId="6D054E14" w14:textId="77777777" w:rsidR="00E175F1" w:rsidRDefault="00E175F1">
      <w:pPr>
        <w:pStyle w:val="BodyText"/>
        <w:spacing w:before="4"/>
        <w:rPr>
          <w:rFonts w:ascii="Arial"/>
          <w:b/>
          <w:sz w:val="29"/>
        </w:rPr>
      </w:pPr>
    </w:p>
    <w:p w14:paraId="7F914847" w14:textId="77777777" w:rsidR="00E175F1" w:rsidRDefault="002C0621">
      <w:pPr>
        <w:pStyle w:val="BodyText"/>
        <w:spacing w:before="1"/>
        <w:ind w:left="100"/>
        <w:jc w:val="both"/>
      </w:pPr>
      <w:r>
        <w:t>Before</w:t>
      </w:r>
      <w:r>
        <w:rPr>
          <w:spacing w:val="-4"/>
        </w:rPr>
        <w:t xml:space="preserve"> </w:t>
      </w:r>
      <w:r>
        <w:t>Honourable</w:t>
      </w:r>
      <w:r>
        <w:rPr>
          <w:spacing w:val="-3"/>
        </w:rPr>
        <w:t xml:space="preserve"> </w:t>
      </w:r>
      <w:r>
        <w:t>Mr. Justice</w:t>
      </w:r>
      <w:r>
        <w:rPr>
          <w:spacing w:val="-3"/>
        </w:rPr>
        <w:t xml:space="preserve"> </w:t>
      </w:r>
      <w:r>
        <w:t>L.M. Murasi</w:t>
      </w:r>
    </w:p>
    <w:p w14:paraId="038EC51B" w14:textId="77777777" w:rsidR="00E175F1" w:rsidRDefault="00E175F1">
      <w:pPr>
        <w:pStyle w:val="BodyText"/>
        <w:rPr>
          <w:sz w:val="26"/>
        </w:rPr>
      </w:pPr>
    </w:p>
    <w:p w14:paraId="172C5349" w14:textId="77777777" w:rsidR="00E175F1" w:rsidRDefault="00E175F1">
      <w:pPr>
        <w:pStyle w:val="BodyText"/>
        <w:rPr>
          <w:sz w:val="26"/>
        </w:rPr>
      </w:pPr>
    </w:p>
    <w:p w14:paraId="1A83CD05" w14:textId="77777777" w:rsidR="00E175F1" w:rsidRDefault="00E175F1">
      <w:pPr>
        <w:pStyle w:val="BodyText"/>
        <w:spacing w:before="7"/>
        <w:rPr>
          <w:sz w:val="30"/>
        </w:rPr>
      </w:pPr>
    </w:p>
    <w:p w14:paraId="4D5D06D1" w14:textId="77777777" w:rsidR="00E175F1" w:rsidRDefault="002C0621">
      <w:pPr>
        <w:pStyle w:val="Heading1"/>
        <w:tabs>
          <w:tab w:val="left" w:pos="4420"/>
        </w:tabs>
      </w:pPr>
      <w:r>
        <w:t>For Appellant</w:t>
      </w:r>
      <w:r>
        <w:tab/>
        <w:t>Mr. H.</w:t>
      </w:r>
      <w:r>
        <w:rPr>
          <w:spacing w:val="-1"/>
        </w:rPr>
        <w:t xml:space="preserve"> </w:t>
      </w:r>
      <w:r>
        <w:t>Mutasa</w:t>
      </w:r>
    </w:p>
    <w:p w14:paraId="04DB5D24" w14:textId="77777777" w:rsidR="00E175F1" w:rsidRDefault="00E175F1">
      <w:pPr>
        <w:pStyle w:val="BodyText"/>
        <w:spacing w:before="5"/>
        <w:rPr>
          <w:rFonts w:ascii="Arial"/>
          <w:b/>
          <w:sz w:val="29"/>
        </w:rPr>
      </w:pPr>
    </w:p>
    <w:p w14:paraId="6E90E00E" w14:textId="77777777" w:rsidR="00E175F1" w:rsidRDefault="002C0621">
      <w:pPr>
        <w:tabs>
          <w:tab w:val="left" w:pos="4420"/>
        </w:tabs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</w:rPr>
        <w:t>For Respondent</w:t>
      </w:r>
      <w:r>
        <w:rPr>
          <w:rFonts w:ascii="Arial"/>
          <w:b/>
          <w:sz w:val="24"/>
        </w:rPr>
        <w:tab/>
        <w:t>Mr.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T.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Nyamucherera</w:t>
      </w:r>
    </w:p>
    <w:p w14:paraId="46F058D8" w14:textId="77777777" w:rsidR="00E175F1" w:rsidRDefault="00E175F1">
      <w:pPr>
        <w:pStyle w:val="BodyText"/>
        <w:rPr>
          <w:rFonts w:ascii="Arial"/>
          <w:b/>
          <w:sz w:val="26"/>
        </w:rPr>
      </w:pPr>
    </w:p>
    <w:p w14:paraId="0D8D35B5" w14:textId="77777777" w:rsidR="00E175F1" w:rsidRDefault="00E175F1">
      <w:pPr>
        <w:pStyle w:val="BodyText"/>
        <w:rPr>
          <w:rFonts w:ascii="Arial"/>
          <w:b/>
          <w:sz w:val="26"/>
        </w:rPr>
      </w:pPr>
    </w:p>
    <w:p w14:paraId="7D520F0E" w14:textId="77777777" w:rsidR="00E175F1" w:rsidRDefault="00E175F1">
      <w:pPr>
        <w:pStyle w:val="BodyText"/>
        <w:spacing w:before="10"/>
        <w:rPr>
          <w:rFonts w:ascii="Arial"/>
          <w:b/>
          <w:sz w:val="30"/>
        </w:rPr>
      </w:pPr>
    </w:p>
    <w:p w14:paraId="50189607" w14:textId="77777777" w:rsidR="00E175F1" w:rsidRDefault="002C0621">
      <w:pPr>
        <w:pStyle w:val="Heading1"/>
      </w:pPr>
      <w:r>
        <w:t>MURASI</w:t>
      </w:r>
      <w:r>
        <w:rPr>
          <w:spacing w:val="-2"/>
        </w:rPr>
        <w:t xml:space="preserve"> </w:t>
      </w:r>
      <w:r>
        <w:t>J.,</w:t>
      </w:r>
    </w:p>
    <w:p w14:paraId="5A4073D1" w14:textId="77777777" w:rsidR="00E175F1" w:rsidRDefault="00E175F1">
      <w:pPr>
        <w:pStyle w:val="BodyText"/>
        <w:spacing w:before="5"/>
        <w:rPr>
          <w:rFonts w:ascii="Arial"/>
          <w:b/>
          <w:sz w:val="29"/>
        </w:rPr>
      </w:pPr>
    </w:p>
    <w:p w14:paraId="75A7FAA1" w14:textId="77777777" w:rsidR="00E175F1" w:rsidRDefault="002C0621">
      <w:pPr>
        <w:pStyle w:val="BodyText"/>
        <w:spacing w:line="360" w:lineRule="auto"/>
        <w:ind w:left="100" w:right="125"/>
        <w:jc w:val="both"/>
      </w:pPr>
      <w:r>
        <w:t>This is an appeal against the decision of the Exemptions Committee of the National</w:t>
      </w:r>
      <w:r>
        <w:rPr>
          <w:spacing w:val="1"/>
        </w:rPr>
        <w:t xml:space="preserve"> </w:t>
      </w:r>
      <w:r>
        <w:t>Employment</w:t>
      </w:r>
      <w:r>
        <w:rPr>
          <w:spacing w:val="-1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for Rural District Councils.</w:t>
      </w:r>
    </w:p>
    <w:p w14:paraId="4846ED4C" w14:textId="77777777" w:rsidR="00E175F1" w:rsidRDefault="002C0621">
      <w:pPr>
        <w:pStyle w:val="Heading1"/>
        <w:spacing w:before="200"/>
      </w:pPr>
      <w:r>
        <w:t>The Facts</w:t>
      </w:r>
    </w:p>
    <w:p w14:paraId="640A4B5B" w14:textId="77777777" w:rsidR="00E175F1" w:rsidRDefault="00E175F1">
      <w:pPr>
        <w:pStyle w:val="BodyText"/>
        <w:spacing w:before="4"/>
        <w:rPr>
          <w:rFonts w:ascii="Arial"/>
          <w:b/>
          <w:sz w:val="29"/>
        </w:rPr>
      </w:pPr>
    </w:p>
    <w:p w14:paraId="79F9DE96" w14:textId="77777777" w:rsidR="00E175F1" w:rsidRDefault="002C0621">
      <w:pPr>
        <w:pStyle w:val="BodyText"/>
        <w:spacing w:before="1" w:line="360" w:lineRule="auto"/>
        <w:ind w:left="100" w:right="115"/>
        <w:jc w:val="both"/>
      </w:pPr>
      <w:r>
        <w:t>The Respondent was employed as a field officer by the Appellant. He was charged</w:t>
      </w:r>
      <w:r>
        <w:rPr>
          <w:spacing w:val="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fraud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after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internal</w:t>
      </w:r>
      <w:r>
        <w:rPr>
          <w:spacing w:val="-7"/>
        </w:rPr>
        <w:t xml:space="preserve"> </w:t>
      </w:r>
      <w:r>
        <w:t>hearing</w:t>
      </w:r>
      <w:r>
        <w:rPr>
          <w:spacing w:val="-8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dismissed</w:t>
      </w:r>
      <w:r>
        <w:rPr>
          <w:spacing w:val="-8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employment.</w:t>
      </w:r>
      <w:r>
        <w:rPr>
          <w:spacing w:val="1"/>
        </w:rPr>
        <w:t xml:space="preserve"> </w:t>
      </w:r>
      <w:r>
        <w:t>Disgruntled</w:t>
      </w:r>
      <w:r>
        <w:rPr>
          <w:spacing w:val="-64"/>
        </w:rPr>
        <w:t xml:space="preserve"> </w:t>
      </w:r>
      <w:r>
        <w:t>with this decision, the Respondent appealed to the Exemptions Committee which set</w:t>
      </w:r>
      <w:r>
        <w:rPr>
          <w:spacing w:val="-64"/>
        </w:rPr>
        <w:t xml:space="preserve"> </w:t>
      </w:r>
      <w:r>
        <w:t>aside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decision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reinstated</w:t>
      </w:r>
      <w:r>
        <w:rPr>
          <w:spacing w:val="-3"/>
        </w:rPr>
        <w:t xml:space="preserve"> </w:t>
      </w:r>
      <w:r>
        <w:t>him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his</w:t>
      </w:r>
      <w:r>
        <w:rPr>
          <w:spacing w:val="-4"/>
        </w:rPr>
        <w:t xml:space="preserve"> </w:t>
      </w:r>
      <w:r>
        <w:t>former</w:t>
      </w:r>
      <w:r>
        <w:rPr>
          <w:spacing w:val="-1"/>
        </w:rPr>
        <w:t xml:space="preserve"> </w:t>
      </w:r>
      <w:r>
        <w:t>position.</w:t>
      </w:r>
    </w:p>
    <w:p w14:paraId="01DD1C5A" w14:textId="77777777" w:rsidR="00E175F1" w:rsidRDefault="002C0621">
      <w:pPr>
        <w:pStyle w:val="BodyText"/>
        <w:spacing w:before="200" w:line="360" w:lineRule="auto"/>
        <w:ind w:left="100" w:right="117"/>
        <w:jc w:val="both"/>
      </w:pPr>
      <w:r>
        <w:t>It is alleged that the Respondent misrepresented facts concerning monies that were</w:t>
      </w:r>
      <w:r>
        <w:rPr>
          <w:spacing w:val="1"/>
        </w:rPr>
        <w:t xml:space="preserve"> </w:t>
      </w:r>
      <w:r>
        <w:t>due to the Appellant. He over mastered and under mastered amounts leading to the</w:t>
      </w:r>
      <w:r>
        <w:rPr>
          <w:spacing w:val="1"/>
        </w:rPr>
        <w:t xml:space="preserve"> </w:t>
      </w:r>
      <w:r>
        <w:t>charge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fraud by the</w:t>
      </w:r>
      <w:r>
        <w:rPr>
          <w:spacing w:val="1"/>
        </w:rPr>
        <w:t xml:space="preserve"> </w:t>
      </w:r>
      <w:r>
        <w:t>Appellant.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Appellant</w:t>
      </w:r>
      <w:r>
        <w:rPr>
          <w:spacing w:val="1"/>
        </w:rPr>
        <w:t xml:space="preserve"> </w:t>
      </w:r>
      <w:r>
        <w:t>challenges the decision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Exemptions</w:t>
      </w:r>
      <w:r>
        <w:rPr>
          <w:spacing w:val="-5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reiterates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balance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probabilities, it</w:t>
      </w:r>
      <w:r>
        <w:rPr>
          <w:spacing w:val="-4"/>
        </w:rPr>
        <w:t xml:space="preserve"> </w:t>
      </w:r>
      <w:r>
        <w:t>proved</w:t>
      </w:r>
      <w:r>
        <w:rPr>
          <w:spacing w:val="-7"/>
        </w:rPr>
        <w:t xml:space="preserve"> </w:t>
      </w:r>
      <w:r>
        <w:t>that</w:t>
      </w:r>
      <w:r>
        <w:rPr>
          <w:spacing w:val="-6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Respondent</w:t>
      </w:r>
      <w:r>
        <w:rPr>
          <w:spacing w:val="-6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guilty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charge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fraud.</w:t>
      </w:r>
      <w:r>
        <w:rPr>
          <w:spacing w:val="-6"/>
        </w:rPr>
        <w:t xml:space="preserve"> </w:t>
      </w:r>
      <w:r>
        <w:t>Accordingly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Appellant</w:t>
      </w:r>
      <w:r>
        <w:rPr>
          <w:spacing w:val="-6"/>
        </w:rPr>
        <w:t xml:space="preserve"> </w:t>
      </w:r>
      <w:r>
        <w:t>noted</w:t>
      </w:r>
      <w:r>
        <w:rPr>
          <w:spacing w:val="-6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following grounds of appeal:</w:t>
      </w:r>
    </w:p>
    <w:p w14:paraId="1A9565EA" w14:textId="77777777" w:rsidR="00E175F1" w:rsidRDefault="00E175F1">
      <w:pPr>
        <w:spacing w:line="360" w:lineRule="auto"/>
        <w:jc w:val="both"/>
        <w:sectPr w:rsidR="00E175F1">
          <w:footerReference w:type="default" r:id="rId7"/>
          <w:type w:val="continuous"/>
          <w:pgSz w:w="11910" w:h="16840"/>
          <w:pgMar w:top="1340" w:right="1320" w:bottom="1200" w:left="1340" w:header="720" w:footer="1002" w:gutter="0"/>
          <w:pgNumType w:start="1"/>
          <w:cols w:space="720"/>
        </w:sectPr>
      </w:pPr>
    </w:p>
    <w:p w14:paraId="707384D8" w14:textId="77777777" w:rsidR="00E175F1" w:rsidRDefault="002C0621">
      <w:pPr>
        <w:pStyle w:val="ListParagraph"/>
        <w:numPr>
          <w:ilvl w:val="0"/>
          <w:numId w:val="2"/>
        </w:numPr>
        <w:tabs>
          <w:tab w:val="left" w:pos="821"/>
        </w:tabs>
        <w:spacing w:before="80" w:line="360" w:lineRule="auto"/>
        <w:ind w:right="119"/>
        <w:jc w:val="both"/>
        <w:rPr>
          <w:sz w:val="24"/>
        </w:rPr>
      </w:pPr>
      <w:r>
        <w:rPr>
          <w:sz w:val="24"/>
        </w:rPr>
        <w:lastRenderedPageBreak/>
        <w:t>The tribunal a-quo grossly erred when it failed to determine that the presence</w:t>
      </w:r>
      <w:r>
        <w:rPr>
          <w:spacing w:val="1"/>
          <w:sz w:val="24"/>
        </w:rPr>
        <w:t xml:space="preserve"> </w:t>
      </w:r>
      <w:r>
        <w:rPr>
          <w:sz w:val="24"/>
        </w:rPr>
        <w:t>of misrepresentation which potentially prejudiced the Appellant was sufficient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sustain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charge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fraud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had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preferred</w:t>
      </w:r>
      <w:r>
        <w:rPr>
          <w:spacing w:val="1"/>
          <w:sz w:val="24"/>
        </w:rPr>
        <w:t xml:space="preserve"> </w:t>
      </w:r>
      <w:r>
        <w:rPr>
          <w:sz w:val="24"/>
        </w:rPr>
        <w:t>against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Respondent.</w:t>
      </w:r>
    </w:p>
    <w:p w14:paraId="1ABC4436" w14:textId="77777777" w:rsidR="00E175F1" w:rsidRDefault="002C0621">
      <w:pPr>
        <w:pStyle w:val="ListParagraph"/>
        <w:numPr>
          <w:ilvl w:val="0"/>
          <w:numId w:val="2"/>
        </w:numPr>
        <w:tabs>
          <w:tab w:val="left" w:pos="821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The tribunal a-quo grossly erred in determining that the Appellant’s failure to</w:t>
      </w:r>
      <w:r>
        <w:rPr>
          <w:spacing w:val="1"/>
          <w:sz w:val="24"/>
        </w:rPr>
        <w:t xml:space="preserve"> </w:t>
      </w:r>
      <w:r>
        <w:rPr>
          <w:sz w:val="24"/>
        </w:rPr>
        <w:t>demonstrate</w:t>
      </w:r>
      <w:r>
        <w:rPr>
          <w:spacing w:val="1"/>
          <w:sz w:val="24"/>
        </w:rPr>
        <w:t xml:space="preserve"> </w:t>
      </w:r>
      <w:r>
        <w:rPr>
          <w:sz w:val="24"/>
        </w:rPr>
        <w:t>how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Respondent</w:t>
      </w:r>
      <w:r>
        <w:rPr>
          <w:spacing w:val="1"/>
          <w:sz w:val="24"/>
        </w:rPr>
        <w:t xml:space="preserve"> </w:t>
      </w:r>
      <w:r>
        <w:rPr>
          <w:sz w:val="24"/>
        </w:rPr>
        <w:t>would</w:t>
      </w:r>
      <w:r>
        <w:rPr>
          <w:spacing w:val="1"/>
          <w:sz w:val="24"/>
        </w:rPr>
        <w:t xml:space="preserve"> </w:t>
      </w:r>
      <w:r>
        <w:rPr>
          <w:sz w:val="24"/>
        </w:rPr>
        <w:t>benefit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aforesaid</w:t>
      </w:r>
      <w:r>
        <w:rPr>
          <w:spacing w:val="1"/>
          <w:sz w:val="24"/>
        </w:rPr>
        <w:t xml:space="preserve"> </w:t>
      </w:r>
      <w:r>
        <w:rPr>
          <w:sz w:val="24"/>
        </w:rPr>
        <w:t>misrepresentation</w:t>
      </w:r>
      <w:r>
        <w:rPr>
          <w:spacing w:val="-12"/>
          <w:sz w:val="24"/>
        </w:rPr>
        <w:t xml:space="preserve"> </w:t>
      </w:r>
      <w:r>
        <w:rPr>
          <w:sz w:val="24"/>
        </w:rPr>
        <w:t>meant</w:t>
      </w:r>
      <w:r>
        <w:rPr>
          <w:spacing w:val="-9"/>
          <w:sz w:val="24"/>
        </w:rPr>
        <w:t xml:space="preserve"> </w:t>
      </w:r>
      <w:r>
        <w:rPr>
          <w:sz w:val="24"/>
        </w:rPr>
        <w:t>that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employer</w:t>
      </w:r>
      <w:r>
        <w:rPr>
          <w:spacing w:val="-11"/>
          <w:sz w:val="24"/>
        </w:rPr>
        <w:t xml:space="preserve"> </w:t>
      </w:r>
      <w:r>
        <w:rPr>
          <w:sz w:val="24"/>
        </w:rPr>
        <w:t>had</w:t>
      </w:r>
      <w:r>
        <w:rPr>
          <w:spacing w:val="-11"/>
          <w:sz w:val="24"/>
        </w:rPr>
        <w:t xml:space="preserve"> </w:t>
      </w:r>
      <w:r>
        <w:rPr>
          <w:sz w:val="24"/>
        </w:rPr>
        <w:t>failed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prove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charges</w:t>
      </w:r>
      <w:r>
        <w:rPr>
          <w:spacing w:val="-9"/>
          <w:sz w:val="24"/>
        </w:rPr>
        <w:t xml:space="preserve"> </w:t>
      </w:r>
      <w:r>
        <w:rPr>
          <w:sz w:val="24"/>
        </w:rPr>
        <w:t>that</w:t>
      </w:r>
      <w:r>
        <w:rPr>
          <w:spacing w:val="-65"/>
          <w:sz w:val="24"/>
        </w:rPr>
        <w:t xml:space="preserve"> </w:t>
      </w:r>
      <w:r>
        <w:rPr>
          <w:sz w:val="24"/>
        </w:rPr>
        <w:t>had</w:t>
      </w:r>
      <w:r>
        <w:rPr>
          <w:spacing w:val="-3"/>
          <w:sz w:val="24"/>
        </w:rPr>
        <w:t xml:space="preserve"> </w:t>
      </w:r>
      <w:r>
        <w:rPr>
          <w:sz w:val="24"/>
        </w:rPr>
        <w:t>been laid</w:t>
      </w:r>
      <w:r>
        <w:rPr>
          <w:spacing w:val="-2"/>
          <w:sz w:val="24"/>
        </w:rPr>
        <w:t xml:space="preserve"> </w:t>
      </w:r>
      <w:r>
        <w:rPr>
          <w:sz w:val="24"/>
        </w:rPr>
        <w:t>against</w:t>
      </w:r>
      <w:r>
        <w:rPr>
          <w:spacing w:val="-2"/>
          <w:sz w:val="24"/>
        </w:rPr>
        <w:t xml:space="preserve"> </w:t>
      </w:r>
      <w:r>
        <w:rPr>
          <w:sz w:val="24"/>
        </w:rPr>
        <w:t>the Respondent.</w:t>
      </w:r>
    </w:p>
    <w:p w14:paraId="43919B44" w14:textId="77777777" w:rsidR="00E175F1" w:rsidRDefault="002C0621">
      <w:pPr>
        <w:pStyle w:val="Heading1"/>
        <w:spacing w:before="200"/>
        <w:jc w:val="both"/>
      </w:pPr>
      <w:r>
        <w:t>Submissions</w:t>
      </w:r>
      <w:r>
        <w:rPr>
          <w:spacing w:val="-1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 Parties</w:t>
      </w:r>
    </w:p>
    <w:p w14:paraId="43FE5CC4" w14:textId="77777777" w:rsidR="00E175F1" w:rsidRDefault="00E175F1">
      <w:pPr>
        <w:pStyle w:val="BodyText"/>
        <w:spacing w:before="2"/>
        <w:rPr>
          <w:rFonts w:ascii="Arial"/>
          <w:b/>
          <w:sz w:val="29"/>
        </w:rPr>
      </w:pPr>
    </w:p>
    <w:p w14:paraId="1039959C" w14:textId="77777777" w:rsidR="00E175F1" w:rsidRDefault="002C0621">
      <w:pPr>
        <w:pStyle w:val="BodyText"/>
        <w:spacing w:line="360" w:lineRule="auto"/>
        <w:ind w:left="100" w:right="118"/>
        <w:jc w:val="both"/>
      </w:pPr>
      <w:r>
        <w:rPr>
          <w:rFonts w:ascii="Arial"/>
          <w:i/>
        </w:rPr>
        <w:t xml:space="preserve">Mr. Mutasa </w:t>
      </w:r>
      <w:r>
        <w:t>submitted that the determination by the NEC was based on the fact that</w:t>
      </w:r>
      <w:r>
        <w:rPr>
          <w:spacing w:val="1"/>
        </w:rPr>
        <w:t xml:space="preserve"> </w:t>
      </w:r>
      <w:r>
        <w:t>the Appellant had not shown how the Respondent could access the amounts in</w:t>
      </w:r>
      <w:r>
        <w:rPr>
          <w:spacing w:val="1"/>
        </w:rPr>
        <w:t xml:space="preserve"> </w:t>
      </w:r>
      <w:r>
        <w:t>question. He stated that the under-mastering was common cause meaning that the</w:t>
      </w:r>
      <w:r>
        <w:rPr>
          <w:spacing w:val="1"/>
        </w:rPr>
        <w:t xml:space="preserve"> </w:t>
      </w:r>
      <w:r>
        <w:t>information recorded was incorrect. He submitted that the issue for determination is</w:t>
      </w:r>
      <w:r>
        <w:rPr>
          <w:spacing w:val="1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Appellant</w:t>
      </w:r>
      <w:r>
        <w:rPr>
          <w:spacing w:val="-2"/>
        </w:rPr>
        <w:t xml:space="preserve"> </w:t>
      </w:r>
      <w:r>
        <w:t>needed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show</w:t>
      </w:r>
      <w:r>
        <w:rPr>
          <w:spacing w:val="-4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Respondent</w:t>
      </w:r>
      <w:r>
        <w:rPr>
          <w:spacing w:val="-3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going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money.</w:t>
      </w:r>
      <w:r>
        <w:rPr>
          <w:spacing w:val="-64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argued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necessary.</w:t>
      </w:r>
      <w:r>
        <w:rPr>
          <w:spacing w:val="1"/>
        </w:rPr>
        <w:t xml:space="preserve"> </w:t>
      </w:r>
      <w:r>
        <w:rPr>
          <w:rFonts w:ascii="Arial"/>
          <w:i/>
        </w:rPr>
        <w:t>Mr.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Mutasa</w:t>
      </w:r>
      <w:r>
        <w:rPr>
          <w:rFonts w:ascii="Arial"/>
          <w:i/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misrepresentation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intentional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fact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Respondent who raised the issue. In the result, it was argued that the Appellant had</w:t>
      </w:r>
      <w:r>
        <w:rPr>
          <w:spacing w:val="1"/>
        </w:rPr>
        <w:t xml:space="preserve"> </w:t>
      </w:r>
      <w:r>
        <w:t>proved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matter on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balance</w:t>
      </w:r>
      <w:r>
        <w:rPr>
          <w:spacing w:val="-1"/>
        </w:rPr>
        <w:t xml:space="preserve"> </w:t>
      </w:r>
      <w:r>
        <w:t>of probabilities.</w:t>
      </w:r>
    </w:p>
    <w:p w14:paraId="0C2D4350" w14:textId="77777777" w:rsidR="00E175F1" w:rsidRDefault="002C0621">
      <w:pPr>
        <w:pStyle w:val="BodyText"/>
        <w:spacing w:before="202" w:line="360" w:lineRule="auto"/>
        <w:ind w:left="100" w:right="114"/>
        <w:jc w:val="both"/>
      </w:pPr>
      <w:r>
        <w:t xml:space="preserve">In response, </w:t>
      </w:r>
      <w:r>
        <w:rPr>
          <w:rFonts w:ascii="Arial" w:hAnsi="Arial"/>
          <w:i/>
        </w:rPr>
        <w:t xml:space="preserve">Mr. Nyamucherera </w:t>
      </w:r>
      <w:r>
        <w:t>stated that regard should be had to the charge the</w:t>
      </w:r>
      <w:r>
        <w:rPr>
          <w:spacing w:val="1"/>
        </w:rPr>
        <w:t xml:space="preserve"> </w:t>
      </w:r>
      <w:r>
        <w:t>Respondent was facing. He submitted the charge clearly stipulated that the act of</w:t>
      </w:r>
      <w:r>
        <w:rPr>
          <w:spacing w:val="1"/>
        </w:rPr>
        <w:t xml:space="preserve"> </w:t>
      </w:r>
      <w:r>
        <w:t>misconduct included the element that the perpetrator should gain advantage from the</w:t>
      </w:r>
      <w:r>
        <w:rPr>
          <w:spacing w:val="-64"/>
        </w:rPr>
        <w:t xml:space="preserve"> </w:t>
      </w:r>
      <w:r>
        <w:t>particular enterprise. He stated that the intention must be shown to cause actual or</w:t>
      </w:r>
      <w:r>
        <w:rPr>
          <w:spacing w:val="1"/>
        </w:rPr>
        <w:t xml:space="preserve"> </w:t>
      </w:r>
      <w:r>
        <w:t>potential prejudice. He argued that in the present circumstances, the Appellant was</w:t>
      </w:r>
      <w:r>
        <w:rPr>
          <w:spacing w:val="1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errors</w:t>
      </w:r>
      <w:r>
        <w:rPr>
          <w:spacing w:val="-5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intentional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Respondent</w:t>
      </w:r>
      <w:r>
        <w:rPr>
          <w:spacing w:val="-4"/>
        </w:rPr>
        <w:t xml:space="preserve"> </w:t>
      </w:r>
      <w:r>
        <w:t>wanted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gain</w:t>
      </w:r>
      <w:r>
        <w:rPr>
          <w:spacing w:val="-65"/>
        </w:rPr>
        <w:t xml:space="preserve"> </w:t>
      </w:r>
      <w:r>
        <w:t>advantage. He argued that Respondent had produced before the NEC documents</w:t>
      </w:r>
      <w:r>
        <w:rPr>
          <w:spacing w:val="1"/>
        </w:rPr>
        <w:t xml:space="preserve"> </w:t>
      </w:r>
      <w:r>
        <w:t>showing that all the money which had been erroneously recorded was actually in</w:t>
      </w:r>
      <w:r>
        <w:rPr>
          <w:spacing w:val="1"/>
        </w:rPr>
        <w:t xml:space="preserve"> </w:t>
      </w:r>
      <w:r>
        <w:t>Appellant’s account and this had not been disputed by the Appellant during those</w:t>
      </w:r>
      <w:r>
        <w:rPr>
          <w:spacing w:val="1"/>
        </w:rPr>
        <w:t xml:space="preserve"> </w:t>
      </w:r>
      <w:r>
        <w:t xml:space="preserve">proceedings. </w:t>
      </w:r>
      <w:r>
        <w:rPr>
          <w:rFonts w:ascii="Arial" w:hAnsi="Arial"/>
          <w:i/>
        </w:rPr>
        <w:t xml:space="preserve">Mr. Nyamucherera </w:t>
      </w:r>
      <w:r>
        <w:t>argued that there was no evidence presented by the</w:t>
      </w:r>
      <w:r>
        <w:rPr>
          <w:spacing w:val="-64"/>
        </w:rPr>
        <w:t xml:space="preserve"> </w:t>
      </w:r>
      <w:r>
        <w:t>Appellant on how the Respondent was to access the amounts in question. He also</w:t>
      </w:r>
      <w:r>
        <w:rPr>
          <w:spacing w:val="1"/>
        </w:rPr>
        <w:t xml:space="preserve"> </w:t>
      </w:r>
      <w:r>
        <w:t>referred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issue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over-mastering</w:t>
      </w:r>
      <w:r>
        <w:rPr>
          <w:spacing w:val="-8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explained</w:t>
      </w:r>
      <w:r>
        <w:rPr>
          <w:spacing w:val="-6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Appellant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circumstances</w:t>
      </w:r>
      <w:r>
        <w:rPr>
          <w:spacing w:val="-4"/>
        </w:rPr>
        <w:t xml:space="preserve"> </w:t>
      </w:r>
      <w:r>
        <w:t>Respondent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obliged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pay</w:t>
      </w:r>
      <w:r>
        <w:rPr>
          <w:spacing w:val="-5"/>
        </w:rPr>
        <w:t xml:space="preserve"> </w:t>
      </w:r>
      <w:r>
        <w:t>money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Appellant.</w:t>
      </w:r>
    </w:p>
    <w:p w14:paraId="3F7C0C09" w14:textId="77777777" w:rsidR="00E175F1" w:rsidRDefault="00E175F1">
      <w:pPr>
        <w:spacing w:line="360" w:lineRule="auto"/>
        <w:jc w:val="both"/>
        <w:sectPr w:rsidR="00E175F1">
          <w:pgSz w:w="11910" w:h="16840"/>
          <w:pgMar w:top="1340" w:right="1320" w:bottom="1200" w:left="1340" w:header="0" w:footer="1002" w:gutter="0"/>
          <w:cols w:space="720"/>
        </w:sectPr>
      </w:pPr>
    </w:p>
    <w:p w14:paraId="14E6830C" w14:textId="77777777" w:rsidR="00E175F1" w:rsidRDefault="002C0621">
      <w:pPr>
        <w:pStyle w:val="Heading1"/>
        <w:spacing w:before="80"/>
        <w:jc w:val="both"/>
      </w:pPr>
      <w:r>
        <w:lastRenderedPageBreak/>
        <w:t>The</w:t>
      </w:r>
      <w:r>
        <w:rPr>
          <w:spacing w:val="-1"/>
        </w:rPr>
        <w:t xml:space="preserve"> </w:t>
      </w:r>
      <w:r>
        <w:t>Law</w:t>
      </w:r>
    </w:p>
    <w:p w14:paraId="6A3E2BAA" w14:textId="77777777" w:rsidR="00E175F1" w:rsidRDefault="00E175F1">
      <w:pPr>
        <w:pStyle w:val="BodyText"/>
        <w:spacing w:before="5"/>
        <w:rPr>
          <w:rFonts w:ascii="Arial"/>
          <w:b/>
          <w:sz w:val="29"/>
        </w:rPr>
      </w:pPr>
    </w:p>
    <w:p w14:paraId="6E1DFD75" w14:textId="77777777" w:rsidR="00E175F1" w:rsidRDefault="002C0621">
      <w:pPr>
        <w:spacing w:line="360" w:lineRule="auto"/>
        <w:ind w:left="100" w:right="115"/>
        <w:jc w:val="both"/>
        <w:rPr>
          <w:rFonts w:ascii="Arial"/>
          <w:b/>
          <w:sz w:val="24"/>
        </w:rPr>
      </w:pPr>
      <w:r>
        <w:rPr>
          <w:sz w:val="24"/>
        </w:rPr>
        <w:t>First and foremost, it is trite to note that the standard of proof even where the alleged</w:t>
      </w:r>
      <w:r>
        <w:rPr>
          <w:spacing w:val="-64"/>
          <w:sz w:val="24"/>
        </w:rPr>
        <w:t xml:space="preserve"> </w:t>
      </w:r>
      <w:r>
        <w:rPr>
          <w:sz w:val="24"/>
        </w:rPr>
        <w:t>act of misconduct is of a criminal nature, is on a balance of probabilities. This was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elucidated by the Supreme Court in </w:t>
      </w:r>
      <w:r>
        <w:rPr>
          <w:rFonts w:ascii="Arial"/>
          <w:i/>
          <w:sz w:val="24"/>
        </w:rPr>
        <w:t>ZESA v Dera 1998 (1) ZLR 500 (S).</w:t>
      </w:r>
      <w:r>
        <w:rPr>
          <w:sz w:val="24"/>
        </w:rPr>
        <w:t>This position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was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cemented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Lawsign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Nyarumbu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v</w:t>
      </w:r>
      <w:r>
        <w:rPr>
          <w:rFonts w:ascii="Arial"/>
          <w:i/>
          <w:spacing w:val="-15"/>
          <w:sz w:val="24"/>
        </w:rPr>
        <w:t xml:space="preserve"> </w:t>
      </w:r>
      <w:r>
        <w:rPr>
          <w:rFonts w:ascii="Arial"/>
          <w:i/>
          <w:sz w:val="24"/>
        </w:rPr>
        <w:t>Sandvik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Mining</w:t>
      </w:r>
      <w:r>
        <w:rPr>
          <w:rFonts w:ascii="Arial"/>
          <w:i/>
          <w:spacing w:val="-15"/>
          <w:sz w:val="24"/>
        </w:rPr>
        <w:t xml:space="preserve"> </w:t>
      </w:r>
      <w:r>
        <w:rPr>
          <w:rFonts w:ascii="Arial"/>
          <w:i/>
          <w:sz w:val="24"/>
        </w:rPr>
        <w:t>&amp;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Construction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Zimbabwe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(Pvt)</w:t>
      </w:r>
      <w:r>
        <w:rPr>
          <w:rFonts w:ascii="Arial"/>
          <w:i/>
          <w:spacing w:val="-64"/>
          <w:sz w:val="24"/>
        </w:rPr>
        <w:t xml:space="preserve"> </w:t>
      </w:r>
      <w:r>
        <w:rPr>
          <w:rFonts w:ascii="Arial"/>
          <w:i/>
          <w:sz w:val="24"/>
        </w:rPr>
        <w:t>Ltd</w:t>
      </w:r>
      <w:r>
        <w:rPr>
          <w:rFonts w:ascii="Arial"/>
          <w:i/>
          <w:spacing w:val="-7"/>
          <w:sz w:val="24"/>
        </w:rPr>
        <w:t xml:space="preserve"> </w:t>
      </w:r>
      <w:r>
        <w:rPr>
          <w:sz w:val="24"/>
        </w:rPr>
        <w:t>SC</w:t>
      </w:r>
      <w:r>
        <w:rPr>
          <w:spacing w:val="-9"/>
          <w:sz w:val="24"/>
        </w:rPr>
        <w:t xml:space="preserve"> </w:t>
      </w:r>
      <w:r>
        <w:rPr>
          <w:sz w:val="24"/>
        </w:rPr>
        <w:t>31/2013</w:t>
      </w:r>
      <w:r>
        <w:rPr>
          <w:spacing w:val="-8"/>
          <w:sz w:val="24"/>
        </w:rPr>
        <w:t xml:space="preserve"> </w:t>
      </w:r>
      <w:r>
        <w:rPr>
          <w:sz w:val="24"/>
        </w:rPr>
        <w:t>at</w:t>
      </w:r>
      <w:r>
        <w:rPr>
          <w:spacing w:val="-8"/>
          <w:sz w:val="24"/>
        </w:rPr>
        <w:t xml:space="preserve"> </w:t>
      </w:r>
      <w:r>
        <w:rPr>
          <w:sz w:val="24"/>
        </w:rPr>
        <w:t>paragraph</w:t>
      </w:r>
      <w:r>
        <w:rPr>
          <w:spacing w:val="-8"/>
          <w:sz w:val="24"/>
        </w:rPr>
        <w:t xml:space="preserve"> </w:t>
      </w:r>
      <w:r>
        <w:rPr>
          <w:sz w:val="24"/>
        </w:rPr>
        <w:t>3.</w:t>
      </w:r>
      <w:r>
        <w:rPr>
          <w:spacing w:val="-5"/>
          <w:sz w:val="24"/>
        </w:rPr>
        <w:t xml:space="preserve"> </w:t>
      </w:r>
      <w:r>
        <w:rPr>
          <w:rFonts w:ascii="Arial"/>
          <w:b/>
          <w:sz w:val="24"/>
        </w:rPr>
        <w:t>See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also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Zimbabwe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Financial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Holdings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sz w:val="24"/>
        </w:rPr>
        <w:t>Mafunga</w:t>
      </w:r>
      <w:r>
        <w:rPr>
          <w:rFonts w:ascii="Arial"/>
          <w:b/>
          <w:spacing w:val="-64"/>
          <w:sz w:val="24"/>
        </w:rPr>
        <w:t xml:space="preserve"> </w:t>
      </w:r>
      <w:r>
        <w:rPr>
          <w:rFonts w:ascii="Arial"/>
          <w:b/>
          <w:sz w:val="24"/>
        </w:rPr>
        <w:t>2005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(2) ZLR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289 (S).</w:t>
      </w:r>
    </w:p>
    <w:p w14:paraId="0F917681" w14:textId="77777777" w:rsidR="00E175F1" w:rsidRDefault="002C0621">
      <w:pPr>
        <w:pStyle w:val="BodyText"/>
        <w:spacing w:before="200"/>
        <w:ind w:left="100"/>
        <w:jc w:val="both"/>
      </w:pPr>
      <w:r>
        <w:t>The</w:t>
      </w:r>
      <w:r>
        <w:rPr>
          <w:spacing w:val="-2"/>
        </w:rPr>
        <w:t xml:space="preserve"> </w:t>
      </w:r>
      <w:r>
        <w:t>offence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fraud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charged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couched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follows:-</w:t>
      </w:r>
    </w:p>
    <w:p w14:paraId="5A7BF639" w14:textId="77777777" w:rsidR="00E175F1" w:rsidRDefault="00E175F1">
      <w:pPr>
        <w:pStyle w:val="BodyText"/>
        <w:spacing w:before="2"/>
        <w:rPr>
          <w:sz w:val="29"/>
        </w:rPr>
      </w:pPr>
    </w:p>
    <w:p w14:paraId="60A1CDDC" w14:textId="77777777" w:rsidR="00E175F1" w:rsidRDefault="002C0621">
      <w:pPr>
        <w:spacing w:line="360" w:lineRule="auto"/>
        <w:ind w:left="100" w:right="116"/>
        <w:jc w:val="both"/>
        <w:rPr>
          <w:rFonts w:ascii="Arial"/>
          <w:i/>
          <w:sz w:val="24"/>
        </w:rPr>
      </w:pPr>
      <w:r>
        <w:rPr>
          <w:rFonts w:ascii="Arial"/>
          <w:i/>
          <w:sz w:val="24"/>
        </w:rPr>
        <w:t>Fraud: an employee commits fraud when he or she makes a false statement or claim</w:t>
      </w:r>
      <w:r>
        <w:rPr>
          <w:rFonts w:ascii="Arial"/>
          <w:i/>
          <w:spacing w:val="-64"/>
          <w:sz w:val="24"/>
        </w:rPr>
        <w:t xml:space="preserve"> </w:t>
      </w:r>
      <w:r>
        <w:rPr>
          <w:rFonts w:ascii="Arial"/>
          <w:i/>
          <w:sz w:val="24"/>
        </w:rPr>
        <w:t>whether in oral or written term and to make any false representation by word or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conduct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in</w:t>
      </w:r>
      <w:r>
        <w:rPr>
          <w:rFonts w:ascii="Arial"/>
          <w:i/>
          <w:spacing w:val="-13"/>
          <w:sz w:val="24"/>
        </w:rPr>
        <w:t xml:space="preserve"> </w:t>
      </w:r>
      <w:r>
        <w:rPr>
          <w:rFonts w:ascii="Arial"/>
          <w:i/>
          <w:sz w:val="24"/>
        </w:rPr>
        <w:t>order</w:t>
      </w:r>
      <w:r>
        <w:rPr>
          <w:rFonts w:ascii="Arial"/>
          <w:i/>
          <w:spacing w:val="-16"/>
          <w:sz w:val="24"/>
        </w:rPr>
        <w:t xml:space="preserve"> </w:t>
      </w:r>
      <w:r>
        <w:rPr>
          <w:rFonts w:ascii="Arial"/>
          <w:i/>
          <w:sz w:val="24"/>
        </w:rPr>
        <w:t>to</w:t>
      </w:r>
      <w:r>
        <w:rPr>
          <w:rFonts w:ascii="Arial"/>
          <w:i/>
          <w:spacing w:val="-15"/>
          <w:sz w:val="24"/>
        </w:rPr>
        <w:t xml:space="preserve"> </w:t>
      </w:r>
      <w:r>
        <w:rPr>
          <w:rFonts w:ascii="Arial"/>
          <w:i/>
          <w:sz w:val="24"/>
        </w:rPr>
        <w:t>obtain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material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advantage.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Altering</w:t>
      </w:r>
      <w:r>
        <w:rPr>
          <w:rFonts w:ascii="Arial"/>
          <w:i/>
          <w:spacing w:val="-16"/>
          <w:sz w:val="24"/>
        </w:rPr>
        <w:t xml:space="preserve"> </w:t>
      </w:r>
      <w:r>
        <w:rPr>
          <w:rFonts w:ascii="Arial"/>
          <w:i/>
          <w:sz w:val="24"/>
        </w:rPr>
        <w:t>or</w:t>
      </w:r>
      <w:r>
        <w:rPr>
          <w:rFonts w:ascii="Arial"/>
          <w:i/>
          <w:spacing w:val="-15"/>
          <w:sz w:val="24"/>
        </w:rPr>
        <w:t xml:space="preserve"> </w:t>
      </w:r>
      <w:r>
        <w:rPr>
          <w:rFonts w:ascii="Arial"/>
          <w:i/>
          <w:sz w:val="24"/>
        </w:rPr>
        <w:t>attempting</w:t>
      </w:r>
      <w:r>
        <w:rPr>
          <w:rFonts w:ascii="Arial"/>
          <w:i/>
          <w:spacing w:val="-14"/>
          <w:sz w:val="24"/>
        </w:rPr>
        <w:t xml:space="preserve"> </w:t>
      </w:r>
      <w:r>
        <w:rPr>
          <w:rFonts w:ascii="Arial"/>
          <w:i/>
          <w:sz w:val="24"/>
        </w:rPr>
        <w:t>to</w:t>
      </w:r>
      <w:r>
        <w:rPr>
          <w:rFonts w:ascii="Arial"/>
          <w:i/>
          <w:spacing w:val="-13"/>
          <w:sz w:val="24"/>
        </w:rPr>
        <w:t xml:space="preserve"> </w:t>
      </w:r>
      <w:r>
        <w:rPr>
          <w:rFonts w:ascii="Arial"/>
          <w:i/>
          <w:sz w:val="24"/>
        </w:rPr>
        <w:t>alter</w:t>
      </w:r>
      <w:r>
        <w:rPr>
          <w:rFonts w:ascii="Arial"/>
          <w:i/>
          <w:spacing w:val="-16"/>
          <w:sz w:val="24"/>
        </w:rPr>
        <w:t xml:space="preserve"> </w:t>
      </w:r>
      <w:r>
        <w:rPr>
          <w:rFonts w:ascii="Arial"/>
          <w:i/>
          <w:sz w:val="24"/>
        </w:rPr>
        <w:t>fraudulent</w:t>
      </w:r>
      <w:r>
        <w:rPr>
          <w:rFonts w:ascii="Arial"/>
          <w:i/>
          <w:spacing w:val="-64"/>
          <w:sz w:val="24"/>
        </w:rPr>
        <w:t xml:space="preserve"> </w:t>
      </w:r>
      <w:r>
        <w:rPr>
          <w:rFonts w:ascii="Arial"/>
          <w:i/>
          <w:sz w:val="24"/>
        </w:rPr>
        <w:t>or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>false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documents.</w:t>
      </w:r>
    </w:p>
    <w:p w14:paraId="3A635301" w14:textId="77777777" w:rsidR="00E175F1" w:rsidRDefault="002C0621">
      <w:pPr>
        <w:pStyle w:val="Heading1"/>
        <w:spacing w:before="202" w:line="360" w:lineRule="auto"/>
        <w:ind w:right="121"/>
        <w:jc w:val="both"/>
      </w:pPr>
      <w:r>
        <w:rPr>
          <w:rFonts w:ascii="Arial MT"/>
          <w:b w:val="0"/>
        </w:rPr>
        <w:t xml:space="preserve">See </w:t>
      </w:r>
      <w:r>
        <w:t>Section 8 (d) (ii) under the Second Schedule to the Collective Bargain</w:t>
      </w:r>
      <w:r>
        <w:rPr>
          <w:spacing w:val="1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Rural District Councils</w:t>
      </w:r>
      <w:r>
        <w:rPr>
          <w:spacing w:val="2"/>
        </w:rPr>
        <w:t xml:space="preserve"> </w:t>
      </w:r>
      <w:r>
        <w:t>Statutory</w:t>
      </w:r>
      <w:r>
        <w:rPr>
          <w:spacing w:val="-5"/>
        </w:rPr>
        <w:t xml:space="preserve"> </w:t>
      </w:r>
      <w:r>
        <w:t>Instrument 87/2017.</w:t>
      </w:r>
    </w:p>
    <w:p w14:paraId="0F741E4A" w14:textId="77777777" w:rsidR="00E175F1" w:rsidRDefault="002C0621">
      <w:pPr>
        <w:spacing w:before="197" w:line="360" w:lineRule="auto"/>
        <w:ind w:left="100" w:right="116"/>
        <w:jc w:val="both"/>
        <w:rPr>
          <w:sz w:val="24"/>
        </w:rPr>
      </w:pPr>
      <w:r>
        <w:rPr>
          <w:sz w:val="24"/>
        </w:rPr>
        <w:t xml:space="preserve">In interpreting the code of conduct, McNally JA in </w:t>
      </w:r>
      <w:r>
        <w:rPr>
          <w:rFonts w:ascii="Arial"/>
          <w:i/>
          <w:sz w:val="24"/>
        </w:rPr>
        <w:t>Coh Coh Enterprises (Pvt) Ltd v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Mativenga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>&amp;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>Another</w:t>
      </w:r>
      <w:r>
        <w:rPr>
          <w:rFonts w:ascii="Arial"/>
          <w:i/>
          <w:spacing w:val="-2"/>
          <w:sz w:val="24"/>
        </w:rPr>
        <w:t xml:space="preserve"> </w:t>
      </w:r>
      <w:r>
        <w:rPr>
          <w:sz w:val="24"/>
        </w:rPr>
        <w:t>2001 (1)</w:t>
      </w:r>
      <w:r>
        <w:rPr>
          <w:spacing w:val="-1"/>
          <w:sz w:val="24"/>
        </w:rPr>
        <w:t xml:space="preserve"> </w:t>
      </w:r>
      <w:r>
        <w:rPr>
          <w:sz w:val="24"/>
        </w:rPr>
        <w:t>ZLR 151</w:t>
      </w:r>
      <w:r>
        <w:rPr>
          <w:spacing w:val="-1"/>
          <w:sz w:val="24"/>
        </w:rPr>
        <w:t xml:space="preserve"> </w:t>
      </w:r>
      <w:r>
        <w:rPr>
          <w:sz w:val="24"/>
        </w:rPr>
        <w:t>(S) at</w:t>
      </w:r>
      <w:r>
        <w:rPr>
          <w:spacing w:val="-3"/>
          <w:sz w:val="24"/>
        </w:rPr>
        <w:t xml:space="preserve"> </w:t>
      </w:r>
      <w:r>
        <w:rPr>
          <w:sz w:val="24"/>
        </w:rPr>
        <w:t>152</w:t>
      </w:r>
      <w:r>
        <w:rPr>
          <w:spacing w:val="-2"/>
          <w:sz w:val="24"/>
        </w:rPr>
        <w:t xml:space="preserve"> </w:t>
      </w:r>
      <w:r>
        <w:rPr>
          <w:sz w:val="24"/>
        </w:rPr>
        <w:t>D</w:t>
      </w:r>
      <w:r>
        <w:rPr>
          <w:spacing w:val="2"/>
          <w:sz w:val="24"/>
        </w:rPr>
        <w:t xml:space="preserve"> </w:t>
      </w:r>
      <w:r>
        <w:rPr>
          <w:sz w:val="24"/>
        </w:rPr>
        <w:t>stated</w:t>
      </w:r>
      <w:r>
        <w:rPr>
          <w:spacing w:val="-2"/>
          <w:sz w:val="24"/>
        </w:rPr>
        <w:t xml:space="preserve"> </w:t>
      </w:r>
      <w:r>
        <w:rPr>
          <w:sz w:val="24"/>
        </w:rPr>
        <w:t>that,</w:t>
      </w:r>
      <w:r>
        <w:rPr>
          <w:spacing w:val="1"/>
          <w:sz w:val="24"/>
        </w:rPr>
        <w:t xml:space="preserve"> </w:t>
      </w:r>
      <w:r>
        <w:rPr>
          <w:sz w:val="24"/>
        </w:rPr>
        <w:t>obiter:</w:t>
      </w:r>
    </w:p>
    <w:p w14:paraId="74BAB6F3" w14:textId="77777777" w:rsidR="00E175F1" w:rsidRDefault="002C0621">
      <w:pPr>
        <w:spacing w:before="202" w:line="360" w:lineRule="auto"/>
        <w:ind w:left="100" w:right="114"/>
        <w:jc w:val="both"/>
        <w:rPr>
          <w:rFonts w:ascii="Arial"/>
          <w:i/>
          <w:sz w:val="24"/>
        </w:rPr>
      </w:pPr>
      <w:r>
        <w:rPr>
          <w:rFonts w:ascii="Arial"/>
          <w:i/>
          <w:sz w:val="24"/>
        </w:rPr>
        <w:t>We must bear in mind that codes of conduct, being often drafted by laymen, should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z w:val="24"/>
        </w:rPr>
        <w:t>not</w:t>
      </w:r>
      <w:r>
        <w:rPr>
          <w:rFonts w:ascii="Arial"/>
          <w:i/>
          <w:spacing w:val="-3"/>
          <w:sz w:val="24"/>
        </w:rPr>
        <w:t xml:space="preserve"> </w:t>
      </w:r>
      <w:r>
        <w:rPr>
          <w:rFonts w:ascii="Arial"/>
          <w:i/>
          <w:sz w:val="24"/>
        </w:rPr>
        <w:t>be</w:t>
      </w:r>
      <w:r>
        <w:rPr>
          <w:rFonts w:ascii="Arial"/>
          <w:i/>
          <w:spacing w:val="-1"/>
          <w:sz w:val="24"/>
        </w:rPr>
        <w:t xml:space="preserve"> </w:t>
      </w:r>
      <w:r>
        <w:rPr>
          <w:rFonts w:ascii="Arial"/>
          <w:i/>
          <w:sz w:val="24"/>
        </w:rPr>
        <w:t>over-strictly interpreted.</w:t>
      </w:r>
    </w:p>
    <w:p w14:paraId="3A097FB7" w14:textId="77777777" w:rsidR="00E175F1" w:rsidRDefault="002C0621">
      <w:pPr>
        <w:pStyle w:val="BodyText"/>
        <w:spacing w:before="202" w:line="360" w:lineRule="auto"/>
        <w:ind w:left="100" w:right="117"/>
        <w:jc w:val="both"/>
        <w:rPr>
          <w:rFonts w:ascii="Arial"/>
          <w:b/>
        </w:rPr>
      </w:pPr>
      <w:r>
        <w:t>The courts in interpreting a code of conduct have taken the approach that the golden</w:t>
      </w:r>
      <w:r>
        <w:rPr>
          <w:spacing w:val="-64"/>
        </w:rPr>
        <w:t xml:space="preserve"> </w:t>
      </w:r>
      <w:r>
        <w:t>rule must be applied and words given their ordinary grammatical meaning except</w:t>
      </w:r>
      <w:r>
        <w:rPr>
          <w:spacing w:val="1"/>
        </w:rPr>
        <w:t xml:space="preserve"> </w:t>
      </w:r>
      <w:r>
        <w:t>where to do so leads to an absurdity so glaring that it could never have been the</w:t>
      </w:r>
      <w:r>
        <w:rPr>
          <w:spacing w:val="1"/>
        </w:rPr>
        <w:t xml:space="preserve"> </w:t>
      </w:r>
      <w:r>
        <w:t>intention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framers.</w:t>
      </w:r>
      <w:r>
        <w:rPr>
          <w:spacing w:val="-8"/>
        </w:rPr>
        <w:t xml:space="preserve"> </w:t>
      </w:r>
      <w:r>
        <w:rPr>
          <w:rFonts w:ascii="Arial"/>
          <w:b/>
        </w:rPr>
        <w:t>See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Madoda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v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Tanganda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Tea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Co.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Ltd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1999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(1)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ZLR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374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(S).</w:t>
      </w:r>
    </w:p>
    <w:p w14:paraId="197557A4" w14:textId="77777777" w:rsidR="00E175F1" w:rsidRDefault="002C0621">
      <w:pPr>
        <w:pStyle w:val="Heading1"/>
        <w:spacing w:before="200"/>
      </w:pPr>
      <w:r>
        <w:t>Analysis</w:t>
      </w:r>
    </w:p>
    <w:p w14:paraId="45AFDEFB" w14:textId="77777777" w:rsidR="00E175F1" w:rsidRDefault="00E175F1">
      <w:pPr>
        <w:pStyle w:val="BodyText"/>
        <w:spacing w:before="4"/>
        <w:rPr>
          <w:rFonts w:ascii="Arial"/>
          <w:b/>
          <w:sz w:val="29"/>
        </w:rPr>
      </w:pPr>
    </w:p>
    <w:p w14:paraId="070A2A10" w14:textId="77777777" w:rsidR="00E175F1" w:rsidRDefault="002C0621">
      <w:pPr>
        <w:pStyle w:val="BodyText"/>
        <w:spacing w:before="1" w:line="360" w:lineRule="auto"/>
        <w:ind w:left="100" w:right="114"/>
        <w:jc w:val="both"/>
      </w:pPr>
      <w:r>
        <w:t>The term fraud is clearly defined in the Code of Conduct that is relied on by the</w:t>
      </w:r>
      <w:r>
        <w:rPr>
          <w:spacing w:val="1"/>
        </w:rPr>
        <w:t xml:space="preserve"> </w:t>
      </w:r>
      <w:r>
        <w:t>Appellant. The Appellant through their Heads of Argument is of the view that to</w:t>
      </w:r>
      <w:r>
        <w:rPr>
          <w:spacing w:val="1"/>
        </w:rPr>
        <w:t xml:space="preserve"> </w:t>
      </w:r>
      <w:r>
        <w:t>interpret the definition in its ordinary grammatical meaning would be remiss as this</w:t>
      </w:r>
      <w:r>
        <w:rPr>
          <w:spacing w:val="1"/>
        </w:rPr>
        <w:t xml:space="preserve"> </w:t>
      </w:r>
      <w:r>
        <w:t xml:space="preserve">would lead to an absurdity. Hence where the Code of conduct uses the word </w:t>
      </w:r>
      <w:r>
        <w:rPr>
          <w:u w:val="single"/>
        </w:rPr>
        <w:t>and</w:t>
      </w:r>
      <w:r>
        <w:t>, it</w:t>
      </w:r>
      <w:r>
        <w:rPr>
          <w:spacing w:val="1"/>
        </w:rPr>
        <w:t xml:space="preserve"> </w:t>
      </w:r>
      <w:r>
        <w:t xml:space="preserve">should be read or substituted with the word </w:t>
      </w:r>
      <w:r>
        <w:rPr>
          <w:u w:val="single"/>
        </w:rPr>
        <w:t>or</w:t>
      </w:r>
      <w:r>
        <w:t>. Thus, the golden rule of interpretation</w:t>
      </w:r>
      <w:r>
        <w:rPr>
          <w:spacing w:val="-64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apply.</w:t>
      </w:r>
    </w:p>
    <w:p w14:paraId="2BFC6A5A" w14:textId="77777777" w:rsidR="00E175F1" w:rsidRDefault="00E175F1">
      <w:pPr>
        <w:spacing w:line="360" w:lineRule="auto"/>
        <w:jc w:val="both"/>
        <w:sectPr w:rsidR="00E175F1">
          <w:pgSz w:w="11910" w:h="16840"/>
          <w:pgMar w:top="1340" w:right="1320" w:bottom="1200" w:left="1340" w:header="0" w:footer="1002" w:gutter="0"/>
          <w:cols w:space="720"/>
        </w:sectPr>
      </w:pPr>
    </w:p>
    <w:p w14:paraId="0D88BD90" w14:textId="77777777" w:rsidR="00E175F1" w:rsidRDefault="002C0621">
      <w:pPr>
        <w:spacing w:before="80" w:line="360" w:lineRule="auto"/>
        <w:ind w:left="100" w:right="123"/>
        <w:jc w:val="both"/>
        <w:rPr>
          <w:sz w:val="24"/>
        </w:rPr>
      </w:pPr>
      <w:r>
        <w:rPr>
          <w:sz w:val="24"/>
        </w:rPr>
        <w:lastRenderedPageBreak/>
        <w:t xml:space="preserve">The following wise words in </w:t>
      </w:r>
      <w:r>
        <w:rPr>
          <w:rFonts w:ascii="Arial"/>
          <w:b/>
          <w:sz w:val="24"/>
        </w:rPr>
        <w:t>Natal Joint Municipal Pension Fund v Endumeni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Municipality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sz w:val="24"/>
        </w:rPr>
        <w:t>2012 (4)</w:t>
      </w:r>
      <w:r>
        <w:rPr>
          <w:spacing w:val="-3"/>
          <w:sz w:val="24"/>
        </w:rPr>
        <w:t xml:space="preserve"> </w:t>
      </w:r>
      <w:r>
        <w:rPr>
          <w:sz w:val="24"/>
        </w:rPr>
        <w:t>SA 593 (SCA)</w:t>
      </w:r>
      <w:r>
        <w:rPr>
          <w:spacing w:val="-3"/>
          <w:sz w:val="24"/>
        </w:rPr>
        <w:t xml:space="preserve"> </w:t>
      </w:r>
      <w:r>
        <w:rPr>
          <w:sz w:val="24"/>
        </w:rPr>
        <w:t>are apposite:</w:t>
      </w:r>
    </w:p>
    <w:p w14:paraId="51DCFFFF" w14:textId="77777777" w:rsidR="00E175F1" w:rsidRDefault="002C0621">
      <w:pPr>
        <w:pStyle w:val="BodyText"/>
        <w:spacing w:before="199" w:line="360" w:lineRule="auto"/>
        <w:ind w:left="820" w:right="118"/>
        <w:jc w:val="both"/>
      </w:pPr>
      <w:r>
        <w:t>“Interpretation is the process of attributing meaning to the words used in a</w:t>
      </w:r>
      <w:r>
        <w:rPr>
          <w:spacing w:val="1"/>
        </w:rPr>
        <w:t xml:space="preserve"> </w:t>
      </w:r>
      <w:r>
        <w:t>document,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legislation,</w:t>
      </w:r>
      <w:r>
        <w:rPr>
          <w:spacing w:val="-11"/>
        </w:rPr>
        <w:t xml:space="preserve"> </w:t>
      </w:r>
      <w:r>
        <w:t>some</w:t>
      </w:r>
      <w:r>
        <w:rPr>
          <w:spacing w:val="-10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statutory</w:t>
      </w:r>
      <w:r>
        <w:rPr>
          <w:spacing w:val="-12"/>
        </w:rPr>
        <w:t xml:space="preserve"> </w:t>
      </w:r>
      <w:r>
        <w:t>instrument,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contract,</w:t>
      </w:r>
      <w:r>
        <w:rPr>
          <w:spacing w:val="-10"/>
        </w:rPr>
        <w:t xml:space="preserve"> </w:t>
      </w:r>
      <w:r>
        <w:t>having</w:t>
      </w:r>
      <w:r>
        <w:rPr>
          <w:spacing w:val="-65"/>
        </w:rPr>
        <w:t xml:space="preserve"> </w:t>
      </w:r>
      <w:r>
        <w:t>regard to the context provided by reading the particular provision or provisions</w:t>
      </w:r>
      <w:r>
        <w:rPr>
          <w:spacing w:val="-64"/>
        </w:rPr>
        <w:t xml:space="preserve"> </w:t>
      </w:r>
      <w:r>
        <w:t>in the light of the document as a whole and the circumstances attendant upon</w:t>
      </w:r>
      <w:r>
        <w:rPr>
          <w:spacing w:val="1"/>
        </w:rPr>
        <w:t xml:space="preserve"> </w:t>
      </w:r>
      <w:r>
        <w:t>its coming into existence. Whatever the nature of the document, consideration</w:t>
      </w:r>
      <w:r>
        <w:rPr>
          <w:spacing w:val="-64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given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language</w:t>
      </w:r>
      <w:r>
        <w:rPr>
          <w:spacing w:val="-11"/>
        </w:rPr>
        <w:t xml:space="preserve"> </w:t>
      </w:r>
      <w:r>
        <w:t>used</w:t>
      </w:r>
      <w:r>
        <w:rPr>
          <w:spacing w:val="-13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light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ordinary</w:t>
      </w:r>
      <w:r>
        <w:rPr>
          <w:spacing w:val="-14"/>
        </w:rPr>
        <w:t xml:space="preserve"> </w:t>
      </w:r>
      <w:r>
        <w:t>rules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grammar</w:t>
      </w:r>
      <w:r>
        <w:rPr>
          <w:spacing w:val="-64"/>
        </w:rPr>
        <w:t xml:space="preserve"> </w:t>
      </w:r>
      <w:r>
        <w:t>and syntax; the context in which the provision appears; the apparent purpose</w:t>
      </w:r>
      <w:r>
        <w:rPr>
          <w:spacing w:val="1"/>
        </w:rPr>
        <w:t xml:space="preserve"> </w:t>
      </w:r>
      <w:r>
        <w:t>to which it is directed and the material known to those responsible for its</w:t>
      </w:r>
      <w:r>
        <w:rPr>
          <w:spacing w:val="1"/>
        </w:rPr>
        <w:t xml:space="preserve"> </w:t>
      </w:r>
      <w:r>
        <w:t>production.”</w:t>
      </w:r>
    </w:p>
    <w:p w14:paraId="2655CCCE" w14:textId="77777777" w:rsidR="00E175F1" w:rsidRDefault="002C0621">
      <w:pPr>
        <w:pStyle w:val="BodyText"/>
        <w:spacing w:before="201" w:line="360" w:lineRule="auto"/>
        <w:ind w:left="100" w:right="126"/>
        <w:jc w:val="both"/>
      </w:pPr>
      <w:r>
        <w:t>The provision itself is unambiguous. The ordinary meaning, therefore, should be</w:t>
      </w:r>
      <w:r>
        <w:rPr>
          <w:spacing w:val="1"/>
        </w:rPr>
        <w:t xml:space="preserve"> </w:t>
      </w:r>
      <w:r>
        <w:t>accorded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provision.</w:t>
      </w:r>
    </w:p>
    <w:p w14:paraId="449EB548" w14:textId="77777777" w:rsidR="00E175F1" w:rsidRDefault="002C0621">
      <w:pPr>
        <w:pStyle w:val="BodyText"/>
        <w:spacing w:before="200" w:line="360" w:lineRule="auto"/>
        <w:ind w:left="100" w:right="123"/>
        <w:jc w:val="both"/>
      </w:pPr>
      <w:r>
        <w:t>As far as the record is concerned, the following excerpts are pertinent in determining</w:t>
      </w:r>
      <w:r>
        <w:rPr>
          <w:spacing w:val="1"/>
        </w:rPr>
        <w:t xml:space="preserve"> </w:t>
      </w:r>
      <w:r>
        <w:t>this matter. During the hearing before the Exemptions Committee, Appellant’s Legal</w:t>
      </w:r>
      <w:r>
        <w:rPr>
          <w:spacing w:val="1"/>
        </w:rPr>
        <w:t xml:space="preserve"> </w:t>
      </w:r>
      <w:r>
        <w:t>practitioner</w:t>
      </w:r>
      <w:r>
        <w:rPr>
          <w:spacing w:val="-1"/>
        </w:rPr>
        <w:t xml:space="preserve"> </w:t>
      </w:r>
      <w:r>
        <w:t>stated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14:paraId="179D58B6" w14:textId="77777777" w:rsidR="00E175F1" w:rsidRDefault="002C0621">
      <w:pPr>
        <w:pStyle w:val="BodyText"/>
        <w:spacing w:before="201" w:line="360" w:lineRule="auto"/>
        <w:ind w:left="820" w:right="128"/>
        <w:jc w:val="both"/>
      </w:pPr>
      <w:r>
        <w:t>“The employer does not have to prove the actual advantage but the existence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possibility</w:t>
      </w:r>
      <w:r>
        <w:rPr>
          <w:spacing w:val="-2"/>
        </w:rPr>
        <w:t xml:space="preserve"> </w:t>
      </w:r>
      <w:r>
        <w:t>to that</w:t>
      </w:r>
      <w:r>
        <w:rPr>
          <w:spacing w:val="-2"/>
        </w:rPr>
        <w:t xml:space="preserve"> </w:t>
      </w:r>
      <w:r>
        <w:t>effect.</w:t>
      </w:r>
    </w:p>
    <w:p w14:paraId="0A60F186" w14:textId="77777777" w:rsidR="00E175F1" w:rsidRDefault="002C0621">
      <w:pPr>
        <w:pStyle w:val="BodyText"/>
        <w:spacing w:before="199" w:line="360" w:lineRule="auto"/>
        <w:ind w:left="820" w:right="117"/>
        <w:jc w:val="both"/>
      </w:pPr>
      <w:r>
        <w:t>There is a lot that has been said about the amount in the biller code but that</w:t>
      </w:r>
      <w:r>
        <w:rPr>
          <w:spacing w:val="1"/>
        </w:rPr>
        <w:t xml:space="preserve"> </w:t>
      </w:r>
      <w:r>
        <w:t>does not help the appellant in any way. It does not exclude the possibility of</w:t>
      </w:r>
      <w:r>
        <w:rPr>
          <w:spacing w:val="1"/>
        </w:rPr>
        <w:t xml:space="preserve"> </w:t>
      </w:r>
      <w:r>
        <w:t>missing</w:t>
      </w:r>
      <w:r>
        <w:rPr>
          <w:spacing w:val="-3"/>
        </w:rPr>
        <w:t xml:space="preserve"> </w:t>
      </w:r>
      <w:r>
        <w:t>funds.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matter</w:t>
      </w:r>
      <w:r>
        <w:rPr>
          <w:spacing w:val="-1"/>
        </w:rPr>
        <w:t xml:space="preserve"> </w:t>
      </w:r>
      <w:r>
        <w:t>should just end there,</w:t>
      </w:r>
    </w:p>
    <w:p w14:paraId="441E4605" w14:textId="77777777" w:rsidR="00E175F1" w:rsidRDefault="002C0621">
      <w:pPr>
        <w:spacing w:before="201" w:line="360" w:lineRule="auto"/>
        <w:ind w:left="820" w:right="118"/>
        <w:jc w:val="both"/>
        <w:rPr>
          <w:rFonts w:ascii="Arial" w:hAnsi="Arial"/>
          <w:b/>
          <w:sz w:val="24"/>
        </w:rPr>
      </w:pPr>
      <w:r>
        <w:rPr>
          <w:sz w:val="24"/>
        </w:rPr>
        <w:t xml:space="preserve">The misstatement was a result of calculation. </w:t>
      </w:r>
      <w:r>
        <w:rPr>
          <w:rFonts w:ascii="Arial" w:hAnsi="Arial"/>
          <w:b/>
          <w:sz w:val="24"/>
        </w:rPr>
        <w:t>There is a probability that it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could be an error and there is a probability that there could be fraud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involved.”</w:t>
      </w:r>
    </w:p>
    <w:p w14:paraId="58710B53" w14:textId="77777777" w:rsidR="00E175F1" w:rsidRDefault="002C0621">
      <w:pPr>
        <w:spacing w:before="200" w:line="360" w:lineRule="auto"/>
        <w:ind w:left="100" w:right="116"/>
        <w:jc w:val="both"/>
        <w:rPr>
          <w:sz w:val="24"/>
        </w:rPr>
      </w:pPr>
      <w:r>
        <w:rPr>
          <w:sz w:val="24"/>
        </w:rPr>
        <w:t>What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borne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mind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these</w:t>
      </w:r>
      <w:r>
        <w:rPr>
          <w:spacing w:val="1"/>
          <w:sz w:val="24"/>
        </w:rPr>
        <w:t xml:space="preserve"> </w:t>
      </w:r>
      <w:r>
        <w:rPr>
          <w:sz w:val="24"/>
        </w:rPr>
        <w:t>submissions</w:t>
      </w:r>
      <w:r>
        <w:rPr>
          <w:spacing w:val="1"/>
          <w:sz w:val="24"/>
        </w:rPr>
        <w:t xml:space="preserve"> </w:t>
      </w:r>
      <w:r>
        <w:rPr>
          <w:sz w:val="24"/>
        </w:rPr>
        <w:t>were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1"/>
          <w:sz w:val="24"/>
        </w:rPr>
        <w:t xml:space="preserve"> </w:t>
      </w:r>
      <w:r>
        <w:rPr>
          <w:sz w:val="24"/>
        </w:rPr>
        <w:t>after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Respondent’s representative produced evidence of the Ecocash biller code which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showed all the money receipted by the Respondent was in that account. </w:t>
      </w:r>
      <w:r>
        <w:rPr>
          <w:rFonts w:ascii="Arial" w:hAnsi="Arial"/>
          <w:b/>
          <w:sz w:val="24"/>
        </w:rPr>
        <w:t>Appellant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does not deny that indeed all the money receipted was in fact in the account.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Further,</w:t>
      </w:r>
      <w:r>
        <w:rPr>
          <w:spacing w:val="24"/>
          <w:sz w:val="24"/>
        </w:rPr>
        <w:t xml:space="preserve"> </w:t>
      </w:r>
      <w:r>
        <w:rPr>
          <w:sz w:val="24"/>
        </w:rPr>
        <w:t>Appellant</w:t>
      </w:r>
      <w:r>
        <w:rPr>
          <w:spacing w:val="26"/>
          <w:sz w:val="24"/>
        </w:rPr>
        <w:t xml:space="preserve"> </w:t>
      </w:r>
      <w:r>
        <w:rPr>
          <w:sz w:val="24"/>
        </w:rPr>
        <w:t>was</w:t>
      </w:r>
      <w:r>
        <w:rPr>
          <w:spacing w:val="23"/>
          <w:sz w:val="24"/>
        </w:rPr>
        <w:t xml:space="preserve"> </w:t>
      </w:r>
      <w:r>
        <w:rPr>
          <w:sz w:val="24"/>
        </w:rPr>
        <w:t>not</w:t>
      </w:r>
      <w:r>
        <w:rPr>
          <w:spacing w:val="23"/>
          <w:sz w:val="24"/>
        </w:rPr>
        <w:t xml:space="preserve"> </w:t>
      </w: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position</w:t>
      </w:r>
      <w:r>
        <w:rPr>
          <w:spacing w:val="26"/>
          <w:sz w:val="24"/>
        </w:rPr>
        <w:t xml:space="preserve"> </w:t>
      </w:r>
      <w:r>
        <w:rPr>
          <w:sz w:val="24"/>
        </w:rPr>
        <w:t>to</w:t>
      </w:r>
      <w:r>
        <w:rPr>
          <w:spacing w:val="26"/>
          <w:sz w:val="24"/>
        </w:rPr>
        <w:t xml:space="preserve"> </w:t>
      </w:r>
      <w:r>
        <w:rPr>
          <w:sz w:val="24"/>
        </w:rPr>
        <w:t>tell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Committee</w:t>
      </w:r>
      <w:r>
        <w:rPr>
          <w:spacing w:val="26"/>
          <w:sz w:val="24"/>
        </w:rPr>
        <w:t xml:space="preserve"> </w:t>
      </w:r>
      <w:r>
        <w:rPr>
          <w:sz w:val="24"/>
        </w:rPr>
        <w:t>how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Respondent</w:t>
      </w:r>
    </w:p>
    <w:p w14:paraId="03CC635F" w14:textId="77777777" w:rsidR="00E175F1" w:rsidRDefault="00E175F1">
      <w:pPr>
        <w:spacing w:line="360" w:lineRule="auto"/>
        <w:jc w:val="both"/>
        <w:rPr>
          <w:sz w:val="24"/>
        </w:rPr>
        <w:sectPr w:rsidR="00E175F1">
          <w:pgSz w:w="11910" w:h="16840"/>
          <w:pgMar w:top="1340" w:right="1320" w:bottom="1200" w:left="1340" w:header="0" w:footer="1002" w:gutter="0"/>
          <w:cols w:space="720"/>
        </w:sectPr>
      </w:pPr>
    </w:p>
    <w:p w14:paraId="530CDC6C" w14:textId="77777777" w:rsidR="00E175F1" w:rsidRDefault="002C0621">
      <w:pPr>
        <w:pStyle w:val="BodyText"/>
        <w:spacing w:before="80" w:line="360" w:lineRule="auto"/>
        <w:ind w:left="100" w:right="127"/>
        <w:jc w:val="both"/>
      </w:pPr>
      <w:r>
        <w:lastRenderedPageBreak/>
        <w:t>would access the amounts in question. All Appellant could state was that there was a</w:t>
      </w:r>
      <w:r>
        <w:rPr>
          <w:spacing w:val="-64"/>
        </w:rPr>
        <w:t xml:space="preserve"> </w:t>
      </w:r>
      <w:r>
        <w:t>‘probability’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Respondent</w:t>
      </w:r>
      <w:r>
        <w:rPr>
          <w:spacing w:val="-1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accessed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amounts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question.</w:t>
      </w:r>
    </w:p>
    <w:p w14:paraId="2F70FBD1" w14:textId="77777777" w:rsidR="00E175F1" w:rsidRDefault="002C0621">
      <w:pPr>
        <w:pStyle w:val="BodyText"/>
        <w:spacing w:before="199" w:line="360" w:lineRule="auto"/>
        <w:ind w:left="100" w:right="115"/>
        <w:jc w:val="both"/>
      </w:pPr>
      <w:r>
        <w:t>This brings me to the issue of ‘over-mastering and under-mastering’. ‘Over-mastering</w:t>
      </w:r>
      <w:r>
        <w:rPr>
          <w:spacing w:val="-64"/>
        </w:rPr>
        <w:t xml:space="preserve"> </w:t>
      </w:r>
      <w:r>
        <w:t>involved writing receipts which showed that money received by the Respondent was</w:t>
      </w:r>
      <w:r>
        <w:rPr>
          <w:spacing w:val="1"/>
        </w:rPr>
        <w:t xml:space="preserve"> </w:t>
      </w:r>
      <w:r>
        <w:t>actually more than what was banked. In other words, the Respondent would be liable</w:t>
      </w:r>
      <w:r>
        <w:rPr>
          <w:spacing w:val="-6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make</w:t>
      </w:r>
      <w:r>
        <w:rPr>
          <w:spacing w:val="-13"/>
        </w:rPr>
        <w:t xml:space="preserve"> </w:t>
      </w:r>
      <w:r>
        <w:t>good</w:t>
      </w:r>
      <w:r>
        <w:rPr>
          <w:spacing w:val="-13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his</w:t>
      </w:r>
      <w:r>
        <w:rPr>
          <w:spacing w:val="-13"/>
        </w:rPr>
        <w:t xml:space="preserve"> </w:t>
      </w:r>
      <w:r>
        <w:t>pocket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difference</w:t>
      </w:r>
      <w:r>
        <w:rPr>
          <w:spacing w:val="-11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money</w:t>
      </w:r>
      <w:r>
        <w:rPr>
          <w:spacing w:val="-14"/>
        </w:rPr>
        <w:t xml:space="preserve"> </w:t>
      </w:r>
      <w:r>
        <w:t>actually</w:t>
      </w:r>
      <w:r>
        <w:rPr>
          <w:spacing w:val="-14"/>
        </w:rPr>
        <w:t xml:space="preserve"> </w:t>
      </w:r>
      <w:r>
        <w:t>received</w:t>
      </w:r>
      <w:r>
        <w:rPr>
          <w:spacing w:val="-10"/>
        </w:rPr>
        <w:t xml:space="preserve"> </w:t>
      </w:r>
      <w:r>
        <w:t>and</w:t>
      </w:r>
      <w:r>
        <w:rPr>
          <w:spacing w:val="-65"/>
        </w:rPr>
        <w:t xml:space="preserve"> </w:t>
      </w:r>
      <w:r>
        <w:t>that reflected in the receipts. ‘under-mastering’ would be the opposite where money</w:t>
      </w:r>
      <w:r>
        <w:rPr>
          <w:spacing w:val="1"/>
        </w:rPr>
        <w:t xml:space="preserve"> </w:t>
      </w:r>
      <w:r>
        <w:t>actually received would be more than what was reflected in the receipt books. I will</w:t>
      </w:r>
      <w:r>
        <w:rPr>
          <w:spacing w:val="1"/>
        </w:rPr>
        <w:t xml:space="preserve"> </w:t>
      </w:r>
      <w:r>
        <w:t>proceed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examine two examples.</w:t>
      </w:r>
    </w:p>
    <w:p w14:paraId="1C795FF0" w14:textId="77777777" w:rsidR="00E175F1" w:rsidRDefault="002C0621">
      <w:pPr>
        <w:pStyle w:val="BodyText"/>
        <w:spacing w:before="201"/>
        <w:ind w:left="100"/>
        <w:jc w:val="both"/>
      </w:pPr>
      <w:r>
        <w:t>The</w:t>
      </w:r>
      <w:r>
        <w:rPr>
          <w:spacing w:val="21"/>
        </w:rPr>
        <w:t xml:space="preserve"> </w:t>
      </w:r>
      <w:r>
        <w:t>record</w:t>
      </w:r>
      <w:r>
        <w:rPr>
          <w:spacing w:val="21"/>
        </w:rPr>
        <w:t xml:space="preserve"> </w:t>
      </w:r>
      <w:r>
        <w:t>shows</w:t>
      </w:r>
      <w:r>
        <w:rPr>
          <w:spacing w:val="20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7</w:t>
      </w:r>
      <w:r>
        <w:rPr>
          <w:spacing w:val="21"/>
        </w:rPr>
        <w:t xml:space="preserve"> </w:t>
      </w:r>
      <w:r>
        <w:t>July</w:t>
      </w:r>
      <w:r>
        <w:rPr>
          <w:spacing w:val="18"/>
        </w:rPr>
        <w:t xml:space="preserve"> </w:t>
      </w:r>
      <w:r>
        <w:t>2020,</w:t>
      </w:r>
      <w:r>
        <w:rPr>
          <w:spacing w:val="21"/>
        </w:rPr>
        <w:t xml:space="preserve"> </w:t>
      </w:r>
      <w:r>
        <w:t>there</w:t>
      </w:r>
      <w:r>
        <w:rPr>
          <w:spacing w:val="18"/>
        </w:rPr>
        <w:t xml:space="preserve"> </w:t>
      </w:r>
      <w:r>
        <w:t>was</w:t>
      </w:r>
      <w:r>
        <w:rPr>
          <w:spacing w:val="21"/>
        </w:rPr>
        <w:t xml:space="preserve"> </w:t>
      </w:r>
      <w:r>
        <w:t>an</w:t>
      </w:r>
      <w:r>
        <w:rPr>
          <w:spacing w:val="21"/>
        </w:rPr>
        <w:t xml:space="preserve"> </w:t>
      </w:r>
      <w:r>
        <w:t>‘under-mastering’</w:t>
      </w:r>
      <w:r>
        <w:rPr>
          <w:spacing w:val="21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total</w:t>
      </w:r>
      <w:r>
        <w:rPr>
          <w:spacing w:val="20"/>
        </w:rPr>
        <w:t xml:space="preserve"> </w:t>
      </w:r>
      <w:r>
        <w:t>of</w:t>
      </w:r>
    </w:p>
    <w:p w14:paraId="776239F3" w14:textId="77777777" w:rsidR="00E175F1" w:rsidRDefault="002C0621">
      <w:pPr>
        <w:pStyle w:val="BodyText"/>
        <w:spacing w:before="140" w:line="360" w:lineRule="auto"/>
        <w:ind w:left="100" w:right="116"/>
        <w:jc w:val="both"/>
      </w:pPr>
      <w:r>
        <w:rPr>
          <w:spacing w:val="-1"/>
        </w:rPr>
        <w:t>$250-00.</w:t>
      </w:r>
      <w:r>
        <w:rPr>
          <w:spacing w:val="-13"/>
        </w:rPr>
        <w:t xml:space="preserve"> </w:t>
      </w:r>
      <w:r>
        <w:t>Four</w:t>
      </w:r>
      <w:r>
        <w:rPr>
          <w:spacing w:val="-14"/>
        </w:rPr>
        <w:t xml:space="preserve"> </w:t>
      </w:r>
      <w:r>
        <w:t>days</w:t>
      </w:r>
      <w:r>
        <w:rPr>
          <w:spacing w:val="-14"/>
        </w:rPr>
        <w:t xml:space="preserve"> </w:t>
      </w:r>
      <w:r>
        <w:t>later,</w:t>
      </w:r>
      <w:r>
        <w:rPr>
          <w:spacing w:val="-13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11</w:t>
      </w:r>
      <w:r>
        <w:rPr>
          <w:spacing w:val="-13"/>
        </w:rPr>
        <w:t xml:space="preserve"> </w:t>
      </w:r>
      <w:r>
        <w:t>July</w:t>
      </w:r>
      <w:r>
        <w:rPr>
          <w:spacing w:val="-16"/>
        </w:rPr>
        <w:t xml:space="preserve"> </w:t>
      </w:r>
      <w:r>
        <w:t>2020,</w:t>
      </w:r>
      <w:r>
        <w:rPr>
          <w:spacing w:val="-15"/>
        </w:rPr>
        <w:t xml:space="preserve"> </w:t>
      </w:r>
      <w:r>
        <w:t>there</w:t>
      </w:r>
      <w:r>
        <w:rPr>
          <w:spacing w:val="-14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‘over-mastering’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an</w:t>
      </w:r>
      <w:r>
        <w:rPr>
          <w:spacing w:val="-16"/>
        </w:rPr>
        <w:t xml:space="preserve"> </w:t>
      </w:r>
      <w:r>
        <w:t>amount</w:t>
      </w:r>
      <w:r>
        <w:rPr>
          <w:spacing w:val="-64"/>
        </w:rPr>
        <w:t xml:space="preserve"> </w:t>
      </w:r>
      <w:r>
        <w:t>of $300-00. This example shows that as at 11 July 2020, the records showed that</w:t>
      </w:r>
      <w:r>
        <w:rPr>
          <w:spacing w:val="1"/>
        </w:rPr>
        <w:t xml:space="preserve"> </w:t>
      </w:r>
      <w:r>
        <w:t>Respondent</w:t>
      </w:r>
      <w:r>
        <w:rPr>
          <w:spacing w:val="-12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liable</w:t>
      </w:r>
      <w:r>
        <w:rPr>
          <w:spacing w:val="-16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pay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Appellant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difference</w:t>
      </w:r>
      <w:r>
        <w:rPr>
          <w:spacing w:val="-14"/>
        </w:rPr>
        <w:t xml:space="preserve"> </w:t>
      </w:r>
      <w:r>
        <w:t>between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‘over-mastering’</w:t>
      </w:r>
      <w:r>
        <w:rPr>
          <w:spacing w:val="-64"/>
        </w:rPr>
        <w:t xml:space="preserve"> </w:t>
      </w:r>
      <w:r>
        <w:t>and the ‘under-mastering’ in the sum of $50-00. It was suggested by Appellant’s</w:t>
      </w:r>
      <w:r>
        <w:rPr>
          <w:spacing w:val="1"/>
        </w:rPr>
        <w:t xml:space="preserve"> </w:t>
      </w:r>
      <w:r>
        <w:t>Counsel that this was how Respondent was scheming to prejudice the Appellant.</w:t>
      </w:r>
      <w:r>
        <w:rPr>
          <w:spacing w:val="1"/>
        </w:rPr>
        <w:t xml:space="preserve"> </w:t>
      </w:r>
      <w:r>
        <w:t>However the averment is not logical. Why would Respondent ‘cook the books’ which</w:t>
      </w:r>
      <w:r>
        <w:rPr>
          <w:spacing w:val="1"/>
        </w:rPr>
        <w:t xml:space="preserve"> </w:t>
      </w:r>
      <w:r>
        <w:t>would show that more money had been ‘received’ when this was not the position? In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scenario, he</w:t>
      </w:r>
      <w:r>
        <w:rPr>
          <w:spacing w:val="-1"/>
        </w:rPr>
        <w:t xml:space="preserve"> </w:t>
      </w:r>
      <w:r>
        <w:t>would b</w:t>
      </w:r>
      <w:r>
        <w:t>e</w:t>
      </w:r>
      <w:r>
        <w:rPr>
          <w:spacing w:val="-3"/>
        </w:rPr>
        <w:t xml:space="preserve"> </w:t>
      </w:r>
      <w:r>
        <w:t>obliged to</w:t>
      </w:r>
      <w:r>
        <w:rPr>
          <w:spacing w:val="-3"/>
        </w:rPr>
        <w:t xml:space="preserve"> </w:t>
      </w:r>
      <w:r>
        <w:t>make good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difference!</w:t>
      </w:r>
    </w:p>
    <w:p w14:paraId="0E560F39" w14:textId="77777777" w:rsidR="00E175F1" w:rsidRDefault="002C0621">
      <w:pPr>
        <w:pStyle w:val="BodyText"/>
        <w:spacing w:before="199" w:line="360" w:lineRule="auto"/>
        <w:ind w:left="100" w:right="118"/>
        <w:jc w:val="both"/>
      </w:pP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scenario,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shows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following.</w:t>
      </w:r>
      <w:r>
        <w:rPr>
          <w:spacing w:val="1"/>
        </w:rPr>
        <w:t xml:space="preserve"> </w:t>
      </w:r>
      <w:r>
        <w:t>Firstly,</w:t>
      </w:r>
      <w:r>
        <w:rPr>
          <w:spacing w:val="1"/>
        </w:rPr>
        <w:t xml:space="preserve"> </w:t>
      </w:r>
      <w:r>
        <w:t>Respondent</w:t>
      </w:r>
      <w:r>
        <w:rPr>
          <w:spacing w:val="1"/>
        </w:rPr>
        <w:t xml:space="preserve"> </w:t>
      </w:r>
      <w:r>
        <w:t>produced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Ecocash</w:t>
      </w:r>
      <w:r>
        <w:rPr>
          <w:spacing w:val="-10"/>
        </w:rPr>
        <w:t xml:space="preserve"> </w:t>
      </w:r>
      <w:r>
        <w:t>biller</w:t>
      </w:r>
      <w:r>
        <w:rPr>
          <w:spacing w:val="-7"/>
        </w:rPr>
        <w:t xml:space="preserve"> </w:t>
      </w:r>
      <w:r>
        <w:t>code</w:t>
      </w:r>
      <w:r>
        <w:rPr>
          <w:spacing w:val="-7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showed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money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receipted</w:t>
      </w:r>
      <w:r>
        <w:rPr>
          <w:spacing w:val="-64"/>
        </w:rPr>
        <w:t xml:space="preserve"> </w:t>
      </w:r>
      <w:r>
        <w:t>was in the account. Secondly, Appellant was unable to state how the Respondent</w:t>
      </w:r>
      <w:r>
        <w:rPr>
          <w:spacing w:val="1"/>
        </w:rPr>
        <w:t xml:space="preserve"> </w:t>
      </w:r>
      <w:r>
        <w:t xml:space="preserve">would access the amounts in the account. In fact </w:t>
      </w:r>
      <w:r>
        <w:rPr>
          <w:rFonts w:ascii="Arial"/>
          <w:i/>
        </w:rPr>
        <w:t xml:space="preserve">Mr. Mutasa </w:t>
      </w:r>
      <w:r>
        <w:t>made the following</w:t>
      </w:r>
      <w:r>
        <w:rPr>
          <w:spacing w:val="1"/>
        </w:rPr>
        <w:t xml:space="preserve"> </w:t>
      </w:r>
      <w:r>
        <w:t>submission:</w:t>
      </w:r>
    </w:p>
    <w:p w14:paraId="1692BF92" w14:textId="77777777" w:rsidR="00E175F1" w:rsidRDefault="002C0621">
      <w:pPr>
        <w:pStyle w:val="BodyText"/>
        <w:spacing w:before="199" w:line="360" w:lineRule="auto"/>
        <w:ind w:left="820" w:right="116"/>
        <w:jc w:val="both"/>
      </w:pPr>
      <w:r>
        <w:t>“</w:t>
      </w:r>
      <w:r>
        <w:rPr>
          <w:rFonts w:ascii="Arial" w:hAnsi="Arial"/>
          <w:b/>
        </w:rPr>
        <w:t xml:space="preserve">It is based on speculation, </w:t>
      </w:r>
      <w:r>
        <w:t>it will really be presupposed that because of this</w:t>
      </w:r>
      <w:r>
        <w:rPr>
          <w:spacing w:val="1"/>
        </w:rPr>
        <w:t xml:space="preserve"> </w:t>
      </w:r>
      <w:r>
        <w:t>you have done ABC. I am not able to speculate as to how the enterprise was</w:t>
      </w:r>
      <w:r>
        <w:rPr>
          <w:spacing w:val="1"/>
        </w:rPr>
        <w:t xml:space="preserve"> </w:t>
      </w:r>
      <w:r>
        <w:t>going to be unfolding. The material advantage does not have to materialize as</w:t>
      </w:r>
      <w:r>
        <w:rPr>
          <w:spacing w:val="-64"/>
        </w:rPr>
        <w:t xml:space="preserve"> </w:t>
      </w:r>
      <w:r>
        <w:t>long as it can be shown that the intention was to gain material gain then it can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read in</w:t>
      </w:r>
      <w:r>
        <w:rPr>
          <w:spacing w:val="-2"/>
        </w:rPr>
        <w:t xml:space="preserve"> </w:t>
      </w:r>
      <w:r>
        <w:t>that context.”</w:t>
      </w:r>
    </w:p>
    <w:p w14:paraId="16CC10EB" w14:textId="77777777" w:rsidR="00E175F1" w:rsidRDefault="002C0621">
      <w:pPr>
        <w:pStyle w:val="BodyText"/>
        <w:spacing w:before="201"/>
        <w:ind w:left="100"/>
        <w:jc w:val="both"/>
      </w:pPr>
      <w:r>
        <w:t>The</w:t>
      </w:r>
      <w:r>
        <w:rPr>
          <w:spacing w:val="-3"/>
        </w:rPr>
        <w:t xml:space="preserve"> </w:t>
      </w:r>
      <w:r>
        <w:t>Chairperson</w:t>
      </w:r>
      <w:r>
        <w:rPr>
          <w:spacing w:val="-3"/>
        </w:rPr>
        <w:t xml:space="preserve"> </w:t>
      </w:r>
      <w:r>
        <w:t>of the</w:t>
      </w:r>
      <w:r>
        <w:rPr>
          <w:spacing w:val="-5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remarked</w:t>
      </w:r>
      <w:r>
        <w:rPr>
          <w:spacing w:val="-2"/>
        </w:rPr>
        <w:t xml:space="preserve"> </w:t>
      </w:r>
      <w:r>
        <w:t>thus:</w:t>
      </w:r>
    </w:p>
    <w:p w14:paraId="2DB1C8C9" w14:textId="77777777" w:rsidR="00E175F1" w:rsidRDefault="00E175F1">
      <w:pPr>
        <w:pStyle w:val="BodyText"/>
        <w:spacing w:before="3"/>
        <w:rPr>
          <w:sz w:val="29"/>
        </w:rPr>
      </w:pPr>
    </w:p>
    <w:p w14:paraId="18709074" w14:textId="77777777" w:rsidR="00E175F1" w:rsidRDefault="002C0621">
      <w:pPr>
        <w:spacing w:line="362" w:lineRule="auto"/>
        <w:ind w:left="820" w:right="114"/>
        <w:jc w:val="both"/>
        <w:rPr>
          <w:sz w:val="24"/>
        </w:rPr>
      </w:pPr>
      <w:r>
        <w:rPr>
          <w:sz w:val="24"/>
        </w:rPr>
        <w:t>“</w:t>
      </w:r>
      <w:r>
        <w:rPr>
          <w:rFonts w:ascii="Arial" w:hAnsi="Arial"/>
          <w:i/>
          <w:sz w:val="24"/>
        </w:rPr>
        <w:t xml:space="preserve">The code is clearly worded there has to be material advantage/gain. </w:t>
      </w:r>
      <w:r>
        <w:rPr>
          <w:sz w:val="24"/>
        </w:rPr>
        <w:t>It could</w:t>
      </w:r>
      <w:r>
        <w:rPr>
          <w:spacing w:val="1"/>
          <w:sz w:val="24"/>
        </w:rPr>
        <w:t xml:space="preserve"> </w:t>
      </w:r>
      <w:r>
        <w:rPr>
          <w:sz w:val="24"/>
        </w:rPr>
        <w:t>qualify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fraud if</w:t>
      </w:r>
      <w:r>
        <w:rPr>
          <w:spacing w:val="-1"/>
          <w:sz w:val="24"/>
        </w:rPr>
        <w:t xml:space="preserve"> </w:t>
      </w:r>
      <w:r>
        <w:rPr>
          <w:sz w:val="24"/>
        </w:rPr>
        <w:t>at the</w:t>
      </w:r>
      <w:r>
        <w:rPr>
          <w:spacing w:val="-1"/>
          <w:sz w:val="24"/>
        </w:rPr>
        <w:t xml:space="preserve"> </w:t>
      </w:r>
      <w:r>
        <w:rPr>
          <w:sz w:val="24"/>
        </w:rPr>
        <w:t>end of</w:t>
      </w:r>
      <w:r>
        <w:rPr>
          <w:spacing w:val="-1"/>
          <w:sz w:val="24"/>
        </w:rPr>
        <w:t xml:space="preserve"> </w:t>
      </w:r>
      <w:r>
        <w:rPr>
          <w:sz w:val="24"/>
        </w:rPr>
        <w:t>the day</w:t>
      </w:r>
      <w:r>
        <w:rPr>
          <w:spacing w:val="-4"/>
          <w:sz w:val="24"/>
        </w:rPr>
        <w:t xml:space="preserve"> </w:t>
      </w:r>
      <w:r>
        <w:rPr>
          <w:sz w:val="24"/>
        </w:rPr>
        <w:t>there is</w:t>
      </w:r>
      <w:r>
        <w:rPr>
          <w:spacing w:val="-1"/>
          <w:sz w:val="24"/>
        </w:rPr>
        <w:t xml:space="preserve"> </w:t>
      </w:r>
      <w:r>
        <w:rPr>
          <w:sz w:val="24"/>
        </w:rPr>
        <w:t>financial</w:t>
      </w:r>
      <w:r>
        <w:rPr>
          <w:spacing w:val="-2"/>
          <w:sz w:val="24"/>
        </w:rPr>
        <w:t xml:space="preserve"> </w:t>
      </w:r>
      <w:r>
        <w:rPr>
          <w:sz w:val="24"/>
        </w:rPr>
        <w:t>gain.”</w:t>
      </w:r>
    </w:p>
    <w:p w14:paraId="316265EB" w14:textId="77777777" w:rsidR="00E175F1" w:rsidRDefault="00E175F1">
      <w:pPr>
        <w:spacing w:line="362" w:lineRule="auto"/>
        <w:jc w:val="both"/>
        <w:rPr>
          <w:sz w:val="24"/>
        </w:rPr>
        <w:sectPr w:rsidR="00E175F1">
          <w:pgSz w:w="11910" w:h="16840"/>
          <w:pgMar w:top="1340" w:right="1320" w:bottom="1200" w:left="1340" w:header="0" w:footer="1002" w:gutter="0"/>
          <w:cols w:space="720"/>
        </w:sectPr>
      </w:pPr>
    </w:p>
    <w:p w14:paraId="26ECAF8E" w14:textId="77777777" w:rsidR="00E175F1" w:rsidRDefault="002C0621">
      <w:pPr>
        <w:spacing w:before="80" w:line="360" w:lineRule="auto"/>
        <w:ind w:left="100" w:right="116"/>
        <w:jc w:val="both"/>
        <w:rPr>
          <w:sz w:val="24"/>
        </w:rPr>
      </w:pPr>
      <w:r>
        <w:rPr>
          <w:sz w:val="24"/>
        </w:rPr>
        <w:lastRenderedPageBreak/>
        <w:t xml:space="preserve">In </w:t>
      </w:r>
      <w:r>
        <w:rPr>
          <w:rFonts w:ascii="Arial"/>
          <w:b/>
          <w:sz w:val="24"/>
        </w:rPr>
        <w:t xml:space="preserve">Shilling Mavumbuka Sibanda v Yambukai Holdings (Pvt) Ltd </w:t>
      </w:r>
      <w:r>
        <w:rPr>
          <w:sz w:val="24"/>
        </w:rPr>
        <w:t>HH 84/17, it was</w:t>
      </w:r>
      <w:r>
        <w:rPr>
          <w:spacing w:val="1"/>
          <w:sz w:val="24"/>
        </w:rPr>
        <w:t xml:space="preserve"> </w:t>
      </w:r>
      <w:r>
        <w:rPr>
          <w:sz w:val="24"/>
        </w:rPr>
        <w:t>held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follows:</w:t>
      </w:r>
    </w:p>
    <w:p w14:paraId="6117A37D" w14:textId="77777777" w:rsidR="00E175F1" w:rsidRDefault="002C0621">
      <w:pPr>
        <w:pStyle w:val="BodyText"/>
        <w:spacing w:before="199" w:line="360" w:lineRule="auto"/>
        <w:ind w:left="820" w:right="123"/>
        <w:jc w:val="both"/>
      </w:pPr>
      <w:r>
        <w:t>“It follows therefore that where a party makes bald assertions not backed by</w:t>
      </w:r>
      <w:r>
        <w:rPr>
          <w:spacing w:val="1"/>
        </w:rPr>
        <w:t xml:space="preserve"> </w:t>
      </w:r>
      <w:r>
        <w:t>evidence and the same are denied by the party against whom they are made,</w:t>
      </w:r>
      <w:r>
        <w:rPr>
          <w:spacing w:val="1"/>
        </w:rPr>
        <w:t xml:space="preserve"> </w:t>
      </w:r>
      <w:r>
        <w:t>such bald allegations cannot pass as having been proved on a balance of</w:t>
      </w:r>
      <w:r>
        <w:rPr>
          <w:spacing w:val="1"/>
        </w:rPr>
        <w:t xml:space="preserve"> </w:t>
      </w:r>
      <w:r>
        <w:t>probabilities. A party averring a fact should present evidence of that fact which</w:t>
      </w:r>
      <w:r>
        <w:rPr>
          <w:spacing w:val="-6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probative value.”</w:t>
      </w:r>
    </w:p>
    <w:p w14:paraId="62E7E87F" w14:textId="77777777" w:rsidR="00E175F1" w:rsidRDefault="002C0621">
      <w:pPr>
        <w:pStyle w:val="BodyText"/>
        <w:spacing w:before="201" w:line="360" w:lineRule="auto"/>
        <w:ind w:left="100" w:right="122"/>
        <w:jc w:val="both"/>
      </w:pPr>
      <w:r>
        <w:t>Appellant did not produce any iota of evidence showing that what Respondent had</w:t>
      </w:r>
      <w:r>
        <w:rPr>
          <w:spacing w:val="1"/>
        </w:rPr>
        <w:t xml:space="preserve"> </w:t>
      </w:r>
      <w:r>
        <w:t>done showed that he had an intention to access the money that had been deposited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biller</w:t>
      </w:r>
      <w:r>
        <w:rPr>
          <w:spacing w:val="-4"/>
        </w:rPr>
        <w:t xml:space="preserve"> </w:t>
      </w:r>
      <w:r>
        <w:t>code.</w:t>
      </w:r>
      <w:r>
        <w:rPr>
          <w:spacing w:val="-5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</w:t>
      </w:r>
      <w:r>
        <w:rPr>
          <w:spacing w:val="-65"/>
        </w:rPr>
        <w:t xml:space="preserve"> </w:t>
      </w:r>
      <w:r>
        <w:t>accessed any of the amounts he had receipted. The inescapable conclusion is that</w:t>
      </w:r>
      <w:r>
        <w:rPr>
          <w:spacing w:val="1"/>
        </w:rPr>
        <w:t xml:space="preserve"> </w:t>
      </w:r>
      <w:r>
        <w:t>Appellant only surmised that the ‘errors’ made by the Respondent could have been</w:t>
      </w:r>
      <w:r>
        <w:rPr>
          <w:spacing w:val="1"/>
        </w:rPr>
        <w:t xml:space="preserve"> </w:t>
      </w:r>
      <w:r>
        <w:t>made with fraudulent intentions. Alas, it all ended there, being the subject of surmise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conjecture.</w:t>
      </w:r>
    </w:p>
    <w:p w14:paraId="75CF342A" w14:textId="77777777" w:rsidR="00E175F1" w:rsidRDefault="002C0621">
      <w:pPr>
        <w:pStyle w:val="BodyText"/>
        <w:spacing w:before="201" w:line="360" w:lineRule="auto"/>
        <w:ind w:left="100" w:right="117"/>
        <w:jc w:val="both"/>
      </w:pPr>
      <w:r>
        <w:t>The issue of proof on a balance of probabilities has occupied the minds of many a</w:t>
      </w:r>
      <w:r>
        <w:rPr>
          <w:spacing w:val="1"/>
        </w:rPr>
        <w:t xml:space="preserve"> </w:t>
      </w:r>
      <w:r>
        <w:t>court</w:t>
      </w:r>
      <w:r>
        <w:rPr>
          <w:spacing w:val="-12"/>
        </w:rPr>
        <w:t xml:space="preserve"> </w:t>
      </w:r>
      <w:r>
        <w:t>since</w:t>
      </w:r>
      <w:r>
        <w:rPr>
          <w:spacing w:val="-13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immemorial.</w:t>
      </w:r>
      <w:r>
        <w:rPr>
          <w:spacing w:val="-13"/>
        </w:rPr>
        <w:t xml:space="preserve"> </w:t>
      </w:r>
      <w:r>
        <w:t>L.H.</w:t>
      </w:r>
      <w:r>
        <w:rPr>
          <w:spacing w:val="-13"/>
        </w:rPr>
        <w:t xml:space="preserve"> </w:t>
      </w:r>
      <w:r>
        <w:t>Hoffmann</w:t>
      </w:r>
      <w:r>
        <w:rPr>
          <w:spacing w:val="-15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D.T.</w:t>
      </w:r>
      <w:r>
        <w:rPr>
          <w:spacing w:val="-13"/>
        </w:rPr>
        <w:t xml:space="preserve"> </w:t>
      </w:r>
      <w:r>
        <w:t>Zeffert</w:t>
      </w:r>
      <w:r>
        <w:rPr>
          <w:spacing w:val="-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-13"/>
        </w:rPr>
        <w:t xml:space="preserve"> </w:t>
      </w:r>
      <w:r>
        <w:rPr>
          <w:rFonts w:ascii="Arial"/>
          <w:i/>
        </w:rPr>
        <w:t>South</w:t>
      </w:r>
      <w:r>
        <w:rPr>
          <w:rFonts w:ascii="Arial"/>
          <w:i/>
          <w:spacing w:val="-13"/>
        </w:rPr>
        <w:t xml:space="preserve"> </w:t>
      </w:r>
      <w:r>
        <w:rPr>
          <w:rFonts w:ascii="Arial"/>
          <w:i/>
        </w:rPr>
        <w:t>African</w:t>
      </w:r>
      <w:r>
        <w:rPr>
          <w:rFonts w:ascii="Arial"/>
          <w:i/>
          <w:spacing w:val="-12"/>
        </w:rPr>
        <w:t xml:space="preserve"> </w:t>
      </w:r>
      <w:r>
        <w:rPr>
          <w:rFonts w:ascii="Arial"/>
          <w:i/>
        </w:rPr>
        <w:t>Law</w:t>
      </w:r>
      <w:r>
        <w:rPr>
          <w:rFonts w:ascii="Arial"/>
          <w:i/>
          <w:spacing w:val="-65"/>
        </w:rPr>
        <w:t xml:space="preserve"> </w:t>
      </w:r>
      <w:r>
        <w:rPr>
          <w:rFonts w:ascii="Arial"/>
          <w:i/>
        </w:rPr>
        <w:t>of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Evidence,</w:t>
      </w:r>
      <w:r>
        <w:rPr>
          <w:rFonts w:ascii="Arial"/>
          <w:i/>
          <w:spacing w:val="1"/>
        </w:rPr>
        <w:t xml:space="preserve"> </w:t>
      </w:r>
      <w:r>
        <w:t>Fourth</w:t>
      </w:r>
      <w:r>
        <w:rPr>
          <w:spacing w:val="-1"/>
        </w:rPr>
        <w:t xml:space="preserve"> </w:t>
      </w:r>
      <w:r>
        <w:t>Edition</w:t>
      </w:r>
      <w:r>
        <w:rPr>
          <w:spacing w:val="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pages</w:t>
      </w:r>
      <w:r>
        <w:rPr>
          <w:spacing w:val="-3"/>
        </w:rPr>
        <w:t xml:space="preserve"> </w:t>
      </w:r>
      <w:r>
        <w:t>526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527</w:t>
      </w:r>
      <w:r>
        <w:rPr>
          <w:spacing w:val="3"/>
        </w:rPr>
        <w:t xml:space="preserve"> </w:t>
      </w:r>
      <w:r>
        <w:t>summarise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issue</w:t>
      </w:r>
      <w:r>
        <w:rPr>
          <w:spacing w:val="3"/>
        </w:rPr>
        <w:t xml:space="preserve"> </w:t>
      </w:r>
      <w:r>
        <w:t>thus:</w:t>
      </w:r>
    </w:p>
    <w:p w14:paraId="29111BE8" w14:textId="77777777" w:rsidR="00E175F1" w:rsidRDefault="002C0621">
      <w:pPr>
        <w:spacing w:before="201" w:line="360" w:lineRule="auto"/>
        <w:ind w:left="820" w:right="113"/>
        <w:jc w:val="both"/>
        <w:rPr>
          <w:rFonts w:ascii="Arial" w:hAnsi="Arial"/>
          <w:i/>
          <w:sz w:val="24"/>
        </w:rPr>
      </w:pPr>
      <w:r>
        <w:rPr>
          <w:sz w:val="24"/>
        </w:rPr>
        <w:t>“Courts often speak of a ‘balance’ of probabilities, but the metaphor must be</w:t>
      </w:r>
      <w:r>
        <w:rPr>
          <w:spacing w:val="1"/>
          <w:sz w:val="24"/>
        </w:rPr>
        <w:t xml:space="preserve"> </w:t>
      </w:r>
      <w:r>
        <w:rPr>
          <w:sz w:val="24"/>
        </w:rPr>
        <w:t>treated with care. The idea which this image conveys is that the party bearing</w:t>
      </w:r>
      <w:r>
        <w:rPr>
          <w:spacing w:val="1"/>
          <w:sz w:val="24"/>
        </w:rPr>
        <w:t xml:space="preserve"> </w:t>
      </w:r>
      <w:r>
        <w:rPr>
          <w:sz w:val="24"/>
        </w:rPr>
        <w:t>the onus has to put sufficient evidence into his pan of the balance to make it</w:t>
      </w:r>
      <w:r>
        <w:rPr>
          <w:spacing w:val="1"/>
          <w:sz w:val="24"/>
        </w:rPr>
        <w:t xml:space="preserve"> </w:t>
      </w:r>
      <w:r>
        <w:rPr>
          <w:sz w:val="24"/>
        </w:rPr>
        <w:t>outweigh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other.</w:t>
      </w:r>
      <w:r>
        <w:rPr>
          <w:spacing w:val="-6"/>
          <w:sz w:val="24"/>
        </w:rPr>
        <w:t xml:space="preserve"> </w:t>
      </w:r>
      <w:r>
        <w:rPr>
          <w:sz w:val="24"/>
        </w:rPr>
        <w:t>But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misleading.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party</w:t>
      </w:r>
      <w:r>
        <w:rPr>
          <w:spacing w:val="-6"/>
          <w:sz w:val="24"/>
        </w:rPr>
        <w:t xml:space="preserve"> </w:t>
      </w:r>
      <w:r>
        <w:rPr>
          <w:sz w:val="24"/>
        </w:rPr>
        <w:t>who</w:t>
      </w:r>
      <w:r>
        <w:rPr>
          <w:spacing w:val="-4"/>
          <w:sz w:val="24"/>
        </w:rPr>
        <w:t xml:space="preserve"> </w:t>
      </w:r>
      <w:r>
        <w:rPr>
          <w:sz w:val="24"/>
        </w:rPr>
        <w:t>bears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onus</w:t>
      </w:r>
      <w:r>
        <w:rPr>
          <w:spacing w:val="-64"/>
          <w:sz w:val="24"/>
        </w:rPr>
        <w:t xml:space="preserve"> </w:t>
      </w:r>
      <w:r>
        <w:rPr>
          <w:sz w:val="24"/>
        </w:rPr>
        <w:t>produces some slight evidence in his favour, and the other party none at all,</w:t>
      </w:r>
      <w:r>
        <w:rPr>
          <w:spacing w:val="1"/>
          <w:sz w:val="24"/>
        </w:rPr>
        <w:t xml:space="preserve"> </w:t>
      </w:r>
      <w:r>
        <w:rPr>
          <w:sz w:val="24"/>
        </w:rPr>
        <w:t>then</w:t>
      </w:r>
      <w:r>
        <w:rPr>
          <w:spacing w:val="-8"/>
          <w:sz w:val="24"/>
        </w:rPr>
        <w:t xml:space="preserve"> </w:t>
      </w:r>
      <w:r>
        <w:rPr>
          <w:sz w:val="24"/>
        </w:rPr>
        <w:t>metaphor</w:t>
      </w:r>
      <w:r>
        <w:rPr>
          <w:spacing w:val="-5"/>
          <w:sz w:val="24"/>
        </w:rPr>
        <w:t xml:space="preserve"> </w:t>
      </w:r>
      <w:r>
        <w:rPr>
          <w:sz w:val="24"/>
        </w:rPr>
        <w:t>suggests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his</w:t>
      </w:r>
      <w:r>
        <w:rPr>
          <w:spacing w:val="-5"/>
          <w:sz w:val="24"/>
        </w:rPr>
        <w:t xml:space="preserve"> </w:t>
      </w:r>
      <w:r>
        <w:rPr>
          <w:sz w:val="24"/>
        </w:rPr>
        <w:t>pan</w:t>
      </w:r>
      <w:r>
        <w:rPr>
          <w:spacing w:val="-6"/>
          <w:sz w:val="24"/>
        </w:rPr>
        <w:t xml:space="preserve"> </w:t>
      </w:r>
      <w:r>
        <w:rPr>
          <w:sz w:val="24"/>
        </w:rPr>
        <w:t>should</w:t>
      </w:r>
      <w:r>
        <w:rPr>
          <w:spacing w:val="-6"/>
          <w:sz w:val="24"/>
        </w:rPr>
        <w:t xml:space="preserve"> </w:t>
      </w:r>
      <w:r>
        <w:rPr>
          <w:sz w:val="24"/>
        </w:rPr>
        <w:t>go</w:t>
      </w:r>
      <w:r>
        <w:rPr>
          <w:spacing w:val="-4"/>
          <w:sz w:val="24"/>
        </w:rPr>
        <w:t xml:space="preserve"> </w:t>
      </w:r>
      <w:r>
        <w:rPr>
          <w:sz w:val="24"/>
        </w:rPr>
        <w:t>down.</w:t>
      </w:r>
      <w:r>
        <w:rPr>
          <w:spacing w:val="-4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But</w:t>
      </w:r>
      <w:r>
        <w:rPr>
          <w:rFonts w:ascii="Arial" w:hAnsi="Arial"/>
          <w:i/>
          <w:spacing w:val="-4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in</w:t>
      </w:r>
      <w:r>
        <w:rPr>
          <w:rFonts w:ascii="Arial" w:hAnsi="Arial"/>
          <w:i/>
          <w:spacing w:val="-6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fact</w:t>
      </w:r>
      <w:r>
        <w:rPr>
          <w:rFonts w:ascii="Arial" w:hAnsi="Arial"/>
          <w:i/>
          <w:spacing w:val="-3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the</w:t>
      </w:r>
      <w:r>
        <w:rPr>
          <w:rFonts w:ascii="Arial" w:hAnsi="Arial"/>
          <w:i/>
          <w:spacing w:val="-8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court</w:t>
      </w:r>
      <w:r>
        <w:rPr>
          <w:rFonts w:ascii="Arial" w:hAnsi="Arial"/>
          <w:i/>
          <w:spacing w:val="-5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may</w:t>
      </w:r>
      <w:r>
        <w:rPr>
          <w:rFonts w:ascii="Arial" w:hAnsi="Arial"/>
          <w:i/>
          <w:spacing w:val="-65"/>
          <w:sz w:val="24"/>
        </w:rPr>
        <w:t xml:space="preserve"> </w:t>
      </w:r>
      <w:r>
        <w:rPr>
          <w:rFonts w:ascii="Arial" w:hAnsi="Arial"/>
          <w:i/>
          <w:sz w:val="24"/>
          <w:u w:val="single"/>
        </w:rPr>
        <w:t>feel that the evidence is not sufficient to enable it to say that either party’s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  <w:u w:val="single"/>
        </w:rPr>
        <w:t>version is the more probable. It may even find that the contentions of the party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  <w:u w:val="single"/>
        </w:rPr>
        <w:t>who has produced no evidence are more probable, for example, when slight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  <w:u w:val="single"/>
        </w:rPr>
        <w:t>evidence suggesting the commission of a dishonest act is not enough to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  <w:u w:val="single"/>
        </w:rPr>
        <w:t>overcome the inherent improbability that the person in question would have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  <w:u w:val="single"/>
        </w:rPr>
        <w:t>done</w:t>
      </w:r>
      <w:r>
        <w:rPr>
          <w:rFonts w:ascii="Arial" w:hAnsi="Arial"/>
          <w:i/>
          <w:spacing w:val="-13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such</w:t>
      </w:r>
      <w:r>
        <w:rPr>
          <w:rFonts w:ascii="Arial" w:hAnsi="Arial"/>
          <w:i/>
          <w:spacing w:val="-15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a</w:t>
      </w:r>
      <w:r>
        <w:rPr>
          <w:rFonts w:ascii="Arial" w:hAnsi="Arial"/>
          <w:i/>
          <w:spacing w:val="-12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thing.</w:t>
      </w:r>
      <w:r>
        <w:rPr>
          <w:rFonts w:ascii="Arial" w:hAnsi="Arial"/>
          <w:i/>
          <w:spacing w:val="-14"/>
          <w:sz w:val="24"/>
        </w:rPr>
        <w:t xml:space="preserve"> </w:t>
      </w:r>
      <w:r>
        <w:rPr>
          <w:sz w:val="24"/>
        </w:rPr>
        <w:t>Thus</w:t>
      </w:r>
      <w:r>
        <w:rPr>
          <w:spacing w:val="-13"/>
          <w:sz w:val="24"/>
        </w:rPr>
        <w:t xml:space="preserve"> </w:t>
      </w:r>
      <w:r>
        <w:rPr>
          <w:sz w:val="24"/>
        </w:rPr>
        <w:t>courts</w:t>
      </w:r>
      <w:r>
        <w:rPr>
          <w:spacing w:val="-14"/>
          <w:sz w:val="24"/>
        </w:rPr>
        <w:t xml:space="preserve"> </w:t>
      </w:r>
      <w:r>
        <w:rPr>
          <w:sz w:val="24"/>
        </w:rPr>
        <w:t>have</w:t>
      </w:r>
      <w:r>
        <w:rPr>
          <w:spacing w:val="-12"/>
          <w:sz w:val="24"/>
        </w:rPr>
        <w:t xml:space="preserve"> </w:t>
      </w:r>
      <w:r>
        <w:rPr>
          <w:sz w:val="24"/>
        </w:rPr>
        <w:t>occasionally</w:t>
      </w:r>
      <w:r>
        <w:rPr>
          <w:spacing w:val="-16"/>
          <w:sz w:val="24"/>
        </w:rPr>
        <w:t xml:space="preserve"> </w:t>
      </w:r>
      <w:r>
        <w:rPr>
          <w:sz w:val="24"/>
        </w:rPr>
        <w:t>had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point</w:t>
      </w:r>
      <w:r>
        <w:rPr>
          <w:spacing w:val="-16"/>
          <w:sz w:val="24"/>
        </w:rPr>
        <w:t xml:space="preserve"> </w:t>
      </w:r>
      <w:r>
        <w:rPr>
          <w:sz w:val="24"/>
        </w:rPr>
        <w:t>out</w:t>
      </w:r>
      <w:r>
        <w:rPr>
          <w:spacing w:val="-15"/>
          <w:sz w:val="24"/>
        </w:rPr>
        <w:t xml:space="preserve"> </w:t>
      </w:r>
      <w:r>
        <w:rPr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z w:val="24"/>
        </w:rPr>
        <w:t>evidence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does not have to be accepted merely because it is uncontradicted. </w:t>
      </w:r>
      <w:r>
        <w:rPr>
          <w:rFonts w:ascii="Arial" w:hAnsi="Arial"/>
          <w:i/>
          <w:sz w:val="24"/>
        </w:rPr>
        <w:t>What is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being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weighed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in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balance’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z w:val="24"/>
        </w:rPr>
        <w:t>is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not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quantities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evidence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but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probabilities</w:t>
      </w:r>
      <w:r>
        <w:rPr>
          <w:rFonts w:ascii="Arial" w:hAnsi="Arial"/>
          <w:i/>
          <w:spacing w:val="-65"/>
          <w:sz w:val="24"/>
        </w:rPr>
        <w:t xml:space="preserve"> </w:t>
      </w:r>
      <w:r>
        <w:rPr>
          <w:rFonts w:ascii="Arial" w:hAnsi="Arial"/>
          <w:i/>
          <w:sz w:val="24"/>
        </w:rPr>
        <w:t>arising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from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that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evidence and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all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circumstances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case.”</w:t>
      </w:r>
    </w:p>
    <w:p w14:paraId="10685572" w14:textId="77777777" w:rsidR="00E175F1" w:rsidRDefault="00E175F1">
      <w:pPr>
        <w:spacing w:line="360" w:lineRule="auto"/>
        <w:jc w:val="both"/>
        <w:rPr>
          <w:rFonts w:ascii="Arial" w:hAnsi="Arial"/>
          <w:sz w:val="24"/>
        </w:rPr>
        <w:sectPr w:rsidR="00E175F1">
          <w:pgSz w:w="11910" w:h="16840"/>
          <w:pgMar w:top="1340" w:right="1320" w:bottom="1200" w:left="1340" w:header="0" w:footer="1002" w:gutter="0"/>
          <w:cols w:space="720"/>
        </w:sectPr>
      </w:pPr>
    </w:p>
    <w:p w14:paraId="0DA2B8CE" w14:textId="77777777" w:rsidR="00E175F1" w:rsidRDefault="002C0621">
      <w:pPr>
        <w:pStyle w:val="BodyText"/>
        <w:spacing w:before="80" w:line="360" w:lineRule="auto"/>
        <w:ind w:left="100" w:right="116"/>
        <w:jc w:val="both"/>
      </w:pPr>
      <w:r>
        <w:lastRenderedPageBreak/>
        <w:t>Having regard to the pleadings filed by the Appellant, it is evident that no evidence of</w:t>
      </w:r>
      <w:r>
        <w:rPr>
          <w:spacing w:val="-64"/>
        </w:rPr>
        <w:t xml:space="preserve"> </w:t>
      </w:r>
      <w:r>
        <w:t>a fraudulent misrepresentation was made. The Respondent wrote figures which were</w:t>
      </w:r>
      <w:r>
        <w:rPr>
          <w:spacing w:val="-64"/>
        </w:rPr>
        <w:t xml:space="preserve"> </w:t>
      </w:r>
      <w:r>
        <w:t>different from the amounts actually banked. However the correct amounts were</w:t>
      </w:r>
      <w:r>
        <w:rPr>
          <w:spacing w:val="1"/>
        </w:rPr>
        <w:t xml:space="preserve"> </w:t>
      </w:r>
      <w:r>
        <w:t>banked in the Ecocash biller code. It is generally accepted that fraud, simply, is a</w:t>
      </w:r>
      <w:r>
        <w:rPr>
          <w:spacing w:val="1"/>
        </w:rPr>
        <w:t xml:space="preserve"> </w:t>
      </w:r>
      <w:r>
        <w:rPr>
          <w:spacing w:val="-1"/>
        </w:rPr>
        <w:t>misrepresentation</w:t>
      </w:r>
      <w:r>
        <w:rPr>
          <w:spacing w:val="-14"/>
        </w:rPr>
        <w:t xml:space="preserve"> </w:t>
      </w:r>
      <w:r>
        <w:rPr>
          <w:spacing w:val="-1"/>
        </w:rPr>
        <w:t>made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another</w:t>
      </w:r>
      <w:r>
        <w:rPr>
          <w:spacing w:val="-14"/>
        </w:rPr>
        <w:t xml:space="preserve"> </w:t>
      </w:r>
      <w:r>
        <w:t>resulting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either</w:t>
      </w:r>
      <w:r>
        <w:rPr>
          <w:spacing w:val="-15"/>
        </w:rPr>
        <w:t xml:space="preserve"> </w:t>
      </w:r>
      <w:r>
        <w:t>potential</w:t>
      </w:r>
      <w:r>
        <w:rPr>
          <w:spacing w:val="-16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actual</w:t>
      </w:r>
      <w:r>
        <w:rPr>
          <w:spacing w:val="-13"/>
        </w:rPr>
        <w:t xml:space="preserve"> </w:t>
      </w:r>
      <w:r>
        <w:t>prejudice.</w:t>
      </w:r>
      <w:r>
        <w:rPr>
          <w:spacing w:val="-17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second</w:t>
      </w:r>
      <w:r>
        <w:rPr>
          <w:spacing w:val="-6"/>
        </w:rPr>
        <w:t xml:space="preserve"> </w:t>
      </w:r>
      <w:r>
        <w:t>ground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appeal</w:t>
      </w:r>
      <w:r>
        <w:rPr>
          <w:spacing w:val="-7"/>
        </w:rPr>
        <w:t xml:space="preserve"> </w:t>
      </w:r>
      <w:r>
        <w:t>hinges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first</w:t>
      </w:r>
      <w:r>
        <w:rPr>
          <w:spacing w:val="-6"/>
        </w:rPr>
        <w:t xml:space="preserve"> </w:t>
      </w:r>
      <w:r>
        <w:t>ground.</w:t>
      </w:r>
      <w:r>
        <w:rPr>
          <w:spacing w:val="-8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misdirection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 the Committee.</w:t>
      </w:r>
    </w:p>
    <w:p w14:paraId="369867C4" w14:textId="77777777" w:rsidR="00E175F1" w:rsidRDefault="002C0621">
      <w:pPr>
        <w:pStyle w:val="BodyText"/>
        <w:spacing w:before="200" w:line="535" w:lineRule="auto"/>
        <w:ind w:left="100" w:right="4170"/>
        <w:jc w:val="both"/>
      </w:pPr>
      <w:r>
        <w:t>In the result, the appeal ought to be dismissed.</w:t>
      </w:r>
      <w:r>
        <w:rPr>
          <w:spacing w:val="-6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 therefore</w:t>
      </w:r>
      <w:r>
        <w:rPr>
          <w:spacing w:val="-3"/>
        </w:rPr>
        <w:t xml:space="preserve"> </w:t>
      </w:r>
      <w:r>
        <w:t>ordered that:</w:t>
      </w:r>
    </w:p>
    <w:p w14:paraId="0FD19522" w14:textId="77777777" w:rsidR="00E175F1" w:rsidRDefault="002C0621">
      <w:pPr>
        <w:pStyle w:val="ListParagraph"/>
        <w:numPr>
          <w:ilvl w:val="0"/>
          <w:numId w:val="1"/>
        </w:numPr>
        <w:tabs>
          <w:tab w:val="left" w:pos="821"/>
        </w:tabs>
        <w:spacing w:line="272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appeal is</w:t>
      </w:r>
      <w:r>
        <w:rPr>
          <w:spacing w:val="-1"/>
          <w:sz w:val="24"/>
        </w:rPr>
        <w:t xml:space="preserve"> </w:t>
      </w:r>
      <w:r>
        <w:rPr>
          <w:sz w:val="24"/>
        </w:rPr>
        <w:t>hereby</w:t>
      </w:r>
      <w:r>
        <w:rPr>
          <w:spacing w:val="-5"/>
          <w:sz w:val="24"/>
        </w:rPr>
        <w:t xml:space="preserve"> </w:t>
      </w:r>
      <w:r>
        <w:rPr>
          <w:sz w:val="24"/>
        </w:rPr>
        <w:t>dismissed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lack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merit.</w:t>
      </w:r>
    </w:p>
    <w:p w14:paraId="76530567" w14:textId="77777777" w:rsidR="00E175F1" w:rsidRDefault="002C0621">
      <w:pPr>
        <w:pStyle w:val="ListParagraph"/>
        <w:numPr>
          <w:ilvl w:val="0"/>
          <w:numId w:val="1"/>
        </w:numPr>
        <w:tabs>
          <w:tab w:val="left" w:pos="821"/>
        </w:tabs>
        <w:spacing w:before="140" w:line="360" w:lineRule="auto"/>
        <w:ind w:right="115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decision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Exemptions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Committee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National</w:t>
      </w:r>
      <w:r>
        <w:rPr>
          <w:spacing w:val="-15"/>
          <w:sz w:val="24"/>
        </w:rPr>
        <w:t xml:space="preserve"> </w:t>
      </w:r>
      <w:r>
        <w:rPr>
          <w:sz w:val="24"/>
        </w:rPr>
        <w:t>Employment</w:t>
      </w:r>
      <w:r>
        <w:rPr>
          <w:spacing w:val="-13"/>
          <w:sz w:val="24"/>
        </w:rPr>
        <w:t xml:space="preserve"> </w:t>
      </w:r>
      <w:r>
        <w:rPr>
          <w:sz w:val="24"/>
        </w:rPr>
        <w:t>Council</w:t>
      </w:r>
      <w:r>
        <w:rPr>
          <w:spacing w:val="-64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Rural District Councils</w:t>
      </w:r>
      <w:r>
        <w:rPr>
          <w:spacing w:val="2"/>
          <w:sz w:val="24"/>
        </w:rPr>
        <w:t xml:space="preserve"> </w:t>
      </w:r>
      <w:r>
        <w:rPr>
          <w:sz w:val="24"/>
        </w:rPr>
        <w:t>is hereby</w:t>
      </w:r>
      <w:r>
        <w:rPr>
          <w:spacing w:val="-3"/>
          <w:sz w:val="24"/>
        </w:rPr>
        <w:t xml:space="preserve"> </w:t>
      </w:r>
      <w:r>
        <w:rPr>
          <w:sz w:val="24"/>
        </w:rPr>
        <w:t>upheld.</w:t>
      </w:r>
    </w:p>
    <w:p w14:paraId="6A032844" w14:textId="77777777" w:rsidR="00E175F1" w:rsidRDefault="002C0621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Appellant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meet</w:t>
      </w:r>
      <w:r>
        <w:rPr>
          <w:spacing w:val="-3"/>
          <w:sz w:val="24"/>
        </w:rPr>
        <w:t xml:space="preserve"> </w:t>
      </w:r>
      <w:r>
        <w:rPr>
          <w:sz w:val="24"/>
        </w:rPr>
        <w:t>Respondent’s</w:t>
      </w:r>
      <w:r>
        <w:rPr>
          <w:spacing w:val="-3"/>
          <w:sz w:val="24"/>
        </w:rPr>
        <w:t xml:space="preserve"> </w:t>
      </w:r>
      <w:r>
        <w:rPr>
          <w:sz w:val="24"/>
        </w:rPr>
        <w:t>costs.</w:t>
      </w:r>
    </w:p>
    <w:p w14:paraId="162CAF9E" w14:textId="77777777" w:rsidR="00E175F1" w:rsidRDefault="00E175F1">
      <w:pPr>
        <w:pStyle w:val="BodyText"/>
        <w:rPr>
          <w:sz w:val="26"/>
        </w:rPr>
      </w:pPr>
    </w:p>
    <w:p w14:paraId="4B59FDFD" w14:textId="77777777" w:rsidR="00E175F1" w:rsidRDefault="00E175F1">
      <w:pPr>
        <w:pStyle w:val="BodyText"/>
        <w:rPr>
          <w:sz w:val="26"/>
        </w:rPr>
      </w:pPr>
    </w:p>
    <w:p w14:paraId="5671B896" w14:textId="77777777" w:rsidR="00E175F1" w:rsidRDefault="00E175F1">
      <w:pPr>
        <w:pStyle w:val="BodyText"/>
        <w:rPr>
          <w:sz w:val="26"/>
        </w:rPr>
      </w:pPr>
    </w:p>
    <w:p w14:paraId="63C33EFD" w14:textId="77777777" w:rsidR="00E175F1" w:rsidRDefault="00E175F1">
      <w:pPr>
        <w:pStyle w:val="BodyText"/>
        <w:rPr>
          <w:sz w:val="26"/>
        </w:rPr>
      </w:pPr>
    </w:p>
    <w:p w14:paraId="54544A59" w14:textId="77777777" w:rsidR="00E175F1" w:rsidRDefault="00E175F1">
      <w:pPr>
        <w:pStyle w:val="BodyText"/>
        <w:rPr>
          <w:sz w:val="26"/>
        </w:rPr>
      </w:pPr>
    </w:p>
    <w:p w14:paraId="40B51B63" w14:textId="77777777" w:rsidR="00E175F1" w:rsidRDefault="00E175F1">
      <w:pPr>
        <w:pStyle w:val="BodyText"/>
        <w:rPr>
          <w:sz w:val="26"/>
        </w:rPr>
      </w:pPr>
    </w:p>
    <w:p w14:paraId="7EE883BF" w14:textId="77777777" w:rsidR="00E175F1" w:rsidRDefault="00E175F1">
      <w:pPr>
        <w:pStyle w:val="BodyText"/>
        <w:spacing w:before="6"/>
        <w:rPr>
          <w:sz w:val="33"/>
        </w:rPr>
      </w:pPr>
    </w:p>
    <w:p w14:paraId="39132DF9" w14:textId="77777777" w:rsidR="00E175F1" w:rsidRDefault="002C0621">
      <w:pPr>
        <w:pStyle w:val="BodyText"/>
        <w:tabs>
          <w:tab w:val="left" w:pos="3700"/>
        </w:tabs>
        <w:spacing w:line="535" w:lineRule="auto"/>
        <w:ind w:left="100" w:right="2060"/>
      </w:pPr>
      <w:r>
        <w:t>Gill,</w:t>
      </w:r>
      <w:r>
        <w:rPr>
          <w:spacing w:val="-1"/>
        </w:rPr>
        <w:t xml:space="preserve"> </w:t>
      </w:r>
      <w:r>
        <w:t>Godlonton</w:t>
      </w:r>
      <w:r>
        <w:rPr>
          <w:spacing w:val="-2"/>
        </w:rPr>
        <w:t xml:space="preserve"> </w:t>
      </w:r>
      <w:r>
        <w:t>&amp; Gerrans-</w:t>
      </w:r>
      <w:r>
        <w:tab/>
        <w:t>Appellant’s legal practitioners</w:t>
      </w:r>
      <w:r>
        <w:rPr>
          <w:spacing w:val="1"/>
        </w:rPr>
        <w:t xml:space="preserve"> </w:t>
      </w:r>
      <w:r>
        <w:t>Lawman</w:t>
      </w:r>
      <w:r>
        <w:rPr>
          <w:spacing w:val="-2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Chambers-</w:t>
      </w:r>
      <w:r>
        <w:tab/>
        <w:t>Respondent’s</w:t>
      </w:r>
      <w:r>
        <w:rPr>
          <w:spacing w:val="-5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practitioners.</w:t>
      </w:r>
    </w:p>
    <w:sectPr w:rsidR="00E175F1">
      <w:pgSz w:w="11910" w:h="16840"/>
      <w:pgMar w:top="1340" w:right="1320" w:bottom="1200" w:left="134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5251F" w14:textId="77777777" w:rsidR="002C0621" w:rsidRDefault="002C0621">
      <w:r>
        <w:separator/>
      </w:r>
    </w:p>
  </w:endnote>
  <w:endnote w:type="continuationSeparator" w:id="0">
    <w:p w14:paraId="61941E02" w14:textId="77777777" w:rsidR="002C0621" w:rsidRDefault="002C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1C838" w14:textId="3C61C942" w:rsidR="00E175F1" w:rsidRDefault="002C062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FDBF72" wp14:editId="03C1C9A7">
              <wp:simplePos x="0" y="0"/>
              <wp:positionH relativeFrom="page">
                <wp:posOffset>3707130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30152971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A65626" w14:textId="77777777" w:rsidR="00E175F1" w:rsidRDefault="002C062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DBF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aXK7M+EAAAANAQAADwAAAAAAAAAAAAAAAAAvBAAAZHJzL2Rvd25yZXYueG1sUEsFBgAAAAAEAAQA&#10;8wAAAD0FAAAAAA==&#10;" filled="f" stroked="f">
              <v:textbox inset="0,0,0,0">
                <w:txbxContent>
                  <w:p w14:paraId="56A65626" w14:textId="77777777" w:rsidR="00E175F1" w:rsidRDefault="002C062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F5301" w14:textId="77777777" w:rsidR="002C0621" w:rsidRDefault="002C0621">
      <w:r>
        <w:separator/>
      </w:r>
    </w:p>
  </w:footnote>
  <w:footnote w:type="continuationSeparator" w:id="0">
    <w:p w14:paraId="4019E19E" w14:textId="77777777" w:rsidR="002C0621" w:rsidRDefault="002C0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96B50"/>
    <w:multiLevelType w:val="hybridMultilevel"/>
    <w:tmpl w:val="4CACDBB4"/>
    <w:lvl w:ilvl="0" w:tplc="0EBA67AC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ADEA6422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DFA678EA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0E867440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201895A2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0644B338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0FDA7728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B4E0AB22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B02AC5A4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582305F"/>
    <w:multiLevelType w:val="hybridMultilevel"/>
    <w:tmpl w:val="C35ADD94"/>
    <w:lvl w:ilvl="0" w:tplc="2F3C922E">
      <w:start w:val="1"/>
      <w:numFmt w:val="decimal"/>
      <w:lvlText w:val="%1."/>
      <w:lvlJc w:val="left"/>
      <w:pPr>
        <w:ind w:left="820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839C90B0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48A8C9DC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734CB8F8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AA6A3888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2EAE3AD8">
      <w:numFmt w:val="bullet"/>
      <w:lvlText w:val="•"/>
      <w:lvlJc w:val="left"/>
      <w:pPr>
        <w:ind w:left="5033" w:hanging="360"/>
      </w:pPr>
      <w:rPr>
        <w:rFonts w:hint="default"/>
        <w:lang w:val="en-US" w:eastAsia="en-US" w:bidi="ar-SA"/>
      </w:rPr>
    </w:lvl>
    <w:lvl w:ilvl="6" w:tplc="F3521798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7E3EA4DC">
      <w:numFmt w:val="bullet"/>
      <w:lvlText w:val="•"/>
      <w:lvlJc w:val="left"/>
      <w:pPr>
        <w:ind w:left="6718" w:hanging="360"/>
      </w:pPr>
      <w:rPr>
        <w:rFonts w:hint="default"/>
        <w:lang w:val="en-US" w:eastAsia="en-US" w:bidi="ar-SA"/>
      </w:rPr>
    </w:lvl>
    <w:lvl w:ilvl="8" w:tplc="0FA23F76">
      <w:numFmt w:val="bullet"/>
      <w:lvlText w:val="•"/>
      <w:lvlJc w:val="left"/>
      <w:pPr>
        <w:ind w:left="7561" w:hanging="360"/>
      </w:pPr>
      <w:rPr>
        <w:rFonts w:hint="default"/>
        <w:lang w:val="en-US" w:eastAsia="en-US" w:bidi="ar-SA"/>
      </w:rPr>
    </w:lvl>
  </w:abstractNum>
  <w:num w:numId="1" w16cid:durableId="184708330">
    <w:abstractNumId w:val="1"/>
  </w:num>
  <w:num w:numId="2" w16cid:durableId="104852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F1"/>
    <w:rsid w:val="002C0621"/>
    <w:rsid w:val="00E1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15BF4"/>
  <w15:docId w15:val="{DAEE73FD-2F7B-482B-9FD0-8ECBAD19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1965</Words>
  <Characters>11203</Characters>
  <Application>Microsoft Office Word</Application>
  <DocSecurity>0</DocSecurity>
  <Lines>93</Lines>
  <Paragraphs>26</Paragraphs>
  <ScaleCrop>false</ScaleCrop>
  <Company/>
  <LinksUpToDate>false</LinksUpToDate>
  <CharactersWithSpaces>13142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Ophiliah Tokowoyo</cp:lastModifiedBy>
  <cp:revision>2</cp:revision>
  <dcterms:created xsi:type="dcterms:W3CDTF">2024-03-25T07:59:00Z</dcterms:created>
  <dcterms:modified xsi:type="dcterms:W3CDTF">2024-03-25T07:59:00Z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2024-03-25T00:00:00Z</vt:filetime>
  </property>
</Properties>
</file>