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6E72B" w14:textId="77777777" w:rsidR="00EB0171" w:rsidRDefault="00EB0171">
      <w:pPr>
        <w:pStyle w:val="BodyText"/>
        <w:spacing w:before="145"/>
        <w:rPr>
          <w:sz w:val="20"/>
        </w:rPr>
      </w:pPr>
    </w:p>
    <w:p w14:paraId="5BDF0B73" w14:textId="77777777" w:rsidR="00EB0171" w:rsidRDefault="00EB0171">
      <w:pPr>
        <w:rPr>
          <w:sz w:val="20"/>
        </w:rPr>
        <w:sectPr w:rsidR="00EB0171">
          <w:headerReference w:type="default" r:id="rId7"/>
          <w:type w:val="continuous"/>
          <w:pgSz w:w="11910" w:h="16840"/>
          <w:pgMar w:top="960" w:right="900" w:bottom="280" w:left="1340" w:header="751" w:footer="0" w:gutter="0"/>
          <w:pgNumType w:start="1"/>
          <w:cols w:space="720"/>
        </w:sectPr>
      </w:pPr>
    </w:p>
    <w:p w14:paraId="16C728C6" w14:textId="21856790" w:rsidR="00EB0171" w:rsidRDefault="00453011">
      <w:pPr>
        <w:spacing w:before="92" w:line="396" w:lineRule="auto"/>
        <w:ind w:left="100" w:right="35"/>
        <w:rPr>
          <w:b/>
          <w:sz w:val="24"/>
        </w:rPr>
      </w:pPr>
      <w:r>
        <w:rPr>
          <w:b/>
          <w:sz w:val="24"/>
        </w:rPr>
        <w:t>IN THE LABOUR COURT OF ZIMBABWE HELD</w:t>
      </w:r>
      <w:r>
        <w:rPr>
          <w:b/>
          <w:spacing w:val="-6"/>
          <w:sz w:val="24"/>
        </w:rPr>
        <w:t xml:space="preserve"> </w:t>
      </w:r>
      <w:r>
        <w:rPr>
          <w:b/>
          <w:sz w:val="24"/>
        </w:rPr>
        <w:t>AT</w:t>
      </w:r>
      <w:r>
        <w:rPr>
          <w:b/>
          <w:spacing w:val="-6"/>
          <w:sz w:val="24"/>
        </w:rPr>
        <w:t xml:space="preserve"> </w:t>
      </w:r>
      <w:r>
        <w:rPr>
          <w:b/>
          <w:sz w:val="24"/>
        </w:rPr>
        <w:t>HARARE</w:t>
      </w:r>
      <w:r>
        <w:rPr>
          <w:b/>
          <w:spacing w:val="-6"/>
          <w:sz w:val="24"/>
        </w:rPr>
        <w:t xml:space="preserve"> </w:t>
      </w:r>
      <w:r>
        <w:rPr>
          <w:b/>
          <w:sz w:val="24"/>
        </w:rPr>
        <w:t>20</w:t>
      </w:r>
      <w:r>
        <w:rPr>
          <w:b/>
          <w:position w:val="8"/>
          <w:sz w:val="16"/>
        </w:rPr>
        <w:t>TH</w:t>
      </w:r>
      <w:r>
        <w:rPr>
          <w:b/>
          <w:spacing w:val="13"/>
          <w:position w:val="8"/>
          <w:sz w:val="16"/>
        </w:rPr>
        <w:t xml:space="preserve"> </w:t>
      </w:r>
      <w:r>
        <w:rPr>
          <w:b/>
          <w:sz w:val="24"/>
        </w:rPr>
        <w:t>FEBRUARY</w:t>
      </w:r>
      <w:r>
        <w:rPr>
          <w:b/>
          <w:spacing w:val="-6"/>
          <w:sz w:val="24"/>
        </w:rPr>
        <w:t xml:space="preserve"> </w:t>
      </w:r>
      <w:r>
        <w:rPr>
          <w:b/>
          <w:sz w:val="24"/>
        </w:rPr>
        <w:t>2024</w:t>
      </w:r>
      <w:r>
        <w:rPr>
          <w:b/>
          <w:spacing w:val="-4"/>
          <w:sz w:val="24"/>
        </w:rPr>
        <w:t xml:space="preserve"> </w:t>
      </w:r>
      <w:r>
        <w:rPr>
          <w:b/>
          <w:sz w:val="24"/>
        </w:rPr>
        <w:t>AND 26 FEBRUARY 2024</w:t>
      </w:r>
    </w:p>
    <w:p w14:paraId="71740047" w14:textId="77777777" w:rsidR="00EB0171" w:rsidRDefault="00453011">
      <w:pPr>
        <w:pStyle w:val="BodyText"/>
        <w:spacing w:before="3"/>
        <w:ind w:left="100"/>
      </w:pPr>
      <w:r>
        <w:t xml:space="preserve">In the matter </w:t>
      </w:r>
      <w:r>
        <w:rPr>
          <w:spacing w:val="-2"/>
        </w:rPr>
        <w:t>between</w:t>
      </w:r>
    </w:p>
    <w:p w14:paraId="0A3BA785" w14:textId="77777777" w:rsidR="00EB0171" w:rsidRDefault="00453011">
      <w:pPr>
        <w:spacing w:before="182"/>
        <w:ind w:left="100"/>
        <w:rPr>
          <w:b/>
          <w:sz w:val="24"/>
        </w:rPr>
      </w:pPr>
      <w:r>
        <w:rPr>
          <w:b/>
          <w:sz w:val="24"/>
        </w:rPr>
        <w:t xml:space="preserve">LLOYD </w:t>
      </w:r>
      <w:r>
        <w:rPr>
          <w:b/>
          <w:spacing w:val="-2"/>
          <w:sz w:val="24"/>
        </w:rPr>
        <w:t>MACHACHA</w:t>
      </w:r>
    </w:p>
    <w:p w14:paraId="2D965962" w14:textId="77777777" w:rsidR="00EB0171" w:rsidRDefault="00453011">
      <w:pPr>
        <w:pStyle w:val="BodyText"/>
        <w:spacing w:before="182"/>
        <w:ind w:left="100"/>
      </w:pPr>
      <w:r>
        <w:rPr>
          <w:spacing w:val="-5"/>
        </w:rPr>
        <w:t>And</w:t>
      </w:r>
    </w:p>
    <w:p w14:paraId="7BEFC3B0" w14:textId="77777777" w:rsidR="00EB0171" w:rsidRDefault="00453011">
      <w:pPr>
        <w:spacing w:before="182"/>
        <w:ind w:left="100"/>
        <w:rPr>
          <w:b/>
          <w:sz w:val="24"/>
        </w:rPr>
      </w:pPr>
      <w:r>
        <w:rPr>
          <w:b/>
          <w:sz w:val="24"/>
        </w:rPr>
        <w:t xml:space="preserve">HEALTH SERVICE </w:t>
      </w:r>
      <w:r>
        <w:rPr>
          <w:b/>
          <w:spacing w:val="-2"/>
          <w:sz w:val="24"/>
        </w:rPr>
        <w:t>COMMISSION</w:t>
      </w:r>
    </w:p>
    <w:p w14:paraId="383334E5" w14:textId="77777777" w:rsidR="00EB0171" w:rsidRDefault="00EB0171">
      <w:pPr>
        <w:pStyle w:val="BodyText"/>
        <w:rPr>
          <w:b/>
        </w:rPr>
      </w:pPr>
    </w:p>
    <w:p w14:paraId="1F80F5B5" w14:textId="77777777" w:rsidR="00EB0171" w:rsidRDefault="00EB0171">
      <w:pPr>
        <w:pStyle w:val="BodyText"/>
        <w:spacing w:before="87"/>
        <w:rPr>
          <w:b/>
        </w:rPr>
      </w:pPr>
    </w:p>
    <w:p w14:paraId="315EE34B" w14:textId="77777777" w:rsidR="00EB0171" w:rsidRDefault="00453011">
      <w:pPr>
        <w:ind w:left="100"/>
        <w:rPr>
          <w:b/>
          <w:sz w:val="24"/>
        </w:rPr>
      </w:pPr>
      <w:r>
        <w:rPr>
          <w:b/>
          <w:sz w:val="24"/>
        </w:rPr>
        <w:t xml:space="preserve">BEFORE HONOURABLE </w:t>
      </w:r>
      <w:proofErr w:type="gramStart"/>
      <w:r>
        <w:rPr>
          <w:b/>
          <w:sz w:val="24"/>
        </w:rPr>
        <w:t>MAKAMURE ,</w:t>
      </w:r>
      <w:proofErr w:type="gramEnd"/>
      <w:r>
        <w:rPr>
          <w:b/>
          <w:sz w:val="24"/>
        </w:rPr>
        <w:t xml:space="preserve"> </w:t>
      </w:r>
      <w:r>
        <w:rPr>
          <w:b/>
          <w:spacing w:val="-2"/>
          <w:sz w:val="24"/>
        </w:rPr>
        <w:t>JUDGE</w:t>
      </w:r>
    </w:p>
    <w:p w14:paraId="2042731D" w14:textId="77777777" w:rsidR="00EB0171" w:rsidRDefault="00453011">
      <w:pPr>
        <w:spacing w:before="90"/>
        <w:ind w:left="818"/>
        <w:rPr>
          <w:b/>
          <w:sz w:val="24"/>
        </w:rPr>
      </w:pPr>
      <w:r>
        <w:br w:type="column"/>
      </w:r>
      <w:r>
        <w:rPr>
          <w:b/>
          <w:sz w:val="24"/>
        </w:rPr>
        <w:t xml:space="preserve">JUDGMENT NO. </w:t>
      </w:r>
      <w:r>
        <w:rPr>
          <w:b/>
          <w:spacing w:val="-2"/>
          <w:sz w:val="24"/>
        </w:rPr>
        <w:t>LCH66/24</w:t>
      </w:r>
    </w:p>
    <w:p w14:paraId="3046E239" w14:textId="77777777" w:rsidR="00EB0171" w:rsidRDefault="00453011">
      <w:pPr>
        <w:spacing w:before="182"/>
        <w:ind w:left="818"/>
        <w:rPr>
          <w:b/>
          <w:sz w:val="24"/>
        </w:rPr>
      </w:pPr>
      <w:r>
        <w:rPr>
          <w:b/>
          <w:sz w:val="24"/>
        </w:rPr>
        <w:t xml:space="preserve">CASE NO. </w:t>
      </w:r>
      <w:r>
        <w:rPr>
          <w:b/>
          <w:spacing w:val="-2"/>
          <w:sz w:val="24"/>
        </w:rPr>
        <w:t>LC/H/116/24</w:t>
      </w:r>
    </w:p>
    <w:p w14:paraId="2A617183" w14:textId="77777777" w:rsidR="00EB0171" w:rsidRDefault="00EB0171">
      <w:pPr>
        <w:pStyle w:val="BodyText"/>
        <w:rPr>
          <w:b/>
        </w:rPr>
      </w:pPr>
    </w:p>
    <w:p w14:paraId="774C6908" w14:textId="77777777" w:rsidR="00EB0171" w:rsidRDefault="00EB0171">
      <w:pPr>
        <w:pStyle w:val="BodyText"/>
        <w:rPr>
          <w:b/>
        </w:rPr>
      </w:pPr>
    </w:p>
    <w:p w14:paraId="49664BD2" w14:textId="77777777" w:rsidR="00EB0171" w:rsidRDefault="00EB0171">
      <w:pPr>
        <w:pStyle w:val="BodyText"/>
        <w:spacing w:before="271"/>
        <w:rPr>
          <w:b/>
        </w:rPr>
      </w:pPr>
    </w:p>
    <w:p w14:paraId="74779120" w14:textId="77777777" w:rsidR="00EB0171" w:rsidRDefault="00453011">
      <w:pPr>
        <w:spacing w:before="1"/>
        <w:ind w:left="100"/>
        <w:rPr>
          <w:b/>
          <w:sz w:val="24"/>
        </w:rPr>
      </w:pPr>
      <w:r>
        <w:rPr>
          <w:b/>
          <w:spacing w:val="-2"/>
          <w:sz w:val="24"/>
        </w:rPr>
        <w:t>APPLICANT</w:t>
      </w:r>
    </w:p>
    <w:p w14:paraId="2A0770A9" w14:textId="77777777" w:rsidR="00EB0171" w:rsidRDefault="00EB0171">
      <w:pPr>
        <w:pStyle w:val="BodyText"/>
        <w:rPr>
          <w:b/>
        </w:rPr>
      </w:pPr>
    </w:p>
    <w:p w14:paraId="7A79DCEE" w14:textId="77777777" w:rsidR="00EB0171" w:rsidRDefault="00EB0171">
      <w:pPr>
        <w:pStyle w:val="BodyText"/>
        <w:spacing w:before="88"/>
        <w:rPr>
          <w:b/>
        </w:rPr>
      </w:pPr>
    </w:p>
    <w:p w14:paraId="301D98FD" w14:textId="77777777" w:rsidR="00EB0171" w:rsidRDefault="00453011">
      <w:pPr>
        <w:ind w:left="820"/>
        <w:rPr>
          <w:b/>
          <w:sz w:val="24"/>
        </w:rPr>
      </w:pPr>
      <w:r>
        <w:rPr>
          <w:b/>
          <w:spacing w:val="-2"/>
          <w:sz w:val="24"/>
        </w:rPr>
        <w:t>RESPONDENT</w:t>
      </w:r>
    </w:p>
    <w:p w14:paraId="7A82E591" w14:textId="77777777" w:rsidR="00EB0171" w:rsidRDefault="00EB0171">
      <w:pPr>
        <w:rPr>
          <w:sz w:val="24"/>
        </w:rPr>
        <w:sectPr w:rsidR="00EB0171">
          <w:type w:val="continuous"/>
          <w:pgSz w:w="11910" w:h="16840"/>
          <w:pgMar w:top="960" w:right="900" w:bottom="280" w:left="1340" w:header="751" w:footer="0" w:gutter="0"/>
          <w:cols w:num="2" w:space="720" w:equalWidth="0">
            <w:col w:w="5470" w:space="291"/>
            <w:col w:w="3909"/>
          </w:cols>
        </w:sectPr>
      </w:pPr>
    </w:p>
    <w:p w14:paraId="0AADECB5" w14:textId="77777777" w:rsidR="00EB0171" w:rsidRDefault="00EB0171">
      <w:pPr>
        <w:pStyle w:val="BodyText"/>
        <w:rPr>
          <w:b/>
        </w:rPr>
      </w:pPr>
    </w:p>
    <w:p w14:paraId="4D5E8723" w14:textId="77777777" w:rsidR="00EB0171" w:rsidRDefault="00EB0171">
      <w:pPr>
        <w:pStyle w:val="BodyText"/>
        <w:spacing w:before="89"/>
        <w:rPr>
          <w:b/>
        </w:rPr>
      </w:pPr>
    </w:p>
    <w:p w14:paraId="3E732A13" w14:textId="77777777" w:rsidR="00EB0171" w:rsidRDefault="00453011">
      <w:pPr>
        <w:ind w:left="100"/>
        <w:rPr>
          <w:b/>
          <w:sz w:val="24"/>
        </w:rPr>
      </w:pPr>
      <w:r>
        <w:rPr>
          <w:b/>
          <w:sz w:val="24"/>
        </w:rPr>
        <w:t>FOR</w:t>
      </w:r>
      <w:r>
        <w:rPr>
          <w:b/>
          <w:spacing w:val="-3"/>
          <w:sz w:val="24"/>
        </w:rPr>
        <w:t xml:space="preserve"> </w:t>
      </w:r>
      <w:r>
        <w:rPr>
          <w:b/>
          <w:sz w:val="24"/>
        </w:rPr>
        <w:t xml:space="preserve">THE </w:t>
      </w:r>
      <w:proofErr w:type="gramStart"/>
      <w:r>
        <w:rPr>
          <w:b/>
          <w:sz w:val="24"/>
        </w:rPr>
        <w:t>APPLICANT</w:t>
      </w:r>
      <w:r>
        <w:rPr>
          <w:b/>
          <w:spacing w:val="-1"/>
          <w:sz w:val="24"/>
        </w:rPr>
        <w:t xml:space="preserve"> </w:t>
      </w:r>
      <w:r>
        <w:rPr>
          <w:b/>
          <w:sz w:val="24"/>
        </w:rPr>
        <w:t>:</w:t>
      </w:r>
      <w:proofErr w:type="gramEnd"/>
      <w:r>
        <w:rPr>
          <w:b/>
          <w:spacing w:val="29"/>
          <w:sz w:val="24"/>
        </w:rPr>
        <w:t xml:space="preserve">  </w:t>
      </w:r>
      <w:r>
        <w:rPr>
          <w:b/>
          <w:sz w:val="24"/>
        </w:rPr>
        <w:t>ADVOCATE</w:t>
      </w:r>
      <w:r>
        <w:rPr>
          <w:b/>
          <w:spacing w:val="-1"/>
          <w:sz w:val="24"/>
        </w:rPr>
        <w:t xml:space="preserve"> </w:t>
      </w:r>
      <w:r>
        <w:rPr>
          <w:b/>
          <w:sz w:val="24"/>
        </w:rPr>
        <w:t>B</w:t>
      </w:r>
      <w:r>
        <w:rPr>
          <w:b/>
          <w:spacing w:val="-1"/>
          <w:sz w:val="24"/>
        </w:rPr>
        <w:t xml:space="preserve"> </w:t>
      </w:r>
      <w:r>
        <w:rPr>
          <w:b/>
          <w:sz w:val="24"/>
        </w:rPr>
        <w:t xml:space="preserve">. </w:t>
      </w:r>
      <w:r>
        <w:rPr>
          <w:b/>
          <w:spacing w:val="-2"/>
          <w:sz w:val="24"/>
        </w:rPr>
        <w:t>MAGOGO</w:t>
      </w:r>
    </w:p>
    <w:p w14:paraId="6321E501" w14:textId="77777777" w:rsidR="00EB0171" w:rsidRDefault="00453011">
      <w:pPr>
        <w:spacing w:before="180"/>
        <w:ind w:left="100"/>
        <w:rPr>
          <w:b/>
          <w:sz w:val="24"/>
        </w:rPr>
      </w:pPr>
      <w:r>
        <w:rPr>
          <w:b/>
          <w:sz w:val="24"/>
        </w:rPr>
        <w:t>With him</w:t>
      </w:r>
      <w:r>
        <w:rPr>
          <w:b/>
          <w:spacing w:val="-1"/>
          <w:sz w:val="24"/>
        </w:rPr>
        <w:t xml:space="preserve"> </w:t>
      </w:r>
      <w:proofErr w:type="gramStart"/>
      <w:r>
        <w:rPr>
          <w:b/>
          <w:spacing w:val="-2"/>
          <w:sz w:val="24"/>
        </w:rPr>
        <w:t>P.MAKURUMURE</w:t>
      </w:r>
      <w:proofErr w:type="gramEnd"/>
    </w:p>
    <w:p w14:paraId="265B49DB" w14:textId="77777777" w:rsidR="00EB0171" w:rsidRDefault="00453011">
      <w:pPr>
        <w:spacing w:before="182"/>
        <w:ind w:left="100"/>
        <w:rPr>
          <w:b/>
          <w:sz w:val="24"/>
        </w:rPr>
      </w:pPr>
      <w:r>
        <w:rPr>
          <w:b/>
          <w:sz w:val="24"/>
        </w:rPr>
        <w:t>FOR</w:t>
      </w:r>
      <w:r>
        <w:rPr>
          <w:b/>
          <w:spacing w:val="-2"/>
          <w:sz w:val="24"/>
        </w:rPr>
        <w:t xml:space="preserve"> </w:t>
      </w:r>
      <w:r>
        <w:rPr>
          <w:b/>
          <w:sz w:val="24"/>
        </w:rPr>
        <w:t>THE</w:t>
      </w:r>
      <w:r>
        <w:rPr>
          <w:b/>
          <w:spacing w:val="-1"/>
          <w:sz w:val="24"/>
        </w:rPr>
        <w:t xml:space="preserve"> </w:t>
      </w:r>
      <w:r>
        <w:rPr>
          <w:b/>
          <w:sz w:val="24"/>
        </w:rPr>
        <w:t>RESPONDENT:</w:t>
      </w:r>
      <w:r>
        <w:rPr>
          <w:b/>
          <w:spacing w:val="-1"/>
          <w:sz w:val="24"/>
        </w:rPr>
        <w:t xml:space="preserve"> </w:t>
      </w:r>
      <w:r>
        <w:rPr>
          <w:b/>
          <w:sz w:val="24"/>
        </w:rPr>
        <w:t>MS</w:t>
      </w:r>
      <w:r>
        <w:rPr>
          <w:b/>
          <w:spacing w:val="-2"/>
          <w:sz w:val="24"/>
        </w:rPr>
        <w:t xml:space="preserve"> </w:t>
      </w:r>
      <w:r>
        <w:rPr>
          <w:b/>
          <w:sz w:val="24"/>
        </w:rPr>
        <w:t>A.</w:t>
      </w:r>
      <w:r>
        <w:rPr>
          <w:b/>
          <w:spacing w:val="-1"/>
          <w:sz w:val="24"/>
        </w:rPr>
        <w:t xml:space="preserve"> </w:t>
      </w:r>
      <w:r>
        <w:rPr>
          <w:b/>
          <w:sz w:val="24"/>
        </w:rPr>
        <w:t>MAGUNDE</w:t>
      </w:r>
      <w:r>
        <w:rPr>
          <w:b/>
          <w:spacing w:val="-1"/>
          <w:sz w:val="24"/>
        </w:rPr>
        <w:t xml:space="preserve"> </w:t>
      </w:r>
      <w:r>
        <w:rPr>
          <w:b/>
          <w:sz w:val="24"/>
        </w:rPr>
        <w:t>(CIVIL</w:t>
      </w:r>
      <w:r>
        <w:rPr>
          <w:b/>
          <w:spacing w:val="-1"/>
          <w:sz w:val="24"/>
        </w:rPr>
        <w:t xml:space="preserve"> </w:t>
      </w:r>
      <w:r>
        <w:rPr>
          <w:b/>
          <w:spacing w:val="-2"/>
          <w:sz w:val="24"/>
        </w:rPr>
        <w:t>DIVISION)</w:t>
      </w:r>
    </w:p>
    <w:p w14:paraId="172D1F04" w14:textId="77777777" w:rsidR="00EB0171" w:rsidRDefault="00453011">
      <w:pPr>
        <w:spacing w:before="183"/>
        <w:ind w:left="100"/>
        <w:rPr>
          <w:b/>
          <w:sz w:val="24"/>
        </w:rPr>
      </w:pPr>
      <w:r>
        <w:rPr>
          <w:b/>
          <w:sz w:val="24"/>
        </w:rPr>
        <w:t>With</w:t>
      </w:r>
      <w:r>
        <w:rPr>
          <w:b/>
          <w:spacing w:val="-1"/>
          <w:sz w:val="24"/>
        </w:rPr>
        <w:t xml:space="preserve"> </w:t>
      </w:r>
      <w:r>
        <w:rPr>
          <w:b/>
          <w:sz w:val="24"/>
        </w:rPr>
        <w:t>her</w:t>
      </w:r>
      <w:r>
        <w:rPr>
          <w:b/>
          <w:spacing w:val="-2"/>
          <w:sz w:val="24"/>
        </w:rPr>
        <w:t xml:space="preserve"> </w:t>
      </w:r>
      <w:r>
        <w:rPr>
          <w:b/>
          <w:sz w:val="24"/>
        </w:rPr>
        <w:t>MR</w:t>
      </w:r>
      <w:r>
        <w:rPr>
          <w:b/>
          <w:spacing w:val="59"/>
          <w:sz w:val="24"/>
        </w:rPr>
        <w:t xml:space="preserve"> </w:t>
      </w:r>
      <w:r>
        <w:rPr>
          <w:b/>
          <w:sz w:val="24"/>
        </w:rPr>
        <w:t>C.</w:t>
      </w:r>
      <w:r>
        <w:rPr>
          <w:b/>
          <w:spacing w:val="2"/>
          <w:sz w:val="24"/>
        </w:rPr>
        <w:t xml:space="preserve"> </w:t>
      </w:r>
      <w:r>
        <w:rPr>
          <w:b/>
          <w:spacing w:val="-4"/>
          <w:sz w:val="24"/>
        </w:rPr>
        <w:t>GUTU</w:t>
      </w:r>
    </w:p>
    <w:p w14:paraId="390BA8BB" w14:textId="77777777" w:rsidR="00EB0171" w:rsidRDefault="00EB0171">
      <w:pPr>
        <w:pStyle w:val="BodyText"/>
        <w:rPr>
          <w:b/>
        </w:rPr>
      </w:pPr>
    </w:p>
    <w:p w14:paraId="0F54E454" w14:textId="77777777" w:rsidR="00EB0171" w:rsidRDefault="00EB0171">
      <w:pPr>
        <w:pStyle w:val="BodyText"/>
        <w:spacing w:before="86"/>
        <w:rPr>
          <w:b/>
        </w:rPr>
      </w:pPr>
    </w:p>
    <w:p w14:paraId="46C82E8D" w14:textId="77777777" w:rsidR="00EB0171" w:rsidRDefault="00453011">
      <w:pPr>
        <w:spacing w:before="1"/>
        <w:ind w:left="100"/>
        <w:rPr>
          <w:b/>
          <w:sz w:val="24"/>
        </w:rPr>
      </w:pPr>
      <w:r>
        <w:rPr>
          <w:b/>
          <w:sz w:val="24"/>
        </w:rPr>
        <w:t>MAKAMURE</w:t>
      </w:r>
      <w:r>
        <w:rPr>
          <w:b/>
          <w:spacing w:val="-4"/>
          <w:sz w:val="24"/>
        </w:rPr>
        <w:t xml:space="preserve"> </w:t>
      </w:r>
      <w:r>
        <w:rPr>
          <w:b/>
          <w:spacing w:val="-5"/>
          <w:sz w:val="24"/>
        </w:rPr>
        <w:t>J:</w:t>
      </w:r>
    </w:p>
    <w:p w14:paraId="08AEAE5E" w14:textId="77777777" w:rsidR="00EB0171" w:rsidRDefault="00453011">
      <w:pPr>
        <w:pStyle w:val="BodyText"/>
        <w:spacing w:before="182" w:line="360" w:lineRule="auto"/>
        <w:ind w:left="100" w:right="564"/>
      </w:pPr>
      <w:r>
        <w:t>This is an</w:t>
      </w:r>
      <w:r>
        <w:rPr>
          <w:spacing w:val="79"/>
        </w:rPr>
        <w:t xml:space="preserve"> </w:t>
      </w:r>
      <w:r>
        <w:t>urgent application for stay of execution of a decision made against the applicant</w:t>
      </w:r>
      <w:r>
        <w:rPr>
          <w:spacing w:val="40"/>
        </w:rPr>
        <w:t xml:space="preserve"> </w:t>
      </w:r>
      <w:r>
        <w:t>by</w:t>
      </w:r>
      <w:r>
        <w:rPr>
          <w:spacing w:val="-8"/>
        </w:rPr>
        <w:t xml:space="preserve"> </w:t>
      </w:r>
      <w:r>
        <w:t>the</w:t>
      </w:r>
      <w:r>
        <w:rPr>
          <w:spacing w:val="-3"/>
        </w:rPr>
        <w:t xml:space="preserve"> </w:t>
      </w:r>
      <w:r>
        <w:t>respondent</w:t>
      </w:r>
      <w:r>
        <w:rPr>
          <w:spacing w:val="-2"/>
        </w:rPr>
        <w:t xml:space="preserve"> </w:t>
      </w:r>
      <w:r>
        <w:t>wherein</w:t>
      </w:r>
      <w:r>
        <w:rPr>
          <w:spacing w:val="-3"/>
        </w:rPr>
        <w:t xml:space="preserve"> </w:t>
      </w:r>
      <w:r>
        <w:t>the</w:t>
      </w:r>
      <w:r>
        <w:rPr>
          <w:spacing w:val="-3"/>
        </w:rPr>
        <w:t xml:space="preserve"> </w:t>
      </w:r>
      <w:r>
        <w:t>respondent</w:t>
      </w:r>
      <w:r>
        <w:rPr>
          <w:spacing w:val="-3"/>
        </w:rPr>
        <w:t xml:space="preserve"> </w:t>
      </w:r>
      <w:r>
        <w:t>demoted</w:t>
      </w:r>
      <w:r>
        <w:rPr>
          <w:spacing w:val="-3"/>
        </w:rPr>
        <w:t xml:space="preserve"> </w:t>
      </w:r>
      <w:r>
        <w:t>the</w:t>
      </w:r>
      <w:r>
        <w:rPr>
          <w:spacing w:val="-3"/>
        </w:rPr>
        <w:t xml:space="preserve"> </w:t>
      </w:r>
      <w:proofErr w:type="gramStart"/>
      <w:r>
        <w:t>applicant .</w:t>
      </w:r>
      <w:proofErr w:type="gramEnd"/>
      <w:r>
        <w:rPr>
          <w:spacing w:val="-3"/>
        </w:rPr>
        <w:t xml:space="preserve"> </w:t>
      </w:r>
      <w:r>
        <w:t>The</w:t>
      </w:r>
      <w:r>
        <w:rPr>
          <w:spacing w:val="-3"/>
        </w:rPr>
        <w:t xml:space="preserve"> </w:t>
      </w:r>
      <w:r>
        <w:t>application</w:t>
      </w:r>
      <w:r>
        <w:rPr>
          <w:spacing w:val="-2"/>
        </w:rPr>
        <w:t xml:space="preserve"> </w:t>
      </w:r>
      <w:r>
        <w:t>is</w:t>
      </w:r>
      <w:r>
        <w:rPr>
          <w:spacing w:val="-3"/>
        </w:rPr>
        <w:t xml:space="preserve"> </w:t>
      </w:r>
      <w:r>
        <w:t>opposed.</w:t>
      </w:r>
    </w:p>
    <w:p w14:paraId="30640924" w14:textId="77777777" w:rsidR="00EB0171" w:rsidRDefault="00453011">
      <w:pPr>
        <w:pStyle w:val="BodyText"/>
        <w:spacing w:before="161" w:line="360" w:lineRule="auto"/>
        <w:ind w:left="100" w:right="579"/>
      </w:pPr>
      <w:r>
        <w:t>This is not the first time that the applicant has approached this Court with a similar application. In</w:t>
      </w:r>
      <w:r>
        <w:rPr>
          <w:spacing w:val="-3"/>
        </w:rPr>
        <w:t xml:space="preserve"> </w:t>
      </w:r>
      <w:r>
        <w:t>January</w:t>
      </w:r>
      <w:r>
        <w:rPr>
          <w:spacing w:val="-8"/>
        </w:rPr>
        <w:t xml:space="preserve"> </w:t>
      </w:r>
      <w:r>
        <w:t>2024</w:t>
      </w:r>
      <w:r>
        <w:rPr>
          <w:spacing w:val="-3"/>
        </w:rPr>
        <w:t xml:space="preserve"> </w:t>
      </w:r>
      <w:r>
        <w:t>the</w:t>
      </w:r>
      <w:r>
        <w:rPr>
          <w:spacing w:val="-3"/>
        </w:rPr>
        <w:t xml:space="preserve"> </w:t>
      </w:r>
      <w:r>
        <w:t>applicant</w:t>
      </w:r>
      <w:r>
        <w:rPr>
          <w:spacing w:val="-3"/>
        </w:rPr>
        <w:t xml:space="preserve"> </w:t>
      </w:r>
      <w:r>
        <w:t>appeared</w:t>
      </w:r>
      <w:r>
        <w:rPr>
          <w:spacing w:val="-3"/>
        </w:rPr>
        <w:t xml:space="preserve"> </w:t>
      </w:r>
      <w:r>
        <w:t>before</w:t>
      </w:r>
      <w:r>
        <w:rPr>
          <w:spacing w:val="-4"/>
        </w:rPr>
        <w:t xml:space="preserve"> </w:t>
      </w:r>
      <w:r>
        <w:t>this</w:t>
      </w:r>
      <w:r>
        <w:rPr>
          <w:spacing w:val="-3"/>
        </w:rPr>
        <w:t xml:space="preserve"> </w:t>
      </w:r>
      <w:r>
        <w:t>Court</w:t>
      </w:r>
      <w:r>
        <w:rPr>
          <w:spacing w:val="-3"/>
        </w:rPr>
        <w:t xml:space="preserve"> </w:t>
      </w:r>
      <w:proofErr w:type="gramStart"/>
      <w:r>
        <w:t>(</w:t>
      </w:r>
      <w:r>
        <w:rPr>
          <w:spacing w:val="-4"/>
        </w:rPr>
        <w:t xml:space="preserve"> </w:t>
      </w:r>
      <w:r>
        <w:t>Honourable</w:t>
      </w:r>
      <w:proofErr w:type="gramEnd"/>
      <w:r>
        <w:rPr>
          <w:spacing w:val="-3"/>
        </w:rPr>
        <w:t xml:space="preserve"> </w:t>
      </w:r>
      <w:r>
        <w:t>Musariri J). Judgment</w:t>
      </w:r>
      <w:r>
        <w:rPr>
          <w:spacing w:val="40"/>
        </w:rPr>
        <w:t xml:space="preserve"> </w:t>
      </w:r>
      <w:r>
        <w:t>in that matter, LC/H/2/</w:t>
      </w:r>
      <w:proofErr w:type="gramStart"/>
      <w:r>
        <w:t>24 ,was</w:t>
      </w:r>
      <w:proofErr w:type="gramEnd"/>
      <w:r>
        <w:t xml:space="preserve"> issued on 15</w:t>
      </w:r>
      <w:r>
        <w:rPr>
          <w:vertAlign w:val="superscript"/>
        </w:rPr>
        <w:t>th</w:t>
      </w:r>
      <w:r>
        <w:t xml:space="preserve"> January 2024.The Court in the earlier application dismissed it on the basis that the applicant failed to show that he would suffer irreparable damage should the demotion not be stayed pending his appeal which is pending before this Court. The Court found that if he succeeded in the appeal he would be reinstated or alternatively he would be awarded damages.</w:t>
      </w:r>
    </w:p>
    <w:p w14:paraId="08BF7E60" w14:textId="77777777" w:rsidR="00EB0171" w:rsidRDefault="00453011">
      <w:pPr>
        <w:pStyle w:val="BodyText"/>
        <w:spacing w:before="160" w:line="360" w:lineRule="auto"/>
        <w:ind w:left="100" w:right="579"/>
      </w:pPr>
      <w:r>
        <w:t>In</w:t>
      </w:r>
      <w:r>
        <w:rPr>
          <w:spacing w:val="-3"/>
        </w:rPr>
        <w:t xml:space="preserve"> </w:t>
      </w:r>
      <w:r>
        <w:t>the</w:t>
      </w:r>
      <w:r>
        <w:rPr>
          <w:spacing w:val="-3"/>
        </w:rPr>
        <w:t xml:space="preserve"> </w:t>
      </w:r>
      <w:r>
        <w:t>present</w:t>
      </w:r>
      <w:r>
        <w:rPr>
          <w:spacing w:val="-1"/>
        </w:rPr>
        <w:t xml:space="preserve"> </w:t>
      </w:r>
      <w:r>
        <w:t>application</w:t>
      </w:r>
      <w:r>
        <w:rPr>
          <w:spacing w:val="-1"/>
        </w:rPr>
        <w:t xml:space="preserve"> </w:t>
      </w:r>
      <w:r>
        <w:t>the</w:t>
      </w:r>
      <w:r>
        <w:rPr>
          <w:spacing w:val="-3"/>
        </w:rPr>
        <w:t xml:space="preserve"> </w:t>
      </w:r>
      <w:r>
        <w:t>applicant</w:t>
      </w:r>
      <w:r>
        <w:rPr>
          <w:spacing w:val="-3"/>
        </w:rPr>
        <w:t xml:space="preserve"> </w:t>
      </w:r>
      <w:r>
        <w:t>avers</w:t>
      </w:r>
      <w:r>
        <w:rPr>
          <w:spacing w:val="-3"/>
        </w:rPr>
        <w:t xml:space="preserve"> </w:t>
      </w:r>
      <w:r>
        <w:t>that</w:t>
      </w:r>
      <w:r>
        <w:rPr>
          <w:spacing w:val="-3"/>
        </w:rPr>
        <w:t xml:space="preserve"> </w:t>
      </w:r>
      <w:r>
        <w:t>there</w:t>
      </w:r>
      <w:r>
        <w:rPr>
          <w:spacing w:val="-5"/>
        </w:rPr>
        <w:t xml:space="preserve"> </w:t>
      </w:r>
      <w:r>
        <w:t>has</w:t>
      </w:r>
      <w:r>
        <w:rPr>
          <w:spacing w:val="40"/>
        </w:rPr>
        <w:t xml:space="preserve"> </w:t>
      </w:r>
      <w:r>
        <w:t>been</w:t>
      </w:r>
      <w:r>
        <w:rPr>
          <w:spacing w:val="-1"/>
        </w:rPr>
        <w:t xml:space="preserve"> </w:t>
      </w:r>
      <w:r>
        <w:t>a</w:t>
      </w:r>
      <w:r>
        <w:rPr>
          <w:spacing w:val="-4"/>
        </w:rPr>
        <w:t xml:space="preserve"> </w:t>
      </w:r>
      <w:r>
        <w:t>change</w:t>
      </w:r>
      <w:r>
        <w:rPr>
          <w:spacing w:val="-4"/>
        </w:rPr>
        <w:t xml:space="preserve"> </w:t>
      </w:r>
      <w:r>
        <w:t>of</w:t>
      </w:r>
      <w:r>
        <w:rPr>
          <w:spacing w:val="-3"/>
        </w:rPr>
        <w:t xml:space="preserve"> </w:t>
      </w:r>
      <w:r>
        <w:t>circumstances since the last court hearing. For that reason, the applicant</w:t>
      </w:r>
      <w:r>
        <w:rPr>
          <w:spacing w:val="40"/>
        </w:rPr>
        <w:t xml:space="preserve"> </w:t>
      </w:r>
      <w:r>
        <w:t>prays that the execution of the demotion be stayed pending the appeal hearing.</w:t>
      </w:r>
    </w:p>
    <w:p w14:paraId="355FE99D" w14:textId="77777777" w:rsidR="00EB0171" w:rsidRDefault="00453011">
      <w:pPr>
        <w:pStyle w:val="BodyText"/>
        <w:spacing w:before="160" w:line="360" w:lineRule="auto"/>
        <w:ind w:left="100" w:right="219"/>
      </w:pPr>
      <w:r>
        <w:t xml:space="preserve">Preliminary points were raised on behalf of the respondent before the application could be argued. These are </w:t>
      </w:r>
      <w:proofErr w:type="gramStart"/>
      <w:r>
        <w:t>that :</w:t>
      </w:r>
      <w:proofErr w:type="gramEnd"/>
      <w:r>
        <w:t xml:space="preserve"> (</w:t>
      </w:r>
      <w:proofErr w:type="spellStart"/>
      <w:r>
        <w:t>i</w:t>
      </w:r>
      <w:proofErr w:type="spellEnd"/>
      <w:r>
        <w:t>) the matter is now</w:t>
      </w:r>
      <w:r>
        <w:rPr>
          <w:spacing w:val="40"/>
        </w:rPr>
        <w:t xml:space="preserve"> </w:t>
      </w:r>
      <w:r>
        <w:t xml:space="preserve">res </w:t>
      </w:r>
      <w:r>
        <w:rPr>
          <w:i/>
        </w:rPr>
        <w:t xml:space="preserve">judicata </w:t>
      </w:r>
      <w:r>
        <w:t>in that this Court has already pronounced</w:t>
      </w:r>
      <w:r>
        <w:rPr>
          <w:spacing w:val="-2"/>
        </w:rPr>
        <w:t xml:space="preserve"> </w:t>
      </w:r>
      <w:r>
        <w:t>judgment</w:t>
      </w:r>
      <w:r>
        <w:rPr>
          <w:spacing w:val="-2"/>
        </w:rPr>
        <w:t xml:space="preserve"> </w:t>
      </w:r>
      <w:r>
        <w:t>on this</w:t>
      </w:r>
      <w:r>
        <w:rPr>
          <w:spacing w:val="-2"/>
        </w:rPr>
        <w:t xml:space="preserve"> </w:t>
      </w:r>
      <w:r>
        <w:t>matter</w:t>
      </w:r>
      <w:r>
        <w:rPr>
          <w:spacing w:val="-2"/>
        </w:rPr>
        <w:t xml:space="preserve"> </w:t>
      </w:r>
      <w:r>
        <w:t>on</w:t>
      </w:r>
      <w:r>
        <w:rPr>
          <w:spacing w:val="-2"/>
        </w:rPr>
        <w:t xml:space="preserve"> </w:t>
      </w:r>
      <w:r>
        <w:t>issues</w:t>
      </w:r>
      <w:r>
        <w:rPr>
          <w:spacing w:val="-2"/>
        </w:rPr>
        <w:t xml:space="preserve"> </w:t>
      </w:r>
      <w:r>
        <w:t>being</w:t>
      </w:r>
      <w:r>
        <w:rPr>
          <w:spacing w:val="-4"/>
        </w:rPr>
        <w:t xml:space="preserve"> </w:t>
      </w:r>
      <w:r>
        <w:t>raised</w:t>
      </w:r>
      <w:r>
        <w:rPr>
          <w:spacing w:val="-2"/>
        </w:rPr>
        <w:t xml:space="preserve"> </w:t>
      </w:r>
      <w:r>
        <w:t>by</w:t>
      </w:r>
      <w:r>
        <w:rPr>
          <w:spacing w:val="-7"/>
        </w:rPr>
        <w:t xml:space="preserve"> </w:t>
      </w:r>
      <w:r>
        <w:t>the</w:t>
      </w:r>
      <w:r>
        <w:rPr>
          <w:spacing w:val="-2"/>
        </w:rPr>
        <w:t xml:space="preserve"> </w:t>
      </w:r>
      <w:r>
        <w:t>Applicant;</w:t>
      </w:r>
      <w:r>
        <w:rPr>
          <w:spacing w:val="-2"/>
        </w:rPr>
        <w:t xml:space="preserve"> </w:t>
      </w:r>
      <w:r>
        <w:t>(ii)</w:t>
      </w:r>
      <w:r>
        <w:rPr>
          <w:spacing w:val="-2"/>
        </w:rPr>
        <w:t xml:space="preserve"> </w:t>
      </w:r>
      <w:r>
        <w:t>the</w:t>
      </w:r>
      <w:r>
        <w:rPr>
          <w:spacing w:val="-3"/>
        </w:rPr>
        <w:t xml:space="preserve"> </w:t>
      </w:r>
      <w:r>
        <w:t>notion</w:t>
      </w:r>
      <w:r>
        <w:rPr>
          <w:spacing w:val="-2"/>
        </w:rPr>
        <w:t xml:space="preserve"> </w:t>
      </w:r>
      <w:r>
        <w:t>of</w:t>
      </w:r>
    </w:p>
    <w:p w14:paraId="3B92037A" w14:textId="77777777" w:rsidR="00EB0171" w:rsidRDefault="00EB0171">
      <w:pPr>
        <w:spacing w:line="360" w:lineRule="auto"/>
        <w:sectPr w:rsidR="00EB0171">
          <w:type w:val="continuous"/>
          <w:pgSz w:w="11910" w:h="16840"/>
          <w:pgMar w:top="960" w:right="900" w:bottom="280" w:left="1340" w:header="751" w:footer="0" w:gutter="0"/>
          <w:cols w:space="720"/>
        </w:sectPr>
      </w:pPr>
    </w:p>
    <w:p w14:paraId="6B9C382F" w14:textId="77777777" w:rsidR="00EB0171" w:rsidRDefault="00EB0171">
      <w:pPr>
        <w:pStyle w:val="BodyText"/>
        <w:spacing w:before="191"/>
      </w:pPr>
    </w:p>
    <w:p w14:paraId="63244D3F" w14:textId="77777777" w:rsidR="00EB0171" w:rsidRDefault="00453011">
      <w:pPr>
        <w:pStyle w:val="BodyText"/>
        <w:spacing w:line="360" w:lineRule="auto"/>
        <w:ind w:left="100" w:right="579"/>
      </w:pPr>
      <w:r>
        <w:t>changed</w:t>
      </w:r>
      <w:r>
        <w:rPr>
          <w:spacing w:val="-1"/>
        </w:rPr>
        <w:t xml:space="preserve"> </w:t>
      </w:r>
      <w:r>
        <w:t>circumstances</w:t>
      </w:r>
      <w:r>
        <w:rPr>
          <w:spacing w:val="-3"/>
        </w:rPr>
        <w:t xml:space="preserve"> </w:t>
      </w:r>
      <w:r>
        <w:t>does</w:t>
      </w:r>
      <w:r>
        <w:rPr>
          <w:spacing w:val="-3"/>
        </w:rPr>
        <w:t xml:space="preserve"> </w:t>
      </w:r>
      <w:r>
        <w:t>not</w:t>
      </w:r>
      <w:r>
        <w:rPr>
          <w:spacing w:val="-3"/>
        </w:rPr>
        <w:t xml:space="preserve"> </w:t>
      </w:r>
      <w:r>
        <w:t>exist</w:t>
      </w:r>
      <w:r>
        <w:rPr>
          <w:spacing w:val="-3"/>
        </w:rPr>
        <w:t xml:space="preserve"> </w:t>
      </w:r>
      <w:r>
        <w:t>in</w:t>
      </w:r>
      <w:r>
        <w:rPr>
          <w:spacing w:val="-3"/>
        </w:rPr>
        <w:t xml:space="preserve"> </w:t>
      </w:r>
      <w:proofErr w:type="spellStart"/>
      <w:r>
        <w:t>labour</w:t>
      </w:r>
      <w:proofErr w:type="spellEnd"/>
      <w:r>
        <w:rPr>
          <w:spacing w:val="-4"/>
        </w:rPr>
        <w:t xml:space="preserve"> </w:t>
      </w:r>
      <w:r>
        <w:t>jurisprudence</w:t>
      </w:r>
      <w:r>
        <w:rPr>
          <w:spacing w:val="-2"/>
        </w:rPr>
        <w:t xml:space="preserve"> </w:t>
      </w:r>
      <w:r>
        <w:t>and</w:t>
      </w:r>
      <w:r>
        <w:rPr>
          <w:spacing w:val="-3"/>
        </w:rPr>
        <w:t xml:space="preserve"> </w:t>
      </w:r>
      <w:r>
        <w:t>for</w:t>
      </w:r>
      <w:r>
        <w:rPr>
          <w:spacing w:val="-3"/>
        </w:rPr>
        <w:t xml:space="preserve"> </w:t>
      </w:r>
      <w:r>
        <w:t>that</w:t>
      </w:r>
      <w:r>
        <w:rPr>
          <w:spacing w:val="-3"/>
        </w:rPr>
        <w:t xml:space="preserve"> </w:t>
      </w:r>
      <w:r>
        <w:t>reason</w:t>
      </w:r>
      <w:r>
        <w:rPr>
          <w:spacing w:val="-3"/>
        </w:rPr>
        <w:t xml:space="preserve"> </w:t>
      </w:r>
      <w:r>
        <w:t>the</w:t>
      </w:r>
      <w:r>
        <w:rPr>
          <w:spacing w:val="-4"/>
        </w:rPr>
        <w:t xml:space="preserve"> </w:t>
      </w:r>
      <w:r>
        <w:t>matter</w:t>
      </w:r>
      <w:r>
        <w:rPr>
          <w:spacing w:val="-5"/>
        </w:rPr>
        <w:t xml:space="preserve"> </w:t>
      </w:r>
      <w:r>
        <w:t>is not properly</w:t>
      </w:r>
      <w:r>
        <w:rPr>
          <w:spacing w:val="-3"/>
        </w:rPr>
        <w:t xml:space="preserve"> </w:t>
      </w:r>
      <w:r>
        <w:t>before the</w:t>
      </w:r>
      <w:r>
        <w:rPr>
          <w:spacing w:val="40"/>
        </w:rPr>
        <w:t xml:space="preserve"> </w:t>
      </w:r>
      <w:r>
        <w:t>Court; (iii) the matter is not urgent and the current application is just an abuse of process.</w:t>
      </w:r>
    </w:p>
    <w:p w14:paraId="02B45291" w14:textId="77777777" w:rsidR="00EB0171" w:rsidRDefault="00453011">
      <w:pPr>
        <w:pStyle w:val="BodyText"/>
        <w:spacing w:before="160" w:line="360" w:lineRule="auto"/>
        <w:ind w:left="100" w:right="585"/>
      </w:pPr>
      <w:r>
        <w:t xml:space="preserve">In support of the first preliminary point raised, </w:t>
      </w:r>
      <w:proofErr w:type="spellStart"/>
      <w:r>
        <w:t>Mr</w:t>
      </w:r>
      <w:proofErr w:type="spellEnd"/>
      <w:r>
        <w:t xml:space="preserve"> Gutu who appeared on behalf of the respondent argued that</w:t>
      </w:r>
      <w:r>
        <w:rPr>
          <w:spacing w:val="40"/>
        </w:rPr>
        <w:t xml:space="preserve"> </w:t>
      </w:r>
      <w:r>
        <w:t>the</w:t>
      </w:r>
      <w:r>
        <w:rPr>
          <w:spacing w:val="-1"/>
        </w:rPr>
        <w:t xml:space="preserve"> </w:t>
      </w:r>
      <w:r>
        <w:t>requirements for</w:t>
      </w:r>
      <w:r>
        <w:rPr>
          <w:spacing w:val="-2"/>
        </w:rPr>
        <w:t xml:space="preserve"> </w:t>
      </w:r>
      <w:r>
        <w:rPr>
          <w:i/>
        </w:rPr>
        <w:t>res judicata</w:t>
      </w:r>
      <w:r>
        <w:rPr>
          <w:i/>
          <w:spacing w:val="40"/>
        </w:rPr>
        <w:t xml:space="preserve"> </w:t>
      </w:r>
      <w:r>
        <w:t>are</w:t>
      </w:r>
      <w:r>
        <w:rPr>
          <w:spacing w:val="-2"/>
        </w:rPr>
        <w:t xml:space="preserve"> </w:t>
      </w:r>
      <w:r>
        <w:t>that there</w:t>
      </w:r>
      <w:r>
        <w:rPr>
          <w:spacing w:val="-2"/>
        </w:rPr>
        <w:t xml:space="preserve"> </w:t>
      </w:r>
      <w:r>
        <w:t>be a</w:t>
      </w:r>
      <w:r>
        <w:rPr>
          <w:spacing w:val="-1"/>
        </w:rPr>
        <w:t xml:space="preserve"> </w:t>
      </w:r>
      <w:r>
        <w:t>matter which has been decided</w:t>
      </w:r>
      <w:r>
        <w:rPr>
          <w:spacing w:val="40"/>
        </w:rPr>
        <w:t xml:space="preserve"> </w:t>
      </w:r>
      <w:r>
        <w:t xml:space="preserve">on the same facts and between the same </w:t>
      </w:r>
      <w:proofErr w:type="gramStart"/>
      <w:r>
        <w:t>parties .</w:t>
      </w:r>
      <w:proofErr w:type="spellStart"/>
      <w:r>
        <w:t>Mr</w:t>
      </w:r>
      <w:proofErr w:type="spellEnd"/>
      <w:proofErr w:type="gramEnd"/>
      <w:r>
        <w:t xml:space="preserve"> Gutu submitted that these requirements have been met. </w:t>
      </w:r>
      <w:proofErr w:type="spellStart"/>
      <w:r>
        <w:t>Mr</w:t>
      </w:r>
      <w:proofErr w:type="spellEnd"/>
      <w:r>
        <w:t xml:space="preserve"> Gutu</w:t>
      </w:r>
      <w:r>
        <w:rPr>
          <w:spacing w:val="40"/>
        </w:rPr>
        <w:t xml:space="preserve"> </w:t>
      </w:r>
      <w:r>
        <w:t>argued that the applicant has just reproduced the affidavit which was</w:t>
      </w:r>
      <w:r>
        <w:rPr>
          <w:spacing w:val="40"/>
        </w:rPr>
        <w:t xml:space="preserve"> </w:t>
      </w:r>
      <w:r>
        <w:t>in the earlier case which resulted in Judgment</w:t>
      </w:r>
      <w:r>
        <w:rPr>
          <w:spacing w:val="40"/>
        </w:rPr>
        <w:t xml:space="preserve"> </w:t>
      </w:r>
      <w:r>
        <w:t>LC/H/2/24. He referred the Court to the case of</w:t>
      </w:r>
      <w:r>
        <w:rPr>
          <w:spacing w:val="80"/>
        </w:rPr>
        <w:t xml:space="preserve"> </w:t>
      </w:r>
      <w:r>
        <w:rPr>
          <w:b/>
        </w:rPr>
        <w:t xml:space="preserve">Farai </w:t>
      </w:r>
      <w:proofErr w:type="spellStart"/>
      <w:r>
        <w:rPr>
          <w:b/>
        </w:rPr>
        <w:t>Chitsinde</w:t>
      </w:r>
      <w:proofErr w:type="spellEnd"/>
      <w:r>
        <w:rPr>
          <w:b/>
        </w:rPr>
        <w:t xml:space="preserve"> v Musa HH274/10 </w:t>
      </w:r>
      <w:r>
        <w:t xml:space="preserve">in support of this </w:t>
      </w:r>
      <w:proofErr w:type="spellStart"/>
      <w:proofErr w:type="gramStart"/>
      <w:r>
        <w:t>argument.With</w:t>
      </w:r>
      <w:proofErr w:type="spellEnd"/>
      <w:proofErr w:type="gramEnd"/>
      <w:r>
        <w:t xml:space="preserve"> respect to the second pr</w:t>
      </w:r>
      <w:r>
        <w:t xml:space="preserve">eliminary point , that is , the question of changed circumstances, apart from the Rules of the </w:t>
      </w:r>
      <w:proofErr w:type="spellStart"/>
      <w:r>
        <w:t>Labour</w:t>
      </w:r>
      <w:proofErr w:type="spellEnd"/>
      <w:r>
        <w:t xml:space="preserve"> Court</w:t>
      </w:r>
      <w:r>
        <w:rPr>
          <w:spacing w:val="40"/>
        </w:rPr>
        <w:t xml:space="preserve"> </w:t>
      </w:r>
      <w:r>
        <w:t>, Statutory Instrument 150/17, not providing for it,</w:t>
      </w:r>
      <w:r>
        <w:rPr>
          <w:spacing w:val="40"/>
        </w:rPr>
        <w:t xml:space="preserve"> </w:t>
      </w:r>
      <w:proofErr w:type="spellStart"/>
      <w:r>
        <w:t>Mr</w:t>
      </w:r>
      <w:proofErr w:type="spellEnd"/>
      <w:r>
        <w:t xml:space="preserve"> Gutu argued that the same circumstances still prevail in that</w:t>
      </w:r>
      <w:r>
        <w:rPr>
          <w:spacing w:val="40"/>
        </w:rPr>
        <w:t xml:space="preserve"> </w:t>
      </w:r>
      <w:r>
        <w:t>what was placed</w:t>
      </w:r>
      <w:r>
        <w:rPr>
          <w:spacing w:val="-2"/>
        </w:rPr>
        <w:t xml:space="preserve"> </w:t>
      </w:r>
      <w:r>
        <w:t>before</w:t>
      </w:r>
      <w:r>
        <w:rPr>
          <w:spacing w:val="-3"/>
        </w:rPr>
        <w:t xml:space="preserve"> </w:t>
      </w:r>
      <w:r>
        <w:t>the</w:t>
      </w:r>
      <w:r>
        <w:rPr>
          <w:spacing w:val="-3"/>
        </w:rPr>
        <w:t xml:space="preserve"> </w:t>
      </w:r>
      <w:r>
        <w:t>Court</w:t>
      </w:r>
      <w:r>
        <w:rPr>
          <w:spacing w:val="-2"/>
        </w:rPr>
        <w:t xml:space="preserve"> </w:t>
      </w:r>
      <w:r>
        <w:t>in</w:t>
      </w:r>
      <w:r>
        <w:rPr>
          <w:spacing w:val="-2"/>
        </w:rPr>
        <w:t xml:space="preserve"> </w:t>
      </w:r>
      <w:r>
        <w:t>the</w:t>
      </w:r>
      <w:r>
        <w:rPr>
          <w:spacing w:val="-3"/>
        </w:rPr>
        <w:t xml:space="preserve"> </w:t>
      </w:r>
      <w:r>
        <w:t>first</w:t>
      </w:r>
      <w:r>
        <w:rPr>
          <w:spacing w:val="-2"/>
        </w:rPr>
        <w:t xml:space="preserve"> </w:t>
      </w:r>
      <w:r>
        <w:t>application is</w:t>
      </w:r>
      <w:r>
        <w:rPr>
          <w:spacing w:val="-2"/>
        </w:rPr>
        <w:t xml:space="preserve"> </w:t>
      </w:r>
      <w:r>
        <w:t>the</w:t>
      </w:r>
      <w:r>
        <w:rPr>
          <w:spacing w:val="-2"/>
        </w:rPr>
        <w:t xml:space="preserve"> </w:t>
      </w:r>
      <w:r>
        <w:t>same</w:t>
      </w:r>
      <w:r>
        <w:rPr>
          <w:spacing w:val="-2"/>
        </w:rPr>
        <w:t xml:space="preserve"> </w:t>
      </w:r>
      <w:r>
        <w:t>as</w:t>
      </w:r>
      <w:r>
        <w:rPr>
          <w:spacing w:val="40"/>
        </w:rPr>
        <w:t xml:space="preserve"> </w:t>
      </w:r>
      <w:r>
        <w:t>what</w:t>
      </w:r>
      <w:r>
        <w:rPr>
          <w:spacing w:val="-2"/>
        </w:rPr>
        <w:t xml:space="preserve"> </w:t>
      </w:r>
      <w:r>
        <w:t>has</w:t>
      </w:r>
      <w:r>
        <w:rPr>
          <w:spacing w:val="-2"/>
        </w:rPr>
        <w:t xml:space="preserve"> </w:t>
      </w:r>
      <w:r>
        <w:t>been</w:t>
      </w:r>
      <w:r>
        <w:rPr>
          <w:spacing w:val="-2"/>
        </w:rPr>
        <w:t xml:space="preserve"> </w:t>
      </w:r>
      <w:r>
        <w:t>placed</w:t>
      </w:r>
      <w:r>
        <w:rPr>
          <w:spacing w:val="-2"/>
        </w:rPr>
        <w:t xml:space="preserve"> </w:t>
      </w:r>
      <w:r>
        <w:t>before</w:t>
      </w:r>
      <w:r>
        <w:rPr>
          <w:spacing w:val="-3"/>
        </w:rPr>
        <w:t xml:space="preserve"> </w:t>
      </w:r>
      <w:r>
        <w:t xml:space="preserve">the Court in the present application. </w:t>
      </w:r>
      <w:proofErr w:type="spellStart"/>
      <w:r>
        <w:t>Mr</w:t>
      </w:r>
      <w:proofErr w:type="spellEnd"/>
      <w:r>
        <w:t xml:space="preserve"> Gutu argued that the advert which the applicant has attached to his papers as proof of changed circumstances</w:t>
      </w:r>
      <w:r>
        <w:rPr>
          <w:spacing w:val="77"/>
        </w:rPr>
        <w:t xml:space="preserve"> </w:t>
      </w:r>
      <w:r>
        <w:t xml:space="preserve">relates to the Global Fund </w:t>
      </w:r>
      <w:proofErr w:type="gramStart"/>
      <w:r>
        <w:t>( which</w:t>
      </w:r>
      <w:proofErr w:type="gramEnd"/>
      <w:r>
        <w:t xml:space="preserve"> is a </w:t>
      </w:r>
      <w:proofErr w:type="spellStart"/>
      <w:r>
        <w:t>funding</w:t>
      </w:r>
      <w:proofErr w:type="spellEnd"/>
      <w:r>
        <w:t xml:space="preserve"> partner of the Ministry of Health, the respondent’s employer) and not to the respondent and that the applicant was aware of this. In this respect it was submitted that the respondent has no control over the Global Fund and what it does. </w:t>
      </w:r>
      <w:proofErr w:type="spellStart"/>
      <w:r>
        <w:t>Mr</w:t>
      </w:r>
      <w:proofErr w:type="spellEnd"/>
      <w:r>
        <w:t xml:space="preserve"> Gutu</w:t>
      </w:r>
      <w:r>
        <w:rPr>
          <w:spacing w:val="40"/>
        </w:rPr>
        <w:t xml:space="preserve"> </w:t>
      </w:r>
      <w:r>
        <w:t xml:space="preserve">distanced the respondent from the allegation that splitting of posts </w:t>
      </w:r>
      <w:r>
        <w:t>was being done</w:t>
      </w:r>
      <w:r>
        <w:rPr>
          <w:spacing w:val="40"/>
        </w:rPr>
        <w:t xml:space="preserve"> </w:t>
      </w:r>
      <w:r>
        <w:t xml:space="preserve">using disciplinary proceedings against the applicant. Under the circumstances, </w:t>
      </w:r>
      <w:proofErr w:type="spellStart"/>
      <w:r>
        <w:t>Mr</w:t>
      </w:r>
      <w:proofErr w:type="spellEnd"/>
      <w:r>
        <w:t xml:space="preserve"> Gutu submitted that the</w:t>
      </w:r>
      <w:r>
        <w:rPr>
          <w:spacing w:val="40"/>
        </w:rPr>
        <w:t xml:space="preserve"> </w:t>
      </w:r>
      <w:r>
        <w:t xml:space="preserve">Court was being asked to preside over a matter which has already been determined and therefore </w:t>
      </w:r>
      <w:r>
        <w:rPr>
          <w:i/>
        </w:rPr>
        <w:t xml:space="preserve">res judicata. </w:t>
      </w:r>
      <w:r>
        <w:t>The applicant raised the question of the propriety of the appointment</w:t>
      </w:r>
      <w:r>
        <w:rPr>
          <w:spacing w:val="40"/>
        </w:rPr>
        <w:t xml:space="preserve"> </w:t>
      </w:r>
      <w:r>
        <w:t>of the respondent’s commissioners and</w:t>
      </w:r>
      <w:r>
        <w:rPr>
          <w:spacing w:val="40"/>
        </w:rPr>
        <w:t xml:space="preserve"> </w:t>
      </w:r>
      <w:r>
        <w:t xml:space="preserve">on that issue </w:t>
      </w:r>
      <w:proofErr w:type="spellStart"/>
      <w:r>
        <w:t>Mr</w:t>
      </w:r>
      <w:proofErr w:type="spellEnd"/>
      <w:r>
        <w:t xml:space="preserve"> Gutu argued that the said Commissioners have valid employment contracts and in any event the Commission was empowered</w:t>
      </w:r>
      <w:r>
        <w:rPr>
          <w:spacing w:val="-1"/>
        </w:rPr>
        <w:t xml:space="preserve"> </w:t>
      </w:r>
      <w:r>
        <w:t>to ratify</w:t>
      </w:r>
      <w:r>
        <w:rPr>
          <w:spacing w:val="-6"/>
        </w:rPr>
        <w:t xml:space="preserve"> </w:t>
      </w:r>
      <w:r>
        <w:t>what</w:t>
      </w:r>
      <w:r>
        <w:rPr>
          <w:spacing w:val="-1"/>
        </w:rPr>
        <w:t xml:space="preserve"> </w:t>
      </w:r>
      <w:r>
        <w:t>officers</w:t>
      </w:r>
      <w:r>
        <w:rPr>
          <w:spacing w:val="-1"/>
        </w:rPr>
        <w:t xml:space="preserve"> </w:t>
      </w:r>
      <w:r>
        <w:t>did</w:t>
      </w:r>
      <w:r>
        <w:rPr>
          <w:spacing w:val="-1"/>
        </w:rPr>
        <w:t xml:space="preserve"> </w:t>
      </w:r>
      <w:r>
        <w:t>should</w:t>
      </w:r>
      <w:r>
        <w:rPr>
          <w:spacing w:val="-1"/>
        </w:rPr>
        <w:t xml:space="preserve"> </w:t>
      </w:r>
      <w:r>
        <w:t>any</w:t>
      </w:r>
      <w:r>
        <w:rPr>
          <w:spacing w:val="-4"/>
        </w:rPr>
        <w:t xml:space="preserve"> </w:t>
      </w:r>
      <w:r>
        <w:t>issue</w:t>
      </w:r>
      <w:r>
        <w:rPr>
          <w:spacing w:val="-2"/>
        </w:rPr>
        <w:t xml:space="preserve"> </w:t>
      </w:r>
      <w:proofErr w:type="gramStart"/>
      <w:r>
        <w:t>arise .On</w:t>
      </w:r>
      <w:proofErr w:type="gramEnd"/>
      <w:r>
        <w:rPr>
          <w:spacing w:val="-1"/>
        </w:rPr>
        <w:t xml:space="preserve"> </w:t>
      </w:r>
      <w:r>
        <w:t>the</w:t>
      </w:r>
      <w:r>
        <w:rPr>
          <w:spacing w:val="-2"/>
        </w:rPr>
        <w:t xml:space="preserve"> </w:t>
      </w:r>
      <w:r>
        <w:t>question</w:t>
      </w:r>
      <w:r>
        <w:rPr>
          <w:spacing w:val="-1"/>
        </w:rPr>
        <w:t xml:space="preserve"> </w:t>
      </w:r>
      <w:r>
        <w:t>of</w:t>
      </w:r>
      <w:r>
        <w:rPr>
          <w:spacing w:val="40"/>
        </w:rPr>
        <w:t xml:space="preserve"> </w:t>
      </w:r>
      <w:r>
        <w:t>urgency,</w:t>
      </w:r>
      <w:r>
        <w:rPr>
          <w:spacing w:val="-1"/>
        </w:rPr>
        <w:t xml:space="preserve"> </w:t>
      </w:r>
      <w:proofErr w:type="spellStart"/>
      <w:r>
        <w:t>Mr</w:t>
      </w:r>
      <w:proofErr w:type="spellEnd"/>
      <w:r>
        <w:t xml:space="preserve"> Gutu argued that in the event that the applicant succeeds in his appeal he will be reinstated and entitled to his salary. On the other hand, should the applicant lose the appeal it will prejudice the respondent. Under the circumstances therefore the submission was that there was no urgency as no irreparable damage would be suffered by the applicant should the decision not be stayed. The applicant also held the view that the respondent in the earlier application</w:t>
      </w:r>
      <w:r>
        <w:rPr>
          <w:spacing w:val="-1"/>
        </w:rPr>
        <w:t xml:space="preserve"> </w:t>
      </w:r>
      <w:r>
        <w:t>mi</w:t>
      </w:r>
      <w:r>
        <w:t>sled</w:t>
      </w:r>
      <w:r>
        <w:rPr>
          <w:spacing w:val="-1"/>
        </w:rPr>
        <w:t xml:space="preserve"> </w:t>
      </w:r>
      <w:r>
        <w:t>the</w:t>
      </w:r>
      <w:r>
        <w:rPr>
          <w:spacing w:val="-2"/>
        </w:rPr>
        <w:t xml:space="preserve"> </w:t>
      </w:r>
      <w:r>
        <w:t>Court. In</w:t>
      </w:r>
      <w:r>
        <w:rPr>
          <w:spacing w:val="-1"/>
        </w:rPr>
        <w:t xml:space="preserve"> </w:t>
      </w:r>
      <w:r>
        <w:t>the</w:t>
      </w:r>
      <w:r>
        <w:rPr>
          <w:spacing w:val="-2"/>
        </w:rPr>
        <w:t xml:space="preserve"> </w:t>
      </w:r>
      <w:r>
        <w:t>event</w:t>
      </w:r>
      <w:r>
        <w:rPr>
          <w:spacing w:val="40"/>
        </w:rPr>
        <w:t xml:space="preserve"> </w:t>
      </w:r>
      <w:r>
        <w:t>that</w:t>
      </w:r>
      <w:r>
        <w:rPr>
          <w:spacing w:val="40"/>
        </w:rPr>
        <w:t xml:space="preserve"> </w:t>
      </w:r>
      <w:r>
        <w:t>the</w:t>
      </w:r>
      <w:r>
        <w:rPr>
          <w:spacing w:val="-2"/>
        </w:rPr>
        <w:t xml:space="preserve"> </w:t>
      </w:r>
      <w:r>
        <w:t>respondent</w:t>
      </w:r>
      <w:r>
        <w:rPr>
          <w:spacing w:val="-1"/>
        </w:rPr>
        <w:t xml:space="preserve"> </w:t>
      </w:r>
      <w:r>
        <w:t>misled</w:t>
      </w:r>
      <w:r>
        <w:rPr>
          <w:spacing w:val="-1"/>
        </w:rPr>
        <w:t xml:space="preserve"> </w:t>
      </w:r>
      <w:r>
        <w:t>the Court,</w:t>
      </w:r>
      <w:r>
        <w:rPr>
          <w:spacing w:val="-1"/>
        </w:rPr>
        <w:t xml:space="preserve"> </w:t>
      </w:r>
      <w:r>
        <w:t>in</w:t>
      </w:r>
      <w:r>
        <w:rPr>
          <w:spacing w:val="-1"/>
        </w:rPr>
        <w:t xml:space="preserve"> </w:t>
      </w:r>
      <w:r>
        <w:t>the</w:t>
      </w:r>
      <w:r>
        <w:rPr>
          <w:spacing w:val="-2"/>
        </w:rPr>
        <w:t xml:space="preserve"> </w:t>
      </w:r>
      <w:r>
        <w:t>earlier application, the</w:t>
      </w:r>
      <w:r>
        <w:rPr>
          <w:spacing w:val="40"/>
        </w:rPr>
        <w:t xml:space="preserve"> </w:t>
      </w:r>
      <w:r>
        <w:t>proper course of action to take was to seek rescission of Honourable</w:t>
      </w:r>
    </w:p>
    <w:p w14:paraId="5AD02EA2" w14:textId="77777777" w:rsidR="00EB0171" w:rsidRDefault="00453011">
      <w:pPr>
        <w:pStyle w:val="BodyText"/>
        <w:spacing w:before="2"/>
        <w:ind w:left="100"/>
      </w:pPr>
      <w:r>
        <w:t>Musariri</w:t>
      </w:r>
      <w:r>
        <w:rPr>
          <w:spacing w:val="-3"/>
        </w:rPr>
        <w:t xml:space="preserve"> </w:t>
      </w:r>
      <w:r>
        <w:t>J’s</w:t>
      </w:r>
      <w:r>
        <w:rPr>
          <w:spacing w:val="-2"/>
        </w:rPr>
        <w:t xml:space="preserve"> </w:t>
      </w:r>
      <w:r>
        <w:t>judgment</w:t>
      </w:r>
      <w:r>
        <w:rPr>
          <w:spacing w:val="-1"/>
        </w:rPr>
        <w:t xml:space="preserve"> </w:t>
      </w:r>
      <w:proofErr w:type="spellStart"/>
      <w:r>
        <w:t>Mr</w:t>
      </w:r>
      <w:proofErr w:type="spellEnd"/>
      <w:r>
        <w:rPr>
          <w:spacing w:val="-1"/>
        </w:rPr>
        <w:t xml:space="preserve"> </w:t>
      </w:r>
      <w:r>
        <w:t>Gutu</w:t>
      </w:r>
      <w:r>
        <w:rPr>
          <w:spacing w:val="-1"/>
        </w:rPr>
        <w:t xml:space="preserve"> </w:t>
      </w:r>
      <w:r>
        <w:t>submitted,</w:t>
      </w:r>
      <w:r>
        <w:rPr>
          <w:spacing w:val="-1"/>
        </w:rPr>
        <w:t xml:space="preserve"> </w:t>
      </w:r>
      <w:r>
        <w:t>and</w:t>
      </w:r>
      <w:r>
        <w:rPr>
          <w:spacing w:val="-1"/>
        </w:rPr>
        <w:t xml:space="preserve"> </w:t>
      </w:r>
      <w:r>
        <w:t>not</w:t>
      </w:r>
      <w:r>
        <w:rPr>
          <w:spacing w:val="-1"/>
        </w:rPr>
        <w:t xml:space="preserve"> </w:t>
      </w:r>
      <w:r>
        <w:t>the</w:t>
      </w:r>
      <w:r>
        <w:rPr>
          <w:spacing w:val="-2"/>
        </w:rPr>
        <w:t xml:space="preserve"> </w:t>
      </w:r>
      <w:r>
        <w:t xml:space="preserve">present </w:t>
      </w:r>
      <w:r>
        <w:rPr>
          <w:spacing w:val="-2"/>
        </w:rPr>
        <w:t>application.</w:t>
      </w:r>
    </w:p>
    <w:p w14:paraId="7F99F243" w14:textId="77777777" w:rsidR="00EB0171" w:rsidRDefault="00EB0171">
      <w:pPr>
        <w:sectPr w:rsidR="00EB0171">
          <w:pgSz w:w="11910" w:h="16840"/>
          <w:pgMar w:top="960" w:right="900" w:bottom="280" w:left="1340" w:header="751" w:footer="0" w:gutter="0"/>
          <w:cols w:space="720"/>
        </w:sectPr>
      </w:pPr>
    </w:p>
    <w:p w14:paraId="4FEFFD62" w14:textId="77777777" w:rsidR="00EB0171" w:rsidRDefault="00EB0171">
      <w:pPr>
        <w:pStyle w:val="BodyText"/>
        <w:spacing w:before="191"/>
      </w:pPr>
    </w:p>
    <w:p w14:paraId="44D87AFC" w14:textId="77777777" w:rsidR="00EB0171" w:rsidRDefault="00453011">
      <w:pPr>
        <w:pStyle w:val="BodyText"/>
        <w:spacing w:line="360" w:lineRule="auto"/>
        <w:ind w:left="100" w:right="571"/>
      </w:pPr>
      <w:r>
        <w:t xml:space="preserve">The position of the applicant on the other hand is that there has been a change of circumstances. The thrust of </w:t>
      </w:r>
      <w:proofErr w:type="spellStart"/>
      <w:r>
        <w:t>Mr</w:t>
      </w:r>
      <w:proofErr w:type="spellEnd"/>
      <w:r>
        <w:t xml:space="preserve"> </w:t>
      </w:r>
      <w:proofErr w:type="spellStart"/>
      <w:r>
        <w:t>Magogo’s</w:t>
      </w:r>
      <w:proofErr w:type="spellEnd"/>
      <w:r>
        <w:t xml:space="preserve"> argument is that there is proof that the applicant’s post is being split. That being the case, the argument </w:t>
      </w:r>
      <w:proofErr w:type="gramStart"/>
      <w:r>
        <w:t>continued ,</w:t>
      </w:r>
      <w:proofErr w:type="gramEnd"/>
      <w:r>
        <w:t xml:space="preserve"> the post cannot be split before the applicant has been heard. The Court was referred to the case of</w:t>
      </w:r>
      <w:r>
        <w:rPr>
          <w:spacing w:val="40"/>
        </w:rPr>
        <w:t xml:space="preserve"> </w:t>
      </w:r>
      <w:r>
        <w:rPr>
          <w:b/>
        </w:rPr>
        <w:t>Taylor v The Minister of Education &amp; Anor 1996 (2) ZLR 772(S)</w:t>
      </w:r>
      <w:r>
        <w:rPr>
          <w:b/>
          <w:spacing w:val="77"/>
        </w:rPr>
        <w:t xml:space="preserve"> </w:t>
      </w:r>
      <w:r>
        <w:t xml:space="preserve">in support of this argument. A copy of an advert which forms part of the </w:t>
      </w:r>
      <w:proofErr w:type="gramStart"/>
      <w:r>
        <w:t>record(</w:t>
      </w:r>
      <w:proofErr w:type="gramEnd"/>
      <w:r>
        <w:t>page 29 of the record) and is said to have been flighted</w:t>
      </w:r>
      <w:r>
        <w:rPr>
          <w:spacing w:val="-2"/>
        </w:rPr>
        <w:t xml:space="preserve"> </w:t>
      </w:r>
      <w:r>
        <w:t>in</w:t>
      </w:r>
      <w:r>
        <w:rPr>
          <w:spacing w:val="-2"/>
        </w:rPr>
        <w:t xml:space="preserve"> </w:t>
      </w:r>
      <w:r>
        <w:t>the</w:t>
      </w:r>
      <w:r>
        <w:rPr>
          <w:spacing w:val="-2"/>
        </w:rPr>
        <w:t xml:space="preserve"> </w:t>
      </w:r>
      <w:r>
        <w:t>press</w:t>
      </w:r>
      <w:r>
        <w:rPr>
          <w:spacing w:val="-2"/>
        </w:rPr>
        <w:t xml:space="preserve"> </w:t>
      </w:r>
      <w:r>
        <w:t>(Sunday</w:t>
      </w:r>
      <w:r>
        <w:rPr>
          <w:spacing w:val="-7"/>
        </w:rPr>
        <w:t xml:space="preserve"> </w:t>
      </w:r>
      <w:r>
        <w:t>Mail)</w:t>
      </w:r>
      <w:r>
        <w:rPr>
          <w:spacing w:val="-2"/>
        </w:rPr>
        <w:t xml:space="preserve"> </w:t>
      </w:r>
      <w:r>
        <w:t>on</w:t>
      </w:r>
      <w:r>
        <w:rPr>
          <w:spacing w:val="-2"/>
        </w:rPr>
        <w:t xml:space="preserve"> </w:t>
      </w:r>
      <w:r>
        <w:t>11</w:t>
      </w:r>
      <w:r>
        <w:rPr>
          <w:vertAlign w:val="superscript"/>
        </w:rPr>
        <w:t>th</w:t>
      </w:r>
      <w:r>
        <w:rPr>
          <w:spacing w:val="-1"/>
        </w:rPr>
        <w:t xml:space="preserve"> </w:t>
      </w:r>
      <w:r>
        <w:t>February</w:t>
      </w:r>
      <w:r>
        <w:rPr>
          <w:spacing w:val="-7"/>
        </w:rPr>
        <w:t xml:space="preserve"> </w:t>
      </w:r>
      <w:r>
        <w:t>2024</w:t>
      </w:r>
      <w:r>
        <w:rPr>
          <w:spacing w:val="-2"/>
        </w:rPr>
        <w:t xml:space="preserve"> </w:t>
      </w:r>
      <w:r>
        <w:t>is</w:t>
      </w:r>
      <w:r>
        <w:rPr>
          <w:spacing w:val="-1"/>
        </w:rPr>
        <w:t xml:space="preserve"> </w:t>
      </w:r>
      <w:r>
        <w:t>according</w:t>
      </w:r>
      <w:r>
        <w:rPr>
          <w:spacing w:val="-5"/>
        </w:rPr>
        <w:t xml:space="preserve"> </w:t>
      </w:r>
      <w:r>
        <w:t>to</w:t>
      </w:r>
      <w:r>
        <w:rPr>
          <w:spacing w:val="-2"/>
        </w:rPr>
        <w:t xml:space="preserve"> </w:t>
      </w:r>
      <w:r>
        <w:t>the</w:t>
      </w:r>
      <w:r>
        <w:rPr>
          <w:spacing w:val="-3"/>
        </w:rPr>
        <w:t xml:space="preserve"> </w:t>
      </w:r>
      <w:r>
        <w:t>applicant</w:t>
      </w:r>
      <w:r>
        <w:rPr>
          <w:spacing w:val="-2"/>
        </w:rPr>
        <w:t xml:space="preserve"> </w:t>
      </w:r>
      <w:r>
        <w:t xml:space="preserve">, </w:t>
      </w:r>
      <w:r>
        <w:t>proof that the post is being split .This is what the applicant referred to as the change of circumstances. This advert was not available when the matter was initially heard. The argument is that there is therefore</w:t>
      </w:r>
      <w:r>
        <w:rPr>
          <w:spacing w:val="-1"/>
        </w:rPr>
        <w:t xml:space="preserve"> </w:t>
      </w:r>
      <w:r>
        <w:t>a new cause of action. In the circumstances the submission is that</w:t>
      </w:r>
      <w:r>
        <w:rPr>
          <w:spacing w:val="40"/>
        </w:rPr>
        <w:t xml:space="preserve"> </w:t>
      </w:r>
      <w:r>
        <w:t xml:space="preserve">the question of </w:t>
      </w:r>
      <w:r>
        <w:rPr>
          <w:i/>
        </w:rPr>
        <w:t xml:space="preserve">res judicata </w:t>
      </w:r>
      <w:r>
        <w:t xml:space="preserve">does not arise. Advocate </w:t>
      </w:r>
      <w:proofErr w:type="spellStart"/>
      <w:r>
        <w:t>Magogo</w:t>
      </w:r>
      <w:proofErr w:type="spellEnd"/>
      <w:r>
        <w:t xml:space="preserve"> strenuously argued at length basing his argument on the change of circumstances and the need for applicant to be heard before a split to his post is made. Advocate </w:t>
      </w:r>
      <w:proofErr w:type="spellStart"/>
      <w:r>
        <w:t>Magogo</w:t>
      </w:r>
      <w:proofErr w:type="spellEnd"/>
      <w:r>
        <w:t xml:space="preserve"> submitted that in the earlier application the Court was misled into believing that there was no such split when all along</w:t>
      </w:r>
      <w:r>
        <w:rPr>
          <w:spacing w:val="40"/>
        </w:rPr>
        <w:t xml:space="preserve"> </w:t>
      </w:r>
      <w:r>
        <w:t xml:space="preserve">the respondent knew that this was going to happen and the advert is proof of that. Advocate </w:t>
      </w:r>
      <w:proofErr w:type="spellStart"/>
      <w:r>
        <w:t>Magogo</w:t>
      </w:r>
      <w:proofErr w:type="spellEnd"/>
      <w:r>
        <w:t xml:space="preserve"> submitted that because the respondent was aware of the impending split but did not disclose this, it lied to the Court and that this Court must frown upon a lying litigant. The Court was referred to authority in support of this submission.</w:t>
      </w:r>
    </w:p>
    <w:p w14:paraId="3FF2DBFB" w14:textId="77777777" w:rsidR="00EB0171" w:rsidRDefault="00453011">
      <w:pPr>
        <w:pStyle w:val="BodyText"/>
        <w:spacing w:before="160" w:line="360" w:lineRule="auto"/>
        <w:ind w:left="100" w:right="579"/>
      </w:pPr>
      <w:r>
        <w:t>After reading the papers and hearing the parties the Court must find whether or not this application</w:t>
      </w:r>
      <w:r>
        <w:rPr>
          <w:spacing w:val="-2"/>
        </w:rPr>
        <w:t xml:space="preserve"> </w:t>
      </w:r>
      <w:r>
        <w:t>is</w:t>
      </w:r>
      <w:r>
        <w:rPr>
          <w:spacing w:val="-1"/>
        </w:rPr>
        <w:t xml:space="preserve"> </w:t>
      </w:r>
      <w:r>
        <w:rPr>
          <w:i/>
        </w:rPr>
        <w:t>res</w:t>
      </w:r>
      <w:r>
        <w:rPr>
          <w:i/>
          <w:spacing w:val="-2"/>
        </w:rPr>
        <w:t xml:space="preserve"> </w:t>
      </w:r>
      <w:proofErr w:type="gramStart"/>
      <w:r>
        <w:rPr>
          <w:i/>
        </w:rPr>
        <w:t>judicata</w:t>
      </w:r>
      <w:r>
        <w:rPr>
          <w:i/>
          <w:spacing w:val="-1"/>
        </w:rPr>
        <w:t xml:space="preserve"> </w:t>
      </w:r>
      <w:r>
        <w:t>,</w:t>
      </w:r>
      <w:proofErr w:type="gramEnd"/>
      <w:r>
        <w:rPr>
          <w:spacing w:val="-2"/>
        </w:rPr>
        <w:t xml:space="preserve"> </w:t>
      </w:r>
      <w:r>
        <w:t>that</w:t>
      </w:r>
      <w:r>
        <w:rPr>
          <w:spacing w:val="-2"/>
        </w:rPr>
        <w:t xml:space="preserve"> </w:t>
      </w:r>
      <w:r>
        <w:t>is</w:t>
      </w:r>
      <w:r>
        <w:rPr>
          <w:spacing w:val="-2"/>
        </w:rPr>
        <w:t xml:space="preserve"> </w:t>
      </w:r>
      <w:r>
        <w:t>to</w:t>
      </w:r>
      <w:r>
        <w:rPr>
          <w:spacing w:val="-2"/>
        </w:rPr>
        <w:t xml:space="preserve"> </w:t>
      </w:r>
      <w:r>
        <w:t>say</w:t>
      </w:r>
      <w:r>
        <w:rPr>
          <w:spacing w:val="-7"/>
        </w:rPr>
        <w:t xml:space="preserve"> </w:t>
      </w:r>
      <w:r>
        <w:t>that</w:t>
      </w:r>
      <w:r>
        <w:rPr>
          <w:spacing w:val="-2"/>
        </w:rPr>
        <w:t xml:space="preserve"> </w:t>
      </w:r>
      <w:r>
        <w:t>‘</w:t>
      </w:r>
      <w:r>
        <w:rPr>
          <w:spacing w:val="-2"/>
        </w:rPr>
        <w:t xml:space="preserve"> </w:t>
      </w:r>
      <w:r>
        <w:t>a</w:t>
      </w:r>
      <w:r>
        <w:rPr>
          <w:spacing w:val="-1"/>
        </w:rPr>
        <w:t xml:space="preserve"> </w:t>
      </w:r>
      <w:r>
        <w:t>final</w:t>
      </w:r>
      <w:r>
        <w:rPr>
          <w:spacing w:val="-2"/>
        </w:rPr>
        <w:t xml:space="preserve"> </w:t>
      </w:r>
      <w:r>
        <w:t>definitive</w:t>
      </w:r>
      <w:r>
        <w:rPr>
          <w:spacing w:val="-3"/>
        </w:rPr>
        <w:t xml:space="preserve"> </w:t>
      </w:r>
      <w:r>
        <w:t>judgment</w:t>
      </w:r>
      <w:r>
        <w:rPr>
          <w:spacing w:val="-2"/>
        </w:rPr>
        <w:t xml:space="preserve"> </w:t>
      </w:r>
      <w:r>
        <w:t>has</w:t>
      </w:r>
      <w:r>
        <w:rPr>
          <w:spacing w:val="-3"/>
        </w:rPr>
        <w:t xml:space="preserve"> </w:t>
      </w:r>
      <w:r>
        <w:t>already</w:t>
      </w:r>
      <w:r>
        <w:rPr>
          <w:spacing w:val="-7"/>
        </w:rPr>
        <w:t xml:space="preserve"> </w:t>
      </w:r>
      <w:r>
        <w:t>been</w:t>
      </w:r>
    </w:p>
    <w:p w14:paraId="62EDFC21" w14:textId="77777777" w:rsidR="00EB0171" w:rsidRDefault="00453011">
      <w:pPr>
        <w:pStyle w:val="BodyText"/>
        <w:spacing w:line="360" w:lineRule="auto"/>
        <w:ind w:left="100" w:right="551"/>
        <w:jc w:val="both"/>
      </w:pPr>
      <w:r>
        <w:t>made</w:t>
      </w:r>
      <w:r>
        <w:rPr>
          <w:spacing w:val="-2"/>
        </w:rPr>
        <w:t xml:space="preserve"> </w:t>
      </w:r>
      <w:r>
        <w:t>on the merits</w:t>
      </w:r>
      <w:r>
        <w:rPr>
          <w:spacing w:val="40"/>
        </w:rPr>
        <w:t xml:space="preserve"> </w:t>
      </w:r>
      <w:r>
        <w:t>by</w:t>
      </w:r>
      <w:r>
        <w:rPr>
          <w:spacing w:val="-5"/>
        </w:rPr>
        <w:t xml:space="preserve"> </w:t>
      </w:r>
      <w:r>
        <w:t>a competent court.’ A finding</w:t>
      </w:r>
      <w:r>
        <w:rPr>
          <w:spacing w:val="40"/>
        </w:rPr>
        <w:t xml:space="preserve"> </w:t>
      </w:r>
      <w:r>
        <w:t>that</w:t>
      </w:r>
      <w:r>
        <w:rPr>
          <w:spacing w:val="40"/>
        </w:rPr>
        <w:t xml:space="preserve"> </w:t>
      </w:r>
      <w:r>
        <w:t xml:space="preserve">the application is </w:t>
      </w:r>
      <w:r>
        <w:rPr>
          <w:i/>
        </w:rPr>
        <w:t xml:space="preserve">res judicata </w:t>
      </w:r>
      <w:r>
        <w:t>will dispose</w:t>
      </w:r>
      <w:r>
        <w:rPr>
          <w:spacing w:val="-3"/>
        </w:rPr>
        <w:t xml:space="preserve"> </w:t>
      </w:r>
      <w:r>
        <w:t>of</w:t>
      </w:r>
      <w:r>
        <w:rPr>
          <w:spacing w:val="-2"/>
        </w:rPr>
        <w:t xml:space="preserve"> </w:t>
      </w:r>
      <w:r>
        <w:t>the</w:t>
      </w:r>
      <w:r>
        <w:rPr>
          <w:spacing w:val="-4"/>
        </w:rPr>
        <w:t xml:space="preserve"> </w:t>
      </w:r>
      <w:r>
        <w:t>application</w:t>
      </w:r>
      <w:r>
        <w:rPr>
          <w:spacing w:val="-2"/>
        </w:rPr>
        <w:t xml:space="preserve"> </w:t>
      </w:r>
      <w:r>
        <w:t>and</w:t>
      </w:r>
      <w:r>
        <w:rPr>
          <w:spacing w:val="-2"/>
        </w:rPr>
        <w:t xml:space="preserve"> </w:t>
      </w:r>
      <w:r>
        <w:t>a</w:t>
      </w:r>
      <w:r>
        <w:rPr>
          <w:spacing w:val="-3"/>
        </w:rPr>
        <w:t xml:space="preserve"> </w:t>
      </w:r>
      <w:r>
        <w:t>finding</w:t>
      </w:r>
      <w:r>
        <w:rPr>
          <w:spacing w:val="-5"/>
        </w:rPr>
        <w:t xml:space="preserve"> </w:t>
      </w:r>
      <w:r>
        <w:t>that</w:t>
      </w:r>
      <w:r>
        <w:rPr>
          <w:spacing w:val="-2"/>
        </w:rPr>
        <w:t xml:space="preserve"> </w:t>
      </w:r>
      <w:r>
        <w:t>the</w:t>
      </w:r>
      <w:r>
        <w:rPr>
          <w:spacing w:val="-1"/>
        </w:rPr>
        <w:t xml:space="preserve"> </w:t>
      </w:r>
      <w:r>
        <w:t>matter</w:t>
      </w:r>
      <w:r>
        <w:rPr>
          <w:spacing w:val="-4"/>
        </w:rPr>
        <w:t xml:space="preserve"> </w:t>
      </w:r>
      <w:r>
        <w:t>is</w:t>
      </w:r>
      <w:r>
        <w:rPr>
          <w:spacing w:val="-2"/>
        </w:rPr>
        <w:t xml:space="preserve"> </w:t>
      </w:r>
      <w:r>
        <w:t>different</w:t>
      </w:r>
      <w:r>
        <w:rPr>
          <w:spacing w:val="-2"/>
        </w:rPr>
        <w:t xml:space="preserve"> </w:t>
      </w:r>
      <w:r>
        <w:t>from</w:t>
      </w:r>
      <w:r>
        <w:rPr>
          <w:spacing w:val="-2"/>
        </w:rPr>
        <w:t xml:space="preserve"> </w:t>
      </w:r>
      <w:r>
        <w:t>the</w:t>
      </w:r>
      <w:r>
        <w:rPr>
          <w:spacing w:val="-3"/>
        </w:rPr>
        <w:t xml:space="preserve"> </w:t>
      </w:r>
      <w:r>
        <w:t>earlier</w:t>
      </w:r>
      <w:r>
        <w:rPr>
          <w:spacing w:val="-2"/>
        </w:rPr>
        <w:t xml:space="preserve"> </w:t>
      </w:r>
      <w:r>
        <w:t>application will enable the matter to proceed further.</w:t>
      </w:r>
    </w:p>
    <w:p w14:paraId="5EEE76EC" w14:textId="77777777" w:rsidR="00EB0171" w:rsidRDefault="00453011">
      <w:pPr>
        <w:spacing w:before="161" w:line="360" w:lineRule="auto"/>
        <w:ind w:left="100" w:right="579"/>
        <w:rPr>
          <w:sz w:val="24"/>
        </w:rPr>
      </w:pPr>
      <w:r>
        <w:rPr>
          <w:sz w:val="24"/>
        </w:rPr>
        <w:t xml:space="preserve">In </w:t>
      </w:r>
      <w:r>
        <w:rPr>
          <w:b/>
          <w:sz w:val="24"/>
        </w:rPr>
        <w:t xml:space="preserve">Farai Nigel </w:t>
      </w:r>
      <w:proofErr w:type="spellStart"/>
      <w:r>
        <w:rPr>
          <w:b/>
          <w:sz w:val="24"/>
        </w:rPr>
        <w:t>Chitsinde</w:t>
      </w:r>
      <w:proofErr w:type="spellEnd"/>
      <w:r>
        <w:rPr>
          <w:b/>
          <w:sz w:val="24"/>
        </w:rPr>
        <w:t xml:space="preserve"> and Nyasha Amanda </w:t>
      </w:r>
      <w:proofErr w:type="spellStart"/>
      <w:r>
        <w:rPr>
          <w:b/>
          <w:sz w:val="24"/>
        </w:rPr>
        <w:t>Chitsinde</w:t>
      </w:r>
      <w:proofErr w:type="spellEnd"/>
      <w:r>
        <w:rPr>
          <w:b/>
          <w:sz w:val="24"/>
        </w:rPr>
        <w:t xml:space="preserve"> v Stanny Musa and The Registrar</w:t>
      </w:r>
      <w:r>
        <w:rPr>
          <w:b/>
          <w:spacing w:val="-4"/>
          <w:sz w:val="24"/>
        </w:rPr>
        <w:t xml:space="preserve"> </w:t>
      </w:r>
      <w:r>
        <w:rPr>
          <w:b/>
          <w:sz w:val="24"/>
        </w:rPr>
        <w:t>of</w:t>
      </w:r>
      <w:r>
        <w:rPr>
          <w:b/>
          <w:spacing w:val="-2"/>
          <w:sz w:val="24"/>
        </w:rPr>
        <w:t xml:space="preserve"> </w:t>
      </w:r>
      <w:r>
        <w:rPr>
          <w:b/>
          <w:sz w:val="24"/>
        </w:rPr>
        <w:t>Deeds</w:t>
      </w:r>
      <w:r>
        <w:rPr>
          <w:b/>
          <w:spacing w:val="-3"/>
          <w:sz w:val="24"/>
        </w:rPr>
        <w:t xml:space="preserve"> </w:t>
      </w:r>
      <w:r>
        <w:rPr>
          <w:b/>
          <w:sz w:val="24"/>
        </w:rPr>
        <w:t>and</w:t>
      </w:r>
      <w:r>
        <w:rPr>
          <w:b/>
          <w:spacing w:val="-5"/>
          <w:sz w:val="24"/>
        </w:rPr>
        <w:t xml:space="preserve"> </w:t>
      </w:r>
      <w:r>
        <w:rPr>
          <w:b/>
          <w:sz w:val="24"/>
        </w:rPr>
        <w:t>The</w:t>
      </w:r>
      <w:r>
        <w:rPr>
          <w:b/>
          <w:spacing w:val="-4"/>
          <w:sz w:val="24"/>
        </w:rPr>
        <w:t xml:space="preserve"> </w:t>
      </w:r>
      <w:r>
        <w:rPr>
          <w:b/>
          <w:sz w:val="24"/>
        </w:rPr>
        <w:t>Deputy</w:t>
      </w:r>
      <w:r>
        <w:rPr>
          <w:b/>
          <w:spacing w:val="-3"/>
          <w:sz w:val="24"/>
        </w:rPr>
        <w:t xml:space="preserve"> </w:t>
      </w:r>
      <w:r>
        <w:rPr>
          <w:b/>
          <w:sz w:val="24"/>
        </w:rPr>
        <w:t>Sheriff</w:t>
      </w:r>
      <w:r>
        <w:rPr>
          <w:b/>
          <w:spacing w:val="-2"/>
          <w:sz w:val="24"/>
        </w:rPr>
        <w:t xml:space="preserve"> </w:t>
      </w:r>
      <w:r>
        <w:rPr>
          <w:b/>
          <w:sz w:val="24"/>
        </w:rPr>
        <w:t>HH</w:t>
      </w:r>
      <w:r>
        <w:rPr>
          <w:b/>
          <w:spacing w:val="-5"/>
          <w:sz w:val="24"/>
        </w:rPr>
        <w:t xml:space="preserve"> </w:t>
      </w:r>
      <w:r>
        <w:rPr>
          <w:b/>
          <w:sz w:val="24"/>
        </w:rPr>
        <w:t>274-2010</w:t>
      </w:r>
      <w:r>
        <w:rPr>
          <w:b/>
          <w:spacing w:val="40"/>
          <w:sz w:val="24"/>
        </w:rPr>
        <w:t xml:space="preserve"> </w:t>
      </w:r>
      <w:r>
        <w:rPr>
          <w:sz w:val="24"/>
        </w:rPr>
        <w:t>the</w:t>
      </w:r>
      <w:r>
        <w:rPr>
          <w:spacing w:val="-3"/>
          <w:sz w:val="24"/>
        </w:rPr>
        <w:t xml:space="preserve"> </w:t>
      </w:r>
      <w:r>
        <w:rPr>
          <w:sz w:val="24"/>
        </w:rPr>
        <w:t>High</w:t>
      </w:r>
      <w:r>
        <w:rPr>
          <w:spacing w:val="-3"/>
          <w:sz w:val="24"/>
        </w:rPr>
        <w:t xml:space="preserve"> </w:t>
      </w:r>
      <w:r>
        <w:rPr>
          <w:sz w:val="24"/>
        </w:rPr>
        <w:t>Court</w:t>
      </w:r>
      <w:r>
        <w:rPr>
          <w:spacing w:val="-3"/>
          <w:sz w:val="24"/>
        </w:rPr>
        <w:t xml:space="preserve"> </w:t>
      </w:r>
      <w:r>
        <w:rPr>
          <w:sz w:val="24"/>
        </w:rPr>
        <w:t>stated</w:t>
      </w:r>
      <w:r>
        <w:rPr>
          <w:spacing w:val="-3"/>
          <w:sz w:val="24"/>
        </w:rPr>
        <w:t xml:space="preserve"> </w:t>
      </w:r>
      <w:r>
        <w:rPr>
          <w:sz w:val="24"/>
        </w:rPr>
        <w:t>that</w:t>
      </w:r>
      <w:r>
        <w:rPr>
          <w:spacing w:val="-3"/>
          <w:sz w:val="24"/>
        </w:rPr>
        <w:t xml:space="preserve"> </w:t>
      </w:r>
      <w:r>
        <w:rPr>
          <w:sz w:val="24"/>
        </w:rPr>
        <w:t>the requirements for establishing</w:t>
      </w:r>
      <w:r>
        <w:rPr>
          <w:spacing w:val="40"/>
          <w:sz w:val="24"/>
        </w:rPr>
        <w:t xml:space="preserve"> </w:t>
      </w:r>
      <w:r>
        <w:rPr>
          <w:sz w:val="24"/>
        </w:rPr>
        <w:t xml:space="preserve">the question of </w:t>
      </w:r>
      <w:r>
        <w:rPr>
          <w:i/>
          <w:sz w:val="24"/>
        </w:rPr>
        <w:t xml:space="preserve">res judicata </w:t>
      </w:r>
      <w:r>
        <w:rPr>
          <w:sz w:val="24"/>
        </w:rPr>
        <w:t>are</w:t>
      </w:r>
      <w:r>
        <w:rPr>
          <w:spacing w:val="40"/>
          <w:sz w:val="24"/>
        </w:rPr>
        <w:t xml:space="preserve"> </w:t>
      </w:r>
      <w:r>
        <w:rPr>
          <w:sz w:val="24"/>
        </w:rPr>
        <w:t>that:</w:t>
      </w:r>
    </w:p>
    <w:p w14:paraId="7D551C04" w14:textId="77777777" w:rsidR="00EB0171" w:rsidRDefault="00453011">
      <w:pPr>
        <w:pStyle w:val="BodyText"/>
        <w:spacing w:before="162"/>
        <w:ind w:left="160"/>
      </w:pPr>
      <w:proofErr w:type="gramStart"/>
      <w:r>
        <w:t>‘</w:t>
      </w:r>
      <w:r>
        <w:rPr>
          <w:spacing w:val="-2"/>
        </w:rPr>
        <w:t xml:space="preserve"> </w:t>
      </w:r>
      <w:r>
        <w:t>-</w:t>
      </w:r>
      <w:proofErr w:type="gramEnd"/>
      <w:r>
        <w:rPr>
          <w:spacing w:val="58"/>
        </w:rPr>
        <w:t xml:space="preserve"> </w:t>
      </w:r>
      <w:r>
        <w:t>there</w:t>
      </w:r>
      <w:r>
        <w:rPr>
          <w:spacing w:val="-1"/>
        </w:rPr>
        <w:t xml:space="preserve"> </w:t>
      </w:r>
      <w:r>
        <w:t>is</w:t>
      </w:r>
      <w:r>
        <w:rPr>
          <w:spacing w:val="1"/>
        </w:rPr>
        <w:t xml:space="preserve"> </w:t>
      </w:r>
      <w:r>
        <w:t>a</w:t>
      </w:r>
      <w:r>
        <w:rPr>
          <w:spacing w:val="-1"/>
        </w:rPr>
        <w:t xml:space="preserve"> </w:t>
      </w:r>
      <w:r>
        <w:t>matter</w:t>
      </w:r>
      <w:r>
        <w:rPr>
          <w:spacing w:val="-2"/>
        </w:rPr>
        <w:t xml:space="preserve"> </w:t>
      </w:r>
      <w:r>
        <w:t>between</w:t>
      </w:r>
      <w:r>
        <w:rPr>
          <w:spacing w:val="-1"/>
        </w:rPr>
        <w:t xml:space="preserve"> </w:t>
      </w:r>
      <w:r>
        <w:t>the same</w:t>
      </w:r>
      <w:r>
        <w:rPr>
          <w:spacing w:val="-1"/>
        </w:rPr>
        <w:t xml:space="preserve"> </w:t>
      </w:r>
      <w:r>
        <w:rPr>
          <w:spacing w:val="-2"/>
        </w:rPr>
        <w:t>parties;</w:t>
      </w:r>
    </w:p>
    <w:p w14:paraId="4520AEF4" w14:textId="77777777" w:rsidR="00EB0171" w:rsidRDefault="00EB0171">
      <w:pPr>
        <w:pStyle w:val="BodyText"/>
        <w:spacing w:before="21"/>
      </w:pPr>
    </w:p>
    <w:p w14:paraId="11E496E4" w14:textId="77777777" w:rsidR="00EB0171" w:rsidRDefault="00453011">
      <w:pPr>
        <w:pStyle w:val="ListParagraph"/>
        <w:numPr>
          <w:ilvl w:val="0"/>
          <w:numId w:val="1"/>
        </w:numPr>
        <w:tabs>
          <w:tab w:val="left" w:pos="478"/>
        </w:tabs>
        <w:ind w:left="478" w:hanging="198"/>
        <w:rPr>
          <w:sz w:val="24"/>
        </w:rPr>
      </w:pPr>
      <w:r>
        <w:rPr>
          <w:sz w:val="24"/>
        </w:rPr>
        <w:t>in</w:t>
      </w:r>
      <w:r>
        <w:rPr>
          <w:spacing w:val="-1"/>
          <w:sz w:val="24"/>
        </w:rPr>
        <w:t xml:space="preserve"> </w:t>
      </w:r>
      <w:r>
        <w:rPr>
          <w:sz w:val="24"/>
        </w:rPr>
        <w:t>respect of the</w:t>
      </w:r>
      <w:r>
        <w:rPr>
          <w:spacing w:val="-3"/>
          <w:sz w:val="24"/>
        </w:rPr>
        <w:t xml:space="preserve"> </w:t>
      </w:r>
      <w:r>
        <w:rPr>
          <w:sz w:val="24"/>
        </w:rPr>
        <w:t>same</w:t>
      </w:r>
      <w:r>
        <w:rPr>
          <w:spacing w:val="-1"/>
          <w:sz w:val="24"/>
        </w:rPr>
        <w:t xml:space="preserve"> </w:t>
      </w:r>
      <w:r>
        <w:rPr>
          <w:sz w:val="24"/>
        </w:rPr>
        <w:t>issues as</w:t>
      </w:r>
      <w:r>
        <w:rPr>
          <w:spacing w:val="-1"/>
          <w:sz w:val="24"/>
        </w:rPr>
        <w:t xml:space="preserve"> </w:t>
      </w:r>
      <w:r>
        <w:rPr>
          <w:sz w:val="24"/>
        </w:rPr>
        <w:t>are</w:t>
      </w:r>
      <w:r>
        <w:rPr>
          <w:spacing w:val="-1"/>
          <w:sz w:val="24"/>
        </w:rPr>
        <w:t xml:space="preserve"> </w:t>
      </w:r>
      <w:r>
        <w:rPr>
          <w:sz w:val="24"/>
        </w:rPr>
        <w:t>now sought</w:t>
      </w:r>
      <w:r>
        <w:rPr>
          <w:spacing w:val="-1"/>
          <w:sz w:val="24"/>
        </w:rPr>
        <w:t xml:space="preserve"> </w:t>
      </w:r>
      <w:r>
        <w:rPr>
          <w:sz w:val="24"/>
        </w:rPr>
        <w:t>to be</w:t>
      </w:r>
      <w:r>
        <w:rPr>
          <w:spacing w:val="-1"/>
          <w:sz w:val="24"/>
        </w:rPr>
        <w:t xml:space="preserve"> </w:t>
      </w:r>
      <w:r>
        <w:rPr>
          <w:sz w:val="24"/>
        </w:rPr>
        <w:t>brought</w:t>
      </w:r>
      <w:r>
        <w:rPr>
          <w:spacing w:val="-1"/>
          <w:sz w:val="24"/>
        </w:rPr>
        <w:t xml:space="preserve"> </w:t>
      </w:r>
      <w:r>
        <w:rPr>
          <w:sz w:val="24"/>
        </w:rPr>
        <w:t>before</w:t>
      </w:r>
      <w:r>
        <w:rPr>
          <w:spacing w:val="-1"/>
          <w:sz w:val="24"/>
        </w:rPr>
        <w:t xml:space="preserve"> </w:t>
      </w:r>
      <w:r>
        <w:rPr>
          <w:sz w:val="24"/>
        </w:rPr>
        <w:t>the</w:t>
      </w:r>
      <w:r>
        <w:rPr>
          <w:spacing w:val="-1"/>
          <w:sz w:val="24"/>
        </w:rPr>
        <w:t xml:space="preserve"> </w:t>
      </w:r>
      <w:r>
        <w:rPr>
          <w:spacing w:val="-2"/>
          <w:sz w:val="24"/>
        </w:rPr>
        <w:t>court;</w:t>
      </w:r>
    </w:p>
    <w:p w14:paraId="097D70EA" w14:textId="77777777" w:rsidR="00EB0171" w:rsidRDefault="00EB0171">
      <w:pPr>
        <w:pStyle w:val="BodyText"/>
        <w:spacing w:before="22"/>
      </w:pPr>
    </w:p>
    <w:p w14:paraId="2C616A72" w14:textId="77777777" w:rsidR="00EB0171" w:rsidRDefault="00453011">
      <w:pPr>
        <w:pStyle w:val="ListParagraph"/>
        <w:numPr>
          <w:ilvl w:val="0"/>
          <w:numId w:val="1"/>
        </w:numPr>
        <w:tabs>
          <w:tab w:val="left" w:pos="538"/>
        </w:tabs>
        <w:ind w:left="538" w:hanging="258"/>
        <w:rPr>
          <w:sz w:val="24"/>
        </w:rPr>
      </w:pPr>
      <w:r>
        <w:rPr>
          <w:sz w:val="24"/>
        </w:rPr>
        <w:t>was</w:t>
      </w:r>
      <w:r>
        <w:rPr>
          <w:spacing w:val="58"/>
          <w:sz w:val="24"/>
        </w:rPr>
        <w:t xml:space="preserve"> </w:t>
      </w:r>
      <w:r>
        <w:rPr>
          <w:sz w:val="24"/>
        </w:rPr>
        <w:t>brought</w:t>
      </w:r>
      <w:r>
        <w:rPr>
          <w:spacing w:val="-1"/>
          <w:sz w:val="24"/>
        </w:rPr>
        <w:t xml:space="preserve"> </w:t>
      </w:r>
      <w:r>
        <w:rPr>
          <w:sz w:val="24"/>
        </w:rPr>
        <w:t>before</w:t>
      </w:r>
      <w:r>
        <w:rPr>
          <w:spacing w:val="59"/>
          <w:sz w:val="24"/>
        </w:rPr>
        <w:t xml:space="preserve"> </w:t>
      </w:r>
      <w:r>
        <w:rPr>
          <w:sz w:val="24"/>
        </w:rPr>
        <w:t>a</w:t>
      </w:r>
      <w:r>
        <w:rPr>
          <w:spacing w:val="-2"/>
          <w:sz w:val="24"/>
        </w:rPr>
        <w:t xml:space="preserve"> </w:t>
      </w:r>
      <w:r>
        <w:rPr>
          <w:sz w:val="24"/>
        </w:rPr>
        <w:t>court</w:t>
      </w:r>
      <w:r>
        <w:rPr>
          <w:spacing w:val="-1"/>
          <w:sz w:val="24"/>
        </w:rPr>
        <w:t xml:space="preserve"> </w:t>
      </w:r>
      <w:r>
        <w:rPr>
          <w:sz w:val="24"/>
        </w:rPr>
        <w:t xml:space="preserve">of competent </w:t>
      </w:r>
      <w:r>
        <w:rPr>
          <w:spacing w:val="-2"/>
          <w:sz w:val="24"/>
        </w:rPr>
        <w:t>jurisdiction;</w:t>
      </w:r>
    </w:p>
    <w:p w14:paraId="303D5C0D" w14:textId="77777777" w:rsidR="00EB0171" w:rsidRDefault="00453011">
      <w:pPr>
        <w:pStyle w:val="ListParagraph"/>
        <w:numPr>
          <w:ilvl w:val="0"/>
          <w:numId w:val="1"/>
        </w:numPr>
        <w:tabs>
          <w:tab w:val="left" w:pos="478"/>
        </w:tabs>
        <w:spacing w:before="137"/>
        <w:ind w:left="478" w:hanging="198"/>
        <w:rPr>
          <w:sz w:val="24"/>
        </w:rPr>
      </w:pPr>
      <w:r>
        <w:rPr>
          <w:sz w:val="24"/>
        </w:rPr>
        <w:t>which</w:t>
      </w:r>
      <w:r>
        <w:rPr>
          <w:spacing w:val="-1"/>
          <w:sz w:val="24"/>
        </w:rPr>
        <w:t xml:space="preserve"> </w:t>
      </w:r>
      <w:r>
        <w:rPr>
          <w:sz w:val="24"/>
        </w:rPr>
        <w:t>court</w:t>
      </w:r>
      <w:r>
        <w:rPr>
          <w:spacing w:val="-1"/>
          <w:sz w:val="24"/>
        </w:rPr>
        <w:t xml:space="preserve"> </w:t>
      </w:r>
      <w:r>
        <w:rPr>
          <w:sz w:val="24"/>
        </w:rPr>
        <w:t>made</w:t>
      </w:r>
      <w:r>
        <w:rPr>
          <w:spacing w:val="-2"/>
          <w:sz w:val="24"/>
        </w:rPr>
        <w:t xml:space="preserve"> </w:t>
      </w:r>
      <w:r>
        <w:rPr>
          <w:sz w:val="24"/>
        </w:rPr>
        <w:t>its</w:t>
      </w:r>
      <w:r>
        <w:rPr>
          <w:spacing w:val="-1"/>
          <w:sz w:val="24"/>
        </w:rPr>
        <w:t xml:space="preserve"> </w:t>
      </w:r>
      <w:r>
        <w:rPr>
          <w:sz w:val="24"/>
        </w:rPr>
        <w:t>determination</w:t>
      </w:r>
      <w:r>
        <w:rPr>
          <w:spacing w:val="-1"/>
          <w:sz w:val="24"/>
        </w:rPr>
        <w:t xml:space="preserve"> </w:t>
      </w:r>
      <w:r>
        <w:rPr>
          <w:sz w:val="24"/>
        </w:rPr>
        <w:t>on</w:t>
      </w:r>
      <w:r>
        <w:rPr>
          <w:spacing w:val="-1"/>
          <w:sz w:val="24"/>
        </w:rPr>
        <w:t xml:space="preserve"> </w:t>
      </w:r>
      <w:r>
        <w:rPr>
          <w:sz w:val="24"/>
        </w:rPr>
        <w:t xml:space="preserve">that </w:t>
      </w:r>
      <w:r>
        <w:rPr>
          <w:spacing w:val="-2"/>
          <w:sz w:val="24"/>
        </w:rPr>
        <w:t>issue.’</w:t>
      </w:r>
    </w:p>
    <w:p w14:paraId="3D0120E3" w14:textId="77777777" w:rsidR="00EB0171" w:rsidRDefault="00EB0171">
      <w:pPr>
        <w:pStyle w:val="BodyText"/>
        <w:spacing w:before="24"/>
      </w:pPr>
    </w:p>
    <w:p w14:paraId="6F5766D9" w14:textId="77777777" w:rsidR="00EB0171" w:rsidRDefault="00453011">
      <w:pPr>
        <w:ind w:left="100"/>
        <w:rPr>
          <w:b/>
          <w:sz w:val="24"/>
        </w:rPr>
      </w:pPr>
      <w:r>
        <w:rPr>
          <w:sz w:val="24"/>
        </w:rPr>
        <w:t>See</w:t>
      </w:r>
      <w:r>
        <w:rPr>
          <w:spacing w:val="-3"/>
          <w:sz w:val="24"/>
        </w:rPr>
        <w:t xml:space="preserve"> </w:t>
      </w:r>
      <w:r>
        <w:rPr>
          <w:sz w:val="24"/>
        </w:rPr>
        <w:t>also</w:t>
      </w:r>
      <w:r>
        <w:rPr>
          <w:spacing w:val="-2"/>
          <w:sz w:val="24"/>
        </w:rPr>
        <w:t xml:space="preserve"> </w:t>
      </w:r>
      <w:r>
        <w:rPr>
          <w:b/>
          <w:sz w:val="24"/>
        </w:rPr>
        <w:t xml:space="preserve">Robert </w:t>
      </w:r>
      <w:proofErr w:type="spellStart"/>
      <w:r>
        <w:rPr>
          <w:b/>
          <w:sz w:val="24"/>
        </w:rPr>
        <w:t>Dombodzvuku</w:t>
      </w:r>
      <w:proofErr w:type="spellEnd"/>
      <w:r>
        <w:rPr>
          <w:b/>
          <w:spacing w:val="-2"/>
          <w:sz w:val="24"/>
        </w:rPr>
        <w:t xml:space="preserve"> </w:t>
      </w:r>
      <w:r>
        <w:rPr>
          <w:b/>
          <w:sz w:val="24"/>
        </w:rPr>
        <w:t>v</w:t>
      </w:r>
      <w:r>
        <w:rPr>
          <w:b/>
          <w:spacing w:val="-2"/>
          <w:sz w:val="24"/>
        </w:rPr>
        <w:t xml:space="preserve"> </w:t>
      </w:r>
      <w:r>
        <w:rPr>
          <w:b/>
          <w:sz w:val="24"/>
        </w:rPr>
        <w:t>CMED</w:t>
      </w:r>
      <w:r>
        <w:rPr>
          <w:b/>
          <w:spacing w:val="-1"/>
          <w:sz w:val="24"/>
        </w:rPr>
        <w:t xml:space="preserve"> </w:t>
      </w:r>
      <w:r>
        <w:rPr>
          <w:b/>
          <w:sz w:val="24"/>
        </w:rPr>
        <w:t>(Pvt)</w:t>
      </w:r>
      <w:r>
        <w:rPr>
          <w:b/>
          <w:spacing w:val="-2"/>
          <w:sz w:val="24"/>
        </w:rPr>
        <w:t xml:space="preserve"> </w:t>
      </w:r>
      <w:r>
        <w:rPr>
          <w:b/>
          <w:sz w:val="24"/>
        </w:rPr>
        <w:t>Ltd</w:t>
      </w:r>
      <w:r>
        <w:rPr>
          <w:b/>
          <w:spacing w:val="-1"/>
          <w:sz w:val="24"/>
        </w:rPr>
        <w:t xml:space="preserve"> </w:t>
      </w:r>
      <w:r>
        <w:rPr>
          <w:b/>
          <w:spacing w:val="-2"/>
          <w:sz w:val="24"/>
        </w:rPr>
        <w:t>SC31/12</w:t>
      </w:r>
    </w:p>
    <w:p w14:paraId="0711907E" w14:textId="77777777" w:rsidR="00EB0171" w:rsidRDefault="00EB0171">
      <w:pPr>
        <w:rPr>
          <w:sz w:val="24"/>
        </w:rPr>
        <w:sectPr w:rsidR="00EB0171">
          <w:pgSz w:w="11910" w:h="16840"/>
          <w:pgMar w:top="960" w:right="900" w:bottom="280" w:left="1340" w:header="751" w:footer="0" w:gutter="0"/>
          <w:cols w:space="720"/>
        </w:sectPr>
      </w:pPr>
    </w:p>
    <w:p w14:paraId="47E0D66A" w14:textId="77777777" w:rsidR="00EB0171" w:rsidRDefault="00EB0171">
      <w:pPr>
        <w:pStyle w:val="BodyText"/>
        <w:spacing w:before="191"/>
        <w:rPr>
          <w:b/>
        </w:rPr>
      </w:pPr>
    </w:p>
    <w:p w14:paraId="178E7388" w14:textId="77777777" w:rsidR="00EB0171" w:rsidRDefault="00453011">
      <w:pPr>
        <w:pStyle w:val="BodyText"/>
        <w:spacing w:line="360" w:lineRule="auto"/>
        <w:ind w:left="100" w:right="554"/>
      </w:pPr>
      <w:r>
        <w:t>In the present matter it was submitted on behalf of the applicant that the advert which was flighted in the press constitutes change of circumstances as this information</w:t>
      </w:r>
      <w:r>
        <w:rPr>
          <w:spacing w:val="80"/>
        </w:rPr>
        <w:t xml:space="preserve"> </w:t>
      </w:r>
      <w:r>
        <w:t>was not available when the applicant initially approached the Court. However, what is not disputed between the parties is that, firstly, the advert in question was flighted</w:t>
      </w:r>
      <w:r>
        <w:rPr>
          <w:spacing w:val="40"/>
        </w:rPr>
        <w:t xml:space="preserve"> </w:t>
      </w:r>
      <w:r>
        <w:t xml:space="preserve">by the Ministry of Health and not by the respondent. So as far as the facts between the parties are concerned, what was presented before Honourable Musariri J and what was presented before me is the same. Secondly, the question of splitting of the post is controlled by the Ministry of </w:t>
      </w:r>
      <w:proofErr w:type="gramStart"/>
      <w:r>
        <w:t>Health‘</w:t>
      </w:r>
      <w:proofErr w:type="gramEnd"/>
      <w:r>
        <w:t>s funding</w:t>
      </w:r>
      <w:r>
        <w:rPr>
          <w:spacing w:val="40"/>
        </w:rPr>
        <w:t xml:space="preserve"> </w:t>
      </w:r>
      <w:r>
        <w:t xml:space="preserve">partner, Global Fund, and that the </w:t>
      </w:r>
      <w:r>
        <w:t>respondent has got no control over how Global Fund runs its affairs. Further the communication through emails regarding the said split</w:t>
      </w:r>
      <w:r>
        <w:rPr>
          <w:spacing w:val="40"/>
        </w:rPr>
        <w:t xml:space="preserve"> </w:t>
      </w:r>
      <w:r>
        <w:t>was not</w:t>
      </w:r>
      <w:r>
        <w:rPr>
          <w:spacing w:val="-2"/>
        </w:rPr>
        <w:t xml:space="preserve"> </w:t>
      </w:r>
      <w:r>
        <w:t>generated</w:t>
      </w:r>
      <w:r>
        <w:rPr>
          <w:spacing w:val="-2"/>
        </w:rPr>
        <w:t xml:space="preserve"> </w:t>
      </w:r>
      <w:r>
        <w:t>by</w:t>
      </w:r>
      <w:r>
        <w:rPr>
          <w:spacing w:val="-7"/>
        </w:rPr>
        <w:t xml:space="preserve"> </w:t>
      </w:r>
      <w:r>
        <w:t>the</w:t>
      </w:r>
      <w:r>
        <w:rPr>
          <w:spacing w:val="-3"/>
        </w:rPr>
        <w:t xml:space="preserve"> </w:t>
      </w:r>
      <w:r>
        <w:t>respondent. There</w:t>
      </w:r>
      <w:r>
        <w:rPr>
          <w:spacing w:val="-4"/>
        </w:rPr>
        <w:t xml:space="preserve"> </w:t>
      </w:r>
      <w:r>
        <w:t>is</w:t>
      </w:r>
      <w:r>
        <w:rPr>
          <w:spacing w:val="-2"/>
        </w:rPr>
        <w:t xml:space="preserve"> </w:t>
      </w:r>
      <w:r>
        <w:t>therefore</w:t>
      </w:r>
      <w:r>
        <w:rPr>
          <w:spacing w:val="-3"/>
        </w:rPr>
        <w:t xml:space="preserve"> </w:t>
      </w:r>
      <w:r>
        <w:t>no</w:t>
      </w:r>
      <w:r>
        <w:rPr>
          <w:spacing w:val="-2"/>
        </w:rPr>
        <w:t xml:space="preserve"> </w:t>
      </w:r>
      <w:r>
        <w:t>reason</w:t>
      </w:r>
      <w:r>
        <w:rPr>
          <w:spacing w:val="-2"/>
        </w:rPr>
        <w:t xml:space="preserve"> </w:t>
      </w:r>
      <w:r>
        <w:t>to</w:t>
      </w:r>
      <w:r>
        <w:rPr>
          <w:spacing w:val="-2"/>
        </w:rPr>
        <w:t xml:space="preserve"> </w:t>
      </w:r>
      <w:r>
        <w:t>suggest</w:t>
      </w:r>
      <w:r>
        <w:rPr>
          <w:spacing w:val="-2"/>
        </w:rPr>
        <w:t xml:space="preserve"> </w:t>
      </w:r>
      <w:r>
        <w:t>that</w:t>
      </w:r>
      <w:r>
        <w:rPr>
          <w:spacing w:val="-2"/>
        </w:rPr>
        <w:t xml:space="preserve"> </w:t>
      </w:r>
      <w:r>
        <w:t>the respondent</w:t>
      </w:r>
      <w:r>
        <w:rPr>
          <w:spacing w:val="-2"/>
        </w:rPr>
        <w:t xml:space="preserve"> </w:t>
      </w:r>
      <w:r>
        <w:t>is or was responsible for the said advert. What this means is that there is no change of</w:t>
      </w:r>
    </w:p>
    <w:p w14:paraId="4EF2E5C6" w14:textId="77777777" w:rsidR="00EB0171" w:rsidRDefault="00453011">
      <w:pPr>
        <w:pStyle w:val="BodyText"/>
        <w:spacing w:line="360" w:lineRule="auto"/>
        <w:ind w:left="100" w:right="579"/>
      </w:pPr>
      <w:r>
        <w:t>circumstances. I’m therefore being asked to decide on what this Court has already determined.</w:t>
      </w:r>
      <w:r>
        <w:rPr>
          <w:spacing w:val="-3"/>
        </w:rPr>
        <w:t xml:space="preserve"> </w:t>
      </w:r>
      <w:r>
        <w:t>The</w:t>
      </w:r>
      <w:r>
        <w:rPr>
          <w:spacing w:val="-3"/>
        </w:rPr>
        <w:t xml:space="preserve"> </w:t>
      </w:r>
      <w:r>
        <w:t>requirements</w:t>
      </w:r>
      <w:r>
        <w:rPr>
          <w:spacing w:val="-3"/>
        </w:rPr>
        <w:t xml:space="preserve"> </w:t>
      </w:r>
      <w:r>
        <w:t>of</w:t>
      </w:r>
      <w:r>
        <w:rPr>
          <w:spacing w:val="40"/>
        </w:rPr>
        <w:t xml:space="preserve"> </w:t>
      </w:r>
      <w:r>
        <w:rPr>
          <w:i/>
        </w:rPr>
        <w:t>res</w:t>
      </w:r>
      <w:r>
        <w:rPr>
          <w:i/>
          <w:spacing w:val="-3"/>
        </w:rPr>
        <w:t xml:space="preserve"> </w:t>
      </w:r>
      <w:r>
        <w:rPr>
          <w:i/>
        </w:rPr>
        <w:t>judicata</w:t>
      </w:r>
      <w:r>
        <w:rPr>
          <w:i/>
          <w:spacing w:val="-3"/>
        </w:rPr>
        <w:t xml:space="preserve"> </w:t>
      </w:r>
      <w:r>
        <w:t>have</w:t>
      </w:r>
      <w:r>
        <w:rPr>
          <w:spacing w:val="-4"/>
        </w:rPr>
        <w:t xml:space="preserve"> </w:t>
      </w:r>
      <w:r>
        <w:t>been</w:t>
      </w:r>
      <w:r>
        <w:rPr>
          <w:spacing w:val="-3"/>
        </w:rPr>
        <w:t xml:space="preserve"> </w:t>
      </w:r>
      <w:r>
        <w:t>met.</w:t>
      </w:r>
      <w:r>
        <w:rPr>
          <w:spacing w:val="-3"/>
        </w:rPr>
        <w:t xml:space="preserve"> </w:t>
      </w:r>
      <w:r>
        <w:t>Under</w:t>
      </w:r>
      <w:r>
        <w:rPr>
          <w:spacing w:val="-3"/>
        </w:rPr>
        <w:t xml:space="preserve"> </w:t>
      </w:r>
      <w:r>
        <w:t>the</w:t>
      </w:r>
      <w:r>
        <w:rPr>
          <w:spacing w:val="-3"/>
        </w:rPr>
        <w:t xml:space="preserve"> </w:t>
      </w:r>
      <w:r>
        <w:t>circumstances,</w:t>
      </w:r>
      <w:r>
        <w:rPr>
          <w:spacing w:val="-3"/>
        </w:rPr>
        <w:t xml:space="preserve"> </w:t>
      </w:r>
      <w:r>
        <w:t>there is therefore no need for me to go any further. It is not necessary to consider a matter which this Court has already decided. The present application can only fail.</w:t>
      </w:r>
    </w:p>
    <w:p w14:paraId="5765ADB4" w14:textId="77777777" w:rsidR="00EB0171" w:rsidRDefault="00453011">
      <w:pPr>
        <w:pStyle w:val="BodyText"/>
        <w:spacing w:before="161"/>
        <w:ind w:left="100"/>
      </w:pPr>
      <w:r>
        <w:t>In</w:t>
      </w:r>
      <w:r>
        <w:rPr>
          <w:spacing w:val="-1"/>
        </w:rPr>
        <w:t xml:space="preserve"> </w:t>
      </w:r>
      <w:r>
        <w:t>view</w:t>
      </w:r>
      <w:r>
        <w:rPr>
          <w:spacing w:val="-1"/>
        </w:rPr>
        <w:t xml:space="preserve"> </w:t>
      </w:r>
      <w:r>
        <w:t>of</w:t>
      </w:r>
      <w:r>
        <w:rPr>
          <w:spacing w:val="-3"/>
        </w:rPr>
        <w:t xml:space="preserve"> </w:t>
      </w:r>
      <w:r>
        <w:t>the above</w:t>
      </w:r>
      <w:r>
        <w:rPr>
          <w:spacing w:val="-2"/>
        </w:rPr>
        <w:t xml:space="preserve"> </w:t>
      </w:r>
      <w:r>
        <w:t>it</w:t>
      </w:r>
      <w:r>
        <w:rPr>
          <w:spacing w:val="-1"/>
        </w:rPr>
        <w:t xml:space="preserve"> </w:t>
      </w:r>
      <w:r>
        <w:t>is</w:t>
      </w:r>
      <w:r>
        <w:rPr>
          <w:spacing w:val="-1"/>
        </w:rPr>
        <w:t xml:space="preserve"> </w:t>
      </w:r>
      <w:r>
        <w:t xml:space="preserve">ordered </w:t>
      </w:r>
      <w:r>
        <w:rPr>
          <w:spacing w:val="-4"/>
        </w:rPr>
        <w:t>that:</w:t>
      </w:r>
    </w:p>
    <w:p w14:paraId="72C5A4E2" w14:textId="77777777" w:rsidR="00EB0171" w:rsidRDefault="00EB0171">
      <w:pPr>
        <w:pStyle w:val="BodyText"/>
        <w:spacing w:before="22"/>
      </w:pPr>
    </w:p>
    <w:p w14:paraId="235371C8" w14:textId="77777777" w:rsidR="00EB0171" w:rsidRDefault="00453011">
      <w:pPr>
        <w:pStyle w:val="BodyText"/>
        <w:spacing w:line="360" w:lineRule="auto"/>
        <w:ind w:left="100" w:right="579"/>
      </w:pPr>
      <w:r>
        <w:t>The</w:t>
      </w:r>
      <w:r>
        <w:rPr>
          <w:spacing w:val="-4"/>
        </w:rPr>
        <w:t xml:space="preserve"> </w:t>
      </w:r>
      <w:r>
        <w:t>application</w:t>
      </w:r>
      <w:r>
        <w:rPr>
          <w:spacing w:val="-2"/>
        </w:rPr>
        <w:t xml:space="preserve"> </w:t>
      </w:r>
      <w:r>
        <w:t>for</w:t>
      </w:r>
      <w:r>
        <w:rPr>
          <w:spacing w:val="-2"/>
        </w:rPr>
        <w:t xml:space="preserve"> </w:t>
      </w:r>
      <w:r>
        <w:t>stay</w:t>
      </w:r>
      <w:r>
        <w:rPr>
          <w:spacing w:val="-5"/>
        </w:rPr>
        <w:t xml:space="preserve"> </w:t>
      </w:r>
      <w:r>
        <w:t>of</w:t>
      </w:r>
      <w:r>
        <w:rPr>
          <w:spacing w:val="-2"/>
        </w:rPr>
        <w:t xml:space="preserve"> </w:t>
      </w:r>
      <w:r>
        <w:t>execution</w:t>
      </w:r>
      <w:r>
        <w:rPr>
          <w:spacing w:val="-2"/>
        </w:rPr>
        <w:t xml:space="preserve"> </w:t>
      </w:r>
      <w:r>
        <w:t>of</w:t>
      </w:r>
      <w:r>
        <w:rPr>
          <w:spacing w:val="-3"/>
        </w:rPr>
        <w:t xml:space="preserve"> </w:t>
      </w:r>
      <w:r>
        <w:t>the</w:t>
      </w:r>
      <w:r>
        <w:rPr>
          <w:spacing w:val="-2"/>
        </w:rPr>
        <w:t xml:space="preserve"> </w:t>
      </w:r>
      <w:r>
        <w:t>determination made</w:t>
      </w:r>
      <w:r>
        <w:rPr>
          <w:spacing w:val="40"/>
        </w:rPr>
        <w:t xml:space="preserve"> </w:t>
      </w:r>
      <w:r>
        <w:t>by</w:t>
      </w:r>
      <w:r>
        <w:rPr>
          <w:spacing w:val="-7"/>
        </w:rPr>
        <w:t xml:space="preserve"> </w:t>
      </w:r>
      <w:r>
        <w:t>respondent</w:t>
      </w:r>
      <w:r>
        <w:rPr>
          <w:spacing w:val="-2"/>
        </w:rPr>
        <w:t xml:space="preserve"> </w:t>
      </w:r>
      <w:r>
        <w:t>be</w:t>
      </w:r>
      <w:r>
        <w:rPr>
          <w:spacing w:val="-2"/>
        </w:rPr>
        <w:t xml:space="preserve"> </w:t>
      </w:r>
      <w:r>
        <w:t>and</w:t>
      </w:r>
      <w:r>
        <w:rPr>
          <w:spacing w:val="-2"/>
        </w:rPr>
        <w:t xml:space="preserve"> </w:t>
      </w:r>
      <w:r>
        <w:t>is hereby dismissed with costs.</w:t>
      </w:r>
    </w:p>
    <w:p w14:paraId="5340CCEA" w14:textId="77777777" w:rsidR="00EB0171" w:rsidRDefault="00EB0171">
      <w:pPr>
        <w:pStyle w:val="BodyText"/>
      </w:pPr>
    </w:p>
    <w:p w14:paraId="7801FCE1" w14:textId="77777777" w:rsidR="00EB0171" w:rsidRDefault="00EB0171">
      <w:pPr>
        <w:pStyle w:val="BodyText"/>
      </w:pPr>
    </w:p>
    <w:p w14:paraId="7F4F35B3" w14:textId="77777777" w:rsidR="00EB0171" w:rsidRDefault="00EB0171">
      <w:pPr>
        <w:pStyle w:val="BodyText"/>
        <w:spacing w:before="186"/>
      </w:pPr>
    </w:p>
    <w:p w14:paraId="1CCC1EDF" w14:textId="15E2B14B" w:rsidR="00EB0171" w:rsidRDefault="00453011">
      <w:pPr>
        <w:tabs>
          <w:tab w:val="left" w:pos="3246"/>
        </w:tabs>
        <w:spacing w:line="570" w:lineRule="atLeast"/>
        <w:ind w:left="100" w:right="1954"/>
        <w:rPr>
          <w:b/>
          <w:i/>
          <w:sz w:val="24"/>
        </w:rPr>
      </w:pPr>
      <w:r>
        <w:rPr>
          <w:b/>
          <w:i/>
          <w:sz w:val="24"/>
        </w:rPr>
        <w:t>MAKUKU LAW FIRM,</w:t>
      </w:r>
      <w:r>
        <w:rPr>
          <w:b/>
          <w:i/>
          <w:sz w:val="24"/>
        </w:rPr>
        <w:tab/>
      </w:r>
      <w:proofErr w:type="gramStart"/>
      <w:r>
        <w:rPr>
          <w:b/>
          <w:i/>
          <w:sz w:val="24"/>
        </w:rPr>
        <w:t>APPLICANT”S</w:t>
      </w:r>
      <w:proofErr w:type="gramEnd"/>
      <w:r>
        <w:rPr>
          <w:b/>
          <w:i/>
          <w:spacing w:val="-15"/>
          <w:sz w:val="24"/>
        </w:rPr>
        <w:t xml:space="preserve"> </w:t>
      </w:r>
      <w:r>
        <w:rPr>
          <w:b/>
          <w:i/>
          <w:sz w:val="24"/>
        </w:rPr>
        <w:t>LEGAL</w:t>
      </w:r>
      <w:r>
        <w:rPr>
          <w:b/>
          <w:i/>
          <w:spacing w:val="-15"/>
          <w:sz w:val="24"/>
        </w:rPr>
        <w:t xml:space="preserve"> </w:t>
      </w:r>
      <w:r>
        <w:rPr>
          <w:b/>
          <w:i/>
          <w:sz w:val="24"/>
        </w:rPr>
        <w:t>PRACTITIONERS. CIVILDIVISION OF THE</w:t>
      </w:r>
    </w:p>
    <w:p w14:paraId="5DC91AD1" w14:textId="77777777" w:rsidR="00EB0171" w:rsidRDefault="00453011">
      <w:pPr>
        <w:spacing w:before="144"/>
        <w:ind w:left="100"/>
        <w:rPr>
          <w:b/>
          <w:i/>
          <w:sz w:val="24"/>
        </w:rPr>
      </w:pPr>
      <w:r>
        <w:rPr>
          <w:b/>
          <w:i/>
          <w:sz w:val="24"/>
        </w:rPr>
        <w:t>ATTORNEY-GENERAL’S</w:t>
      </w:r>
      <w:r>
        <w:rPr>
          <w:b/>
          <w:i/>
          <w:spacing w:val="-6"/>
          <w:sz w:val="24"/>
        </w:rPr>
        <w:t xml:space="preserve"> </w:t>
      </w:r>
      <w:proofErr w:type="gramStart"/>
      <w:r>
        <w:rPr>
          <w:b/>
          <w:i/>
          <w:sz w:val="24"/>
        </w:rPr>
        <w:t>OFFICE</w:t>
      </w:r>
      <w:r>
        <w:rPr>
          <w:b/>
          <w:i/>
          <w:spacing w:val="-3"/>
          <w:sz w:val="24"/>
        </w:rPr>
        <w:t xml:space="preserve"> </w:t>
      </w:r>
      <w:r>
        <w:rPr>
          <w:b/>
          <w:i/>
          <w:sz w:val="24"/>
        </w:rPr>
        <w:t>,RESPONDENT’S</w:t>
      </w:r>
      <w:proofErr w:type="gramEnd"/>
      <w:r>
        <w:rPr>
          <w:b/>
          <w:i/>
          <w:spacing w:val="-4"/>
          <w:sz w:val="24"/>
        </w:rPr>
        <w:t xml:space="preserve"> </w:t>
      </w:r>
      <w:r>
        <w:rPr>
          <w:b/>
          <w:i/>
          <w:sz w:val="24"/>
        </w:rPr>
        <w:t>LEGAL</w:t>
      </w:r>
      <w:r>
        <w:rPr>
          <w:b/>
          <w:i/>
          <w:spacing w:val="-3"/>
          <w:sz w:val="24"/>
        </w:rPr>
        <w:t xml:space="preserve"> </w:t>
      </w:r>
      <w:r>
        <w:rPr>
          <w:b/>
          <w:i/>
          <w:spacing w:val="-2"/>
          <w:sz w:val="24"/>
        </w:rPr>
        <w:t>PRACTIONERS.</w:t>
      </w:r>
    </w:p>
    <w:sectPr w:rsidR="00EB0171">
      <w:pgSz w:w="11910" w:h="16840"/>
      <w:pgMar w:top="960" w:right="900" w:bottom="280" w:left="13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664F0" w14:textId="77777777" w:rsidR="00453011" w:rsidRDefault="00453011">
      <w:r>
        <w:separator/>
      </w:r>
    </w:p>
  </w:endnote>
  <w:endnote w:type="continuationSeparator" w:id="0">
    <w:p w14:paraId="7AAC63E7" w14:textId="77777777" w:rsidR="00453011" w:rsidRDefault="0045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2B67B" w14:textId="77777777" w:rsidR="00453011" w:rsidRDefault="00453011">
      <w:r>
        <w:separator/>
      </w:r>
    </w:p>
  </w:footnote>
  <w:footnote w:type="continuationSeparator" w:id="0">
    <w:p w14:paraId="13D88ECB" w14:textId="77777777" w:rsidR="00453011" w:rsidRDefault="00453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B0C1D" w14:textId="77777777" w:rsidR="00EB0171" w:rsidRDefault="00453011">
    <w:pPr>
      <w:pStyle w:val="BodyText"/>
      <w:spacing w:line="14" w:lineRule="auto"/>
      <w:rPr>
        <w:sz w:val="20"/>
      </w:rPr>
    </w:pPr>
    <w:r>
      <w:rPr>
        <w:noProof/>
      </w:rPr>
      <mc:AlternateContent>
        <mc:Choice Requires="wps">
          <w:drawing>
            <wp:anchor distT="0" distB="0" distL="0" distR="0" simplePos="0" relativeHeight="487531520" behindDoc="1" locked="0" layoutInCell="1" allowOverlap="1" wp14:anchorId="0F9847A0" wp14:editId="600075AD">
              <wp:simplePos x="0" y="0"/>
              <wp:positionH relativeFrom="page">
                <wp:posOffset>6539230</wp:posOffset>
              </wp:positionH>
              <wp:positionV relativeFrom="page">
                <wp:posOffset>464311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CAF62AA" w14:textId="77777777" w:rsidR="00EB0171" w:rsidRDefault="00453011">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0F9847A0" id="_x0000_t202" coordsize="21600,21600" o:spt="202" path="m,l,21600r21600,l21600,xe">
              <v:stroke joinstyle="miter"/>
              <v:path gradientshapeok="t" o:connecttype="rect"/>
            </v:shapetype>
            <v:shape id="Textbox 1" o:spid="_x0000_s1026" type="#_x0000_t202" style="position:absolute;margin-left:514.9pt;margin-top:36.55pt;width:12.6pt;height:13.05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" filled="f" stroked="f">
              <v:textbox inset="0,0,0,0">
                <w:txbxContent>
                  <w:p w14:paraId="0CAF62AA" w14:textId="77777777" w:rsidR="00EB0171" w:rsidRDefault="00453011">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C1975"/>
    <w:multiLevelType w:val="hybridMultilevel"/>
    <w:tmpl w:val="9F0C0216"/>
    <w:lvl w:ilvl="0" w:tplc="3DC05306">
      <w:numFmt w:val="bullet"/>
      <w:lvlText w:val="-"/>
      <w:lvlJc w:val="left"/>
      <w:pPr>
        <w:ind w:left="479" w:hanging="200"/>
      </w:pPr>
      <w:rPr>
        <w:rFonts w:ascii="Times New Roman" w:eastAsia="Times New Roman" w:hAnsi="Times New Roman" w:cs="Times New Roman" w:hint="default"/>
        <w:b w:val="0"/>
        <w:bCs w:val="0"/>
        <w:i w:val="0"/>
        <w:iCs w:val="0"/>
        <w:spacing w:val="0"/>
        <w:w w:val="100"/>
        <w:sz w:val="24"/>
        <w:szCs w:val="24"/>
        <w:lang w:val="en-US" w:eastAsia="en-US" w:bidi="ar-SA"/>
      </w:rPr>
    </w:lvl>
    <w:lvl w:ilvl="1" w:tplc="92ECD622">
      <w:numFmt w:val="bullet"/>
      <w:lvlText w:val="•"/>
      <w:lvlJc w:val="left"/>
      <w:pPr>
        <w:ind w:left="1398" w:hanging="200"/>
      </w:pPr>
      <w:rPr>
        <w:rFonts w:hint="default"/>
        <w:lang w:val="en-US" w:eastAsia="en-US" w:bidi="ar-SA"/>
      </w:rPr>
    </w:lvl>
    <w:lvl w:ilvl="2" w:tplc="5838C80E">
      <w:numFmt w:val="bullet"/>
      <w:lvlText w:val="•"/>
      <w:lvlJc w:val="left"/>
      <w:pPr>
        <w:ind w:left="2317" w:hanging="200"/>
      </w:pPr>
      <w:rPr>
        <w:rFonts w:hint="default"/>
        <w:lang w:val="en-US" w:eastAsia="en-US" w:bidi="ar-SA"/>
      </w:rPr>
    </w:lvl>
    <w:lvl w:ilvl="3" w:tplc="36DA9E0A">
      <w:numFmt w:val="bullet"/>
      <w:lvlText w:val="•"/>
      <w:lvlJc w:val="left"/>
      <w:pPr>
        <w:ind w:left="3235" w:hanging="200"/>
      </w:pPr>
      <w:rPr>
        <w:rFonts w:hint="default"/>
        <w:lang w:val="en-US" w:eastAsia="en-US" w:bidi="ar-SA"/>
      </w:rPr>
    </w:lvl>
    <w:lvl w:ilvl="4" w:tplc="87EE42D0">
      <w:numFmt w:val="bullet"/>
      <w:lvlText w:val="•"/>
      <w:lvlJc w:val="left"/>
      <w:pPr>
        <w:ind w:left="4154" w:hanging="200"/>
      </w:pPr>
      <w:rPr>
        <w:rFonts w:hint="default"/>
        <w:lang w:val="en-US" w:eastAsia="en-US" w:bidi="ar-SA"/>
      </w:rPr>
    </w:lvl>
    <w:lvl w:ilvl="5" w:tplc="9296045E">
      <w:numFmt w:val="bullet"/>
      <w:lvlText w:val="•"/>
      <w:lvlJc w:val="left"/>
      <w:pPr>
        <w:ind w:left="5073" w:hanging="200"/>
      </w:pPr>
      <w:rPr>
        <w:rFonts w:hint="default"/>
        <w:lang w:val="en-US" w:eastAsia="en-US" w:bidi="ar-SA"/>
      </w:rPr>
    </w:lvl>
    <w:lvl w:ilvl="6" w:tplc="D9A66F2C">
      <w:numFmt w:val="bullet"/>
      <w:lvlText w:val="•"/>
      <w:lvlJc w:val="left"/>
      <w:pPr>
        <w:ind w:left="5991" w:hanging="200"/>
      </w:pPr>
      <w:rPr>
        <w:rFonts w:hint="default"/>
        <w:lang w:val="en-US" w:eastAsia="en-US" w:bidi="ar-SA"/>
      </w:rPr>
    </w:lvl>
    <w:lvl w:ilvl="7" w:tplc="85CEA34E">
      <w:numFmt w:val="bullet"/>
      <w:lvlText w:val="•"/>
      <w:lvlJc w:val="left"/>
      <w:pPr>
        <w:ind w:left="6910" w:hanging="200"/>
      </w:pPr>
      <w:rPr>
        <w:rFonts w:hint="default"/>
        <w:lang w:val="en-US" w:eastAsia="en-US" w:bidi="ar-SA"/>
      </w:rPr>
    </w:lvl>
    <w:lvl w:ilvl="8" w:tplc="665EB2C6">
      <w:numFmt w:val="bullet"/>
      <w:lvlText w:val="•"/>
      <w:lvlJc w:val="left"/>
      <w:pPr>
        <w:ind w:left="7829" w:hanging="200"/>
      </w:pPr>
      <w:rPr>
        <w:rFonts w:hint="default"/>
        <w:lang w:val="en-US" w:eastAsia="en-US" w:bidi="ar-SA"/>
      </w:rPr>
    </w:lvl>
  </w:abstractNum>
  <w:num w:numId="1" w16cid:durableId="71398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171"/>
    <w:rsid w:val="00453011"/>
    <w:rsid w:val="00EB017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823A"/>
  <w15:docId w15:val="{0E62793E-E8F7-4BE6-9AE7-A0E2A5B3F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8" w:hanging="19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1308</Words>
  <Characters>7456</Characters>
  <Application>Microsoft Office Word</Application>
  <DocSecurity>0</DocSecurity>
  <Lines>62</Lines>
  <Paragraphs>17</Paragraphs>
  <ScaleCrop>false</ScaleCrop>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Euna Makamure</dc:creator>
  <cp:lastModifiedBy>Ophiliah Tokowoyo</cp:lastModifiedBy>
  <cp:revision>2</cp:revision>
  <dcterms:created xsi:type="dcterms:W3CDTF">2024-02-26T08:45:00Z</dcterms:created>
  <dcterms:modified xsi:type="dcterms:W3CDTF">2024-02-26T08:45:00Z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2024-02-25T00:00:00Z</vt:filetime>
  </property>
  <property fmtid="{D5CDD505-2E9C-101B-9397-08002B2CF9AE}" pid="3" name="Creator">
    <vt:lpwstr>Microsoft® Word 2019</vt:lpwstr>
  </property>
  <property fmtid="{D5CDD505-2E9C-101B-9397-08002B2CF9AE}" pid="4" name="LastSaved">
    <vt:filetime>2024-02-26T00:00:00Z</vt:filetime>
  </property>
  <property fmtid="{D5CDD505-2E9C-101B-9397-08002B2CF9AE}" pid="5" name="Producer">
    <vt:lpwstr>䵩捲潳潦璮⁗潲搠㈰ㄹ㬠浯摩晩敤⁵獩湧⁩呥硴′⸱⸷⁢礠ㅔ㍘吀</vt:lpwstr>
  </property>
</Properties>
</file>