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337" w:rsidRDefault="00EA08E6">
      <w:pPr>
        <w:spacing w:before="90"/>
        <w:ind w:right="313"/>
        <w:jc w:val="right"/>
        <w:rPr>
          <w:rFonts w:ascii="Tahoma"/>
          <w:b/>
          <w:sz w:val="16"/>
        </w:rPr>
      </w:pPr>
      <w:r>
        <w:rPr>
          <w:rFonts w:ascii="Tahoma"/>
          <w:b/>
          <w:spacing w:val="-2"/>
          <w:sz w:val="16"/>
        </w:rPr>
        <w:t>JUDGMENT</w:t>
      </w:r>
      <w:r>
        <w:rPr>
          <w:rFonts w:ascii="Tahoma"/>
          <w:b/>
          <w:spacing w:val="31"/>
          <w:sz w:val="16"/>
        </w:rPr>
        <w:t xml:space="preserve"> </w:t>
      </w:r>
      <w:r>
        <w:rPr>
          <w:rFonts w:ascii="Tahoma"/>
          <w:b/>
          <w:spacing w:val="-2"/>
          <w:sz w:val="16"/>
        </w:rPr>
        <w:t>NO.</w:t>
      </w:r>
      <w:r>
        <w:rPr>
          <w:rFonts w:ascii="Tahoma"/>
          <w:b/>
          <w:spacing w:val="40"/>
          <w:sz w:val="16"/>
        </w:rPr>
        <w:t xml:space="preserve"> </w:t>
      </w:r>
      <w:r>
        <w:rPr>
          <w:rFonts w:ascii="Tahoma"/>
          <w:b/>
          <w:spacing w:val="-2"/>
          <w:sz w:val="16"/>
        </w:rPr>
        <w:t>LC/H/</w:t>
      </w:r>
      <w:r>
        <w:rPr>
          <w:rFonts w:ascii="Tahoma"/>
          <w:b/>
          <w:spacing w:val="-10"/>
          <w:sz w:val="16"/>
        </w:rPr>
        <w:t xml:space="preserve"> </w:t>
      </w:r>
      <w:r>
        <w:rPr>
          <w:rFonts w:ascii="Tahoma"/>
          <w:b/>
          <w:spacing w:val="-2"/>
          <w:sz w:val="16"/>
        </w:rPr>
        <w:t>154/26</w:t>
      </w:r>
    </w:p>
    <w:p w:rsidR="00C64337" w:rsidRDefault="00C64337">
      <w:pPr>
        <w:pStyle w:val="BodyText"/>
        <w:spacing w:before="207"/>
        <w:rPr>
          <w:rFonts w:ascii="Tahoma"/>
          <w:b/>
        </w:rPr>
      </w:pPr>
    </w:p>
    <w:p w:rsidR="00C64337" w:rsidRDefault="00EA08E6">
      <w:pPr>
        <w:spacing w:before="1"/>
        <w:ind w:left="1015"/>
        <w:rPr>
          <w:b/>
          <w:sz w:val="24"/>
        </w:rPr>
      </w:pPr>
      <w:r>
        <w:rPr>
          <w:b/>
          <w:sz w:val="24"/>
        </w:rPr>
        <w:t>IN</w:t>
      </w:r>
      <w:r>
        <w:rPr>
          <w:b/>
          <w:spacing w:val="-9"/>
          <w:sz w:val="24"/>
        </w:rPr>
        <w:t xml:space="preserve"> </w:t>
      </w:r>
      <w:r>
        <w:rPr>
          <w:b/>
          <w:sz w:val="24"/>
        </w:rPr>
        <w:t>THE</w:t>
      </w:r>
      <w:r>
        <w:rPr>
          <w:b/>
          <w:spacing w:val="-4"/>
          <w:sz w:val="24"/>
        </w:rPr>
        <w:t xml:space="preserve"> </w:t>
      </w:r>
      <w:r>
        <w:rPr>
          <w:b/>
          <w:sz w:val="24"/>
        </w:rPr>
        <w:t>LABOUR</w:t>
      </w:r>
      <w:r>
        <w:rPr>
          <w:b/>
          <w:spacing w:val="-4"/>
          <w:sz w:val="24"/>
        </w:rPr>
        <w:t xml:space="preserve"> </w:t>
      </w:r>
      <w:r>
        <w:rPr>
          <w:b/>
          <w:sz w:val="24"/>
        </w:rPr>
        <w:t>COURT</w:t>
      </w:r>
      <w:r>
        <w:rPr>
          <w:b/>
          <w:spacing w:val="-8"/>
          <w:sz w:val="24"/>
        </w:rPr>
        <w:t xml:space="preserve"> </w:t>
      </w:r>
      <w:r>
        <w:rPr>
          <w:b/>
          <w:sz w:val="24"/>
        </w:rPr>
        <w:t>OF</w:t>
      </w:r>
      <w:r>
        <w:rPr>
          <w:b/>
          <w:spacing w:val="-12"/>
          <w:sz w:val="24"/>
        </w:rPr>
        <w:t xml:space="preserve"> </w:t>
      </w:r>
      <w:r>
        <w:rPr>
          <w:b/>
          <w:spacing w:val="-2"/>
          <w:sz w:val="24"/>
        </w:rPr>
        <w:t>ZIMBABWE</w:t>
      </w:r>
    </w:p>
    <w:p w:rsidR="00C64337" w:rsidRDefault="00EA08E6">
      <w:pPr>
        <w:tabs>
          <w:tab w:val="left" w:pos="7301"/>
        </w:tabs>
        <w:spacing w:before="134"/>
        <w:ind w:left="1015"/>
        <w:rPr>
          <w:b/>
          <w:position w:val="4"/>
          <w:sz w:val="20"/>
        </w:rPr>
      </w:pPr>
      <w:r>
        <w:rPr>
          <w:b/>
          <w:spacing w:val="-2"/>
          <w:sz w:val="24"/>
        </w:rPr>
        <w:t>HARARE,</w:t>
      </w:r>
      <w:r>
        <w:rPr>
          <w:b/>
          <w:spacing w:val="-7"/>
          <w:sz w:val="24"/>
        </w:rPr>
        <w:t xml:space="preserve"> </w:t>
      </w:r>
      <w:r>
        <w:rPr>
          <w:b/>
          <w:spacing w:val="-2"/>
          <w:sz w:val="24"/>
        </w:rPr>
        <w:t>17</w:t>
      </w:r>
      <w:r>
        <w:rPr>
          <w:b/>
          <w:spacing w:val="-7"/>
          <w:sz w:val="24"/>
        </w:rPr>
        <w:t xml:space="preserve"> </w:t>
      </w:r>
      <w:r>
        <w:rPr>
          <w:b/>
          <w:spacing w:val="-2"/>
          <w:sz w:val="24"/>
        </w:rPr>
        <w:t>JULY,</w:t>
      </w:r>
      <w:r>
        <w:rPr>
          <w:b/>
          <w:spacing w:val="-7"/>
          <w:sz w:val="24"/>
        </w:rPr>
        <w:t xml:space="preserve"> </w:t>
      </w:r>
      <w:r>
        <w:rPr>
          <w:b/>
          <w:spacing w:val="-4"/>
          <w:sz w:val="24"/>
        </w:rPr>
        <w:t>2025</w:t>
      </w:r>
      <w:r>
        <w:rPr>
          <w:b/>
          <w:sz w:val="24"/>
        </w:rPr>
        <w:tab/>
      </w:r>
      <w:r>
        <w:rPr>
          <w:b/>
          <w:position w:val="4"/>
          <w:sz w:val="20"/>
        </w:rPr>
        <w:t xml:space="preserve">CASE NO </w:t>
      </w:r>
      <w:r>
        <w:rPr>
          <w:b/>
          <w:spacing w:val="-2"/>
          <w:position w:val="4"/>
          <w:sz w:val="20"/>
        </w:rPr>
        <w:t>LCH/425/25</w:t>
      </w:r>
    </w:p>
    <w:p w:rsidR="00C64337" w:rsidRDefault="00C64337">
      <w:pPr>
        <w:pStyle w:val="BodyText"/>
        <w:spacing w:before="24"/>
        <w:rPr>
          <w:b/>
        </w:rPr>
      </w:pPr>
    </w:p>
    <w:p w:rsidR="00C64337" w:rsidRDefault="00EA08E6">
      <w:pPr>
        <w:ind w:left="1015"/>
        <w:rPr>
          <w:b/>
          <w:sz w:val="24"/>
        </w:rPr>
      </w:pPr>
      <w:r>
        <w:rPr>
          <w:b/>
          <w:sz w:val="24"/>
        </w:rPr>
        <w:t>31</w:t>
      </w:r>
      <w:r>
        <w:rPr>
          <w:b/>
          <w:spacing w:val="-4"/>
          <w:sz w:val="24"/>
        </w:rPr>
        <w:t xml:space="preserve"> </w:t>
      </w:r>
      <w:r>
        <w:rPr>
          <w:b/>
          <w:sz w:val="24"/>
        </w:rPr>
        <w:t>MARCH,</w:t>
      </w:r>
      <w:r>
        <w:rPr>
          <w:b/>
          <w:spacing w:val="-2"/>
          <w:sz w:val="24"/>
        </w:rPr>
        <w:t xml:space="preserve"> </w:t>
      </w:r>
      <w:r>
        <w:rPr>
          <w:b/>
          <w:spacing w:val="-4"/>
          <w:sz w:val="24"/>
        </w:rPr>
        <w:t>2026</w:t>
      </w:r>
    </w:p>
    <w:p w:rsidR="00C64337" w:rsidRDefault="00C64337">
      <w:pPr>
        <w:pStyle w:val="BodyText"/>
        <w:spacing w:before="22"/>
        <w:rPr>
          <w:b/>
        </w:rPr>
      </w:pPr>
    </w:p>
    <w:p w:rsidR="00C64337" w:rsidRDefault="00EA08E6">
      <w:pPr>
        <w:pStyle w:val="BodyText"/>
        <w:ind w:left="1015"/>
      </w:pPr>
      <w:r>
        <w:t>In</w:t>
      </w:r>
      <w:r>
        <w:rPr>
          <w:spacing w:val="-1"/>
        </w:rPr>
        <w:t xml:space="preserve"> </w:t>
      </w:r>
      <w:r>
        <w:t>the</w:t>
      </w:r>
      <w:r>
        <w:rPr>
          <w:spacing w:val="-2"/>
        </w:rPr>
        <w:t xml:space="preserve"> </w:t>
      </w:r>
      <w:r>
        <w:t>matter</w:t>
      </w:r>
      <w:r>
        <w:rPr>
          <w:spacing w:val="-3"/>
        </w:rPr>
        <w:t xml:space="preserve"> </w:t>
      </w:r>
      <w:r>
        <w:t xml:space="preserve">between: </w:t>
      </w:r>
      <w:r>
        <w:rPr>
          <w:spacing w:val="-10"/>
        </w:rPr>
        <w:t>-</w:t>
      </w:r>
    </w:p>
    <w:p w:rsidR="00C64337" w:rsidRDefault="00C64337">
      <w:pPr>
        <w:pStyle w:val="BodyText"/>
      </w:pPr>
    </w:p>
    <w:p w:rsidR="00C64337" w:rsidRDefault="00C64337">
      <w:pPr>
        <w:pStyle w:val="BodyText"/>
      </w:pPr>
    </w:p>
    <w:p w:rsidR="00C64337" w:rsidRDefault="00C64337">
      <w:pPr>
        <w:pStyle w:val="BodyText"/>
        <w:spacing w:before="43"/>
      </w:pPr>
    </w:p>
    <w:p w:rsidR="00C64337" w:rsidRDefault="00EA08E6">
      <w:pPr>
        <w:tabs>
          <w:tab w:val="left" w:pos="7961"/>
        </w:tabs>
        <w:ind w:left="1015"/>
        <w:rPr>
          <w:b/>
          <w:sz w:val="24"/>
        </w:rPr>
      </w:pPr>
      <w:r>
        <w:rPr>
          <w:b/>
          <w:spacing w:val="-2"/>
          <w:sz w:val="24"/>
        </w:rPr>
        <w:t>ARTWELL</w:t>
      </w:r>
      <w:r>
        <w:rPr>
          <w:b/>
          <w:spacing w:val="-10"/>
          <w:sz w:val="24"/>
        </w:rPr>
        <w:t xml:space="preserve"> </w:t>
      </w:r>
      <w:r>
        <w:rPr>
          <w:b/>
          <w:spacing w:val="-2"/>
          <w:sz w:val="24"/>
        </w:rPr>
        <w:t>MASAKA</w:t>
      </w:r>
      <w:r>
        <w:rPr>
          <w:b/>
          <w:sz w:val="24"/>
        </w:rPr>
        <w:tab/>
      </w:r>
      <w:r>
        <w:rPr>
          <w:b/>
          <w:spacing w:val="-2"/>
          <w:sz w:val="24"/>
        </w:rPr>
        <w:t>APPELLANT</w:t>
      </w:r>
    </w:p>
    <w:p w:rsidR="00C64337" w:rsidRDefault="00C64337">
      <w:pPr>
        <w:pStyle w:val="BodyText"/>
        <w:rPr>
          <w:b/>
        </w:rPr>
      </w:pPr>
    </w:p>
    <w:p w:rsidR="00C64337" w:rsidRDefault="00C64337">
      <w:pPr>
        <w:pStyle w:val="BodyText"/>
        <w:rPr>
          <w:b/>
        </w:rPr>
      </w:pPr>
    </w:p>
    <w:p w:rsidR="00C64337" w:rsidRDefault="00C64337">
      <w:pPr>
        <w:pStyle w:val="BodyText"/>
        <w:spacing w:before="44"/>
        <w:rPr>
          <w:b/>
        </w:rPr>
      </w:pPr>
    </w:p>
    <w:p w:rsidR="00C64337" w:rsidRDefault="00EA08E6">
      <w:pPr>
        <w:ind w:left="1015"/>
        <w:rPr>
          <w:b/>
          <w:sz w:val="24"/>
        </w:rPr>
      </w:pPr>
      <w:r>
        <w:rPr>
          <w:b/>
          <w:spacing w:val="-5"/>
          <w:sz w:val="24"/>
        </w:rPr>
        <w:t>AND</w:t>
      </w:r>
    </w:p>
    <w:p w:rsidR="00C64337" w:rsidRDefault="00C64337">
      <w:pPr>
        <w:pStyle w:val="BodyText"/>
        <w:rPr>
          <w:b/>
        </w:rPr>
      </w:pPr>
    </w:p>
    <w:p w:rsidR="00C64337" w:rsidRDefault="00C64337">
      <w:pPr>
        <w:pStyle w:val="BodyText"/>
        <w:rPr>
          <w:b/>
        </w:rPr>
      </w:pPr>
    </w:p>
    <w:p w:rsidR="00C64337" w:rsidRDefault="00C64337">
      <w:pPr>
        <w:pStyle w:val="BodyText"/>
        <w:spacing w:before="46"/>
        <w:rPr>
          <w:b/>
        </w:rPr>
      </w:pPr>
    </w:p>
    <w:p w:rsidR="00C64337" w:rsidRDefault="00EA08E6">
      <w:pPr>
        <w:tabs>
          <w:tab w:val="left" w:pos="7976"/>
        </w:tabs>
        <w:ind w:left="1015"/>
        <w:rPr>
          <w:b/>
          <w:sz w:val="24"/>
        </w:rPr>
      </w:pPr>
      <w:r>
        <w:rPr>
          <w:b/>
          <w:spacing w:val="-4"/>
          <w:sz w:val="24"/>
        </w:rPr>
        <w:t>CERNOL</w:t>
      </w:r>
      <w:r>
        <w:rPr>
          <w:b/>
          <w:spacing w:val="-8"/>
          <w:sz w:val="24"/>
        </w:rPr>
        <w:t xml:space="preserve"> </w:t>
      </w:r>
      <w:r>
        <w:rPr>
          <w:b/>
          <w:spacing w:val="-4"/>
          <w:sz w:val="24"/>
        </w:rPr>
        <w:t>CHEMICAL PRIVATE</w:t>
      </w:r>
      <w:r>
        <w:rPr>
          <w:b/>
          <w:spacing w:val="9"/>
          <w:sz w:val="24"/>
        </w:rPr>
        <w:t xml:space="preserve"> </w:t>
      </w:r>
      <w:r>
        <w:rPr>
          <w:b/>
          <w:spacing w:val="-4"/>
          <w:sz w:val="24"/>
        </w:rPr>
        <w:t>LIMITED</w:t>
      </w:r>
      <w:r>
        <w:rPr>
          <w:b/>
          <w:sz w:val="24"/>
        </w:rPr>
        <w:tab/>
      </w:r>
      <w:r>
        <w:rPr>
          <w:b/>
          <w:spacing w:val="-2"/>
          <w:sz w:val="24"/>
        </w:rPr>
        <w:t>RESPONDENT</w:t>
      </w:r>
    </w:p>
    <w:p w:rsidR="00C64337" w:rsidRDefault="00C64337">
      <w:pPr>
        <w:pStyle w:val="BodyText"/>
        <w:rPr>
          <w:b/>
        </w:rPr>
      </w:pPr>
    </w:p>
    <w:p w:rsidR="00C64337" w:rsidRDefault="00C64337">
      <w:pPr>
        <w:pStyle w:val="BodyText"/>
        <w:rPr>
          <w:b/>
        </w:rPr>
      </w:pPr>
    </w:p>
    <w:p w:rsidR="00C64337" w:rsidRDefault="00C64337">
      <w:pPr>
        <w:pStyle w:val="BodyText"/>
        <w:rPr>
          <w:b/>
        </w:rPr>
      </w:pPr>
    </w:p>
    <w:p w:rsidR="00C64337" w:rsidRDefault="00C64337">
      <w:pPr>
        <w:pStyle w:val="BodyText"/>
        <w:rPr>
          <w:b/>
        </w:rPr>
      </w:pPr>
    </w:p>
    <w:p w:rsidR="00C64337" w:rsidRDefault="00C64337">
      <w:pPr>
        <w:pStyle w:val="BodyText"/>
        <w:spacing w:before="65"/>
        <w:rPr>
          <w:b/>
        </w:rPr>
      </w:pPr>
    </w:p>
    <w:p w:rsidR="00C64337" w:rsidRDefault="00EA08E6">
      <w:pPr>
        <w:pStyle w:val="BodyText"/>
        <w:ind w:left="1015"/>
      </w:pPr>
      <w:r>
        <w:t>Before</w:t>
      </w:r>
      <w:r>
        <w:rPr>
          <w:spacing w:val="-4"/>
        </w:rPr>
        <w:t xml:space="preserve"> </w:t>
      </w:r>
      <w:r>
        <w:t>the</w:t>
      </w:r>
      <w:r>
        <w:rPr>
          <w:spacing w:val="-1"/>
        </w:rPr>
        <w:t xml:space="preserve"> </w:t>
      </w:r>
      <w:r>
        <w:t>Honourable</w:t>
      </w:r>
      <w:r>
        <w:rPr>
          <w:spacing w:val="-1"/>
        </w:rPr>
        <w:t xml:space="preserve"> </w:t>
      </w:r>
      <w:r>
        <w:t>Chivizhe,</w:t>
      </w:r>
      <w:r>
        <w:rPr>
          <w:spacing w:val="-1"/>
        </w:rPr>
        <w:t xml:space="preserve"> </w:t>
      </w:r>
      <w:r>
        <w:rPr>
          <w:spacing w:val="-5"/>
        </w:rPr>
        <w:t>J:</w:t>
      </w:r>
    </w:p>
    <w:p w:rsidR="00C64337" w:rsidRDefault="00C64337">
      <w:pPr>
        <w:pStyle w:val="BodyText"/>
      </w:pPr>
    </w:p>
    <w:p w:rsidR="00C64337" w:rsidRDefault="00C64337">
      <w:pPr>
        <w:pStyle w:val="BodyText"/>
      </w:pPr>
    </w:p>
    <w:p w:rsidR="00C64337" w:rsidRDefault="00C64337">
      <w:pPr>
        <w:pStyle w:val="BodyText"/>
        <w:spacing w:before="43"/>
      </w:pPr>
    </w:p>
    <w:p w:rsidR="00C64337" w:rsidRDefault="00EA08E6">
      <w:pPr>
        <w:tabs>
          <w:tab w:val="left" w:pos="4615"/>
          <w:tab w:val="left" w:pos="5335"/>
        </w:tabs>
        <w:ind w:left="1015"/>
        <w:rPr>
          <w:b/>
          <w:sz w:val="24"/>
        </w:rPr>
      </w:pPr>
      <w:r>
        <w:rPr>
          <w:b/>
          <w:sz w:val="24"/>
        </w:rPr>
        <w:t>For</w:t>
      </w:r>
      <w:r>
        <w:rPr>
          <w:b/>
          <w:spacing w:val="-4"/>
          <w:sz w:val="24"/>
        </w:rPr>
        <w:t xml:space="preserve"> </w:t>
      </w:r>
      <w:r>
        <w:rPr>
          <w:b/>
          <w:sz w:val="24"/>
        </w:rPr>
        <w:t>the</w:t>
      </w:r>
      <w:r>
        <w:rPr>
          <w:b/>
          <w:spacing w:val="-16"/>
          <w:sz w:val="24"/>
        </w:rPr>
        <w:t xml:space="preserve"> </w:t>
      </w:r>
      <w:r>
        <w:rPr>
          <w:b/>
          <w:spacing w:val="-2"/>
          <w:sz w:val="24"/>
        </w:rPr>
        <w:t>Appellant:</w:t>
      </w:r>
      <w:r>
        <w:rPr>
          <w:b/>
          <w:sz w:val="24"/>
        </w:rPr>
        <w:tab/>
      </w:r>
      <w:r>
        <w:rPr>
          <w:b/>
          <w:spacing w:val="-10"/>
          <w:sz w:val="24"/>
        </w:rPr>
        <w:t>-</w:t>
      </w:r>
      <w:r>
        <w:rPr>
          <w:b/>
          <w:sz w:val="24"/>
        </w:rPr>
        <w:tab/>
        <w:t>Mr</w:t>
      </w:r>
      <w:r>
        <w:rPr>
          <w:b/>
          <w:spacing w:val="-7"/>
          <w:sz w:val="24"/>
        </w:rPr>
        <w:t xml:space="preserve"> </w:t>
      </w:r>
      <w:r>
        <w:rPr>
          <w:b/>
          <w:sz w:val="24"/>
        </w:rPr>
        <w:t>M</w:t>
      </w:r>
      <w:r>
        <w:rPr>
          <w:b/>
          <w:spacing w:val="-1"/>
          <w:sz w:val="24"/>
        </w:rPr>
        <w:t xml:space="preserve"> </w:t>
      </w:r>
      <w:r>
        <w:rPr>
          <w:b/>
          <w:sz w:val="24"/>
        </w:rPr>
        <w:t xml:space="preserve">Kuwana (Legal </w:t>
      </w:r>
      <w:r>
        <w:rPr>
          <w:b/>
          <w:spacing w:val="-2"/>
          <w:sz w:val="24"/>
        </w:rPr>
        <w:t>Practitioner)</w:t>
      </w:r>
    </w:p>
    <w:p w:rsidR="00C64337" w:rsidRDefault="00C64337">
      <w:pPr>
        <w:pStyle w:val="BodyText"/>
        <w:spacing w:before="24"/>
        <w:rPr>
          <w:b/>
        </w:rPr>
      </w:pPr>
    </w:p>
    <w:p w:rsidR="00C64337" w:rsidRDefault="00EA08E6">
      <w:pPr>
        <w:tabs>
          <w:tab w:val="left" w:pos="4615"/>
          <w:tab w:val="left" w:pos="5415"/>
        </w:tabs>
        <w:ind w:left="1015"/>
        <w:rPr>
          <w:b/>
          <w:sz w:val="24"/>
        </w:rPr>
      </w:pPr>
      <w:r>
        <w:rPr>
          <w:b/>
          <w:sz w:val="24"/>
        </w:rPr>
        <w:t>For</w:t>
      </w:r>
      <w:r>
        <w:rPr>
          <w:b/>
          <w:spacing w:val="-4"/>
          <w:sz w:val="24"/>
        </w:rPr>
        <w:t xml:space="preserve"> </w:t>
      </w:r>
      <w:r>
        <w:rPr>
          <w:b/>
          <w:sz w:val="24"/>
        </w:rPr>
        <w:t xml:space="preserve">the </w:t>
      </w:r>
      <w:r>
        <w:rPr>
          <w:b/>
          <w:spacing w:val="-2"/>
          <w:sz w:val="24"/>
        </w:rPr>
        <w:t>Respondent:</w:t>
      </w:r>
      <w:r>
        <w:rPr>
          <w:b/>
          <w:sz w:val="24"/>
        </w:rPr>
        <w:tab/>
      </w:r>
      <w:r>
        <w:rPr>
          <w:b/>
          <w:spacing w:val="-10"/>
          <w:sz w:val="24"/>
        </w:rPr>
        <w:t>-</w:t>
      </w:r>
      <w:r>
        <w:rPr>
          <w:b/>
          <w:sz w:val="24"/>
        </w:rPr>
        <w:tab/>
        <w:t>Mr</w:t>
      </w:r>
      <w:r>
        <w:rPr>
          <w:b/>
          <w:spacing w:val="-7"/>
          <w:sz w:val="24"/>
        </w:rPr>
        <w:t xml:space="preserve"> </w:t>
      </w:r>
      <w:r>
        <w:rPr>
          <w:b/>
          <w:sz w:val="24"/>
        </w:rPr>
        <w:t>E.</w:t>
      </w:r>
      <w:r>
        <w:rPr>
          <w:b/>
          <w:spacing w:val="-1"/>
          <w:sz w:val="24"/>
        </w:rPr>
        <w:t xml:space="preserve"> </w:t>
      </w:r>
      <w:r>
        <w:rPr>
          <w:b/>
          <w:sz w:val="24"/>
        </w:rPr>
        <w:t>E Homera</w:t>
      </w:r>
      <w:r>
        <w:rPr>
          <w:b/>
          <w:spacing w:val="-1"/>
          <w:sz w:val="24"/>
        </w:rPr>
        <w:t xml:space="preserve"> </w:t>
      </w:r>
      <w:r>
        <w:rPr>
          <w:b/>
          <w:sz w:val="24"/>
        </w:rPr>
        <w:t xml:space="preserve">(Legal </w:t>
      </w:r>
      <w:r>
        <w:rPr>
          <w:b/>
          <w:spacing w:val="-2"/>
          <w:sz w:val="24"/>
        </w:rPr>
        <w:t>Practitioner)</w:t>
      </w:r>
    </w:p>
    <w:p w:rsidR="00C64337" w:rsidRDefault="00C64337">
      <w:pPr>
        <w:pStyle w:val="BodyText"/>
        <w:rPr>
          <w:b/>
        </w:rPr>
      </w:pPr>
    </w:p>
    <w:p w:rsidR="00C64337" w:rsidRDefault="00C64337">
      <w:pPr>
        <w:pStyle w:val="BodyText"/>
        <w:rPr>
          <w:b/>
        </w:rPr>
      </w:pPr>
    </w:p>
    <w:p w:rsidR="00C64337" w:rsidRDefault="00C64337">
      <w:pPr>
        <w:pStyle w:val="BodyText"/>
        <w:spacing w:before="44"/>
        <w:rPr>
          <w:b/>
        </w:rPr>
      </w:pPr>
    </w:p>
    <w:p w:rsidR="00C64337" w:rsidRDefault="00EA08E6">
      <w:pPr>
        <w:ind w:left="1015"/>
        <w:rPr>
          <w:b/>
          <w:sz w:val="24"/>
        </w:rPr>
      </w:pPr>
      <w:r>
        <w:rPr>
          <w:b/>
          <w:sz w:val="24"/>
        </w:rPr>
        <w:t xml:space="preserve">CHIVIZHE, </w:t>
      </w:r>
      <w:r>
        <w:rPr>
          <w:b/>
          <w:spacing w:val="-5"/>
          <w:sz w:val="24"/>
        </w:rPr>
        <w:t>J:</w:t>
      </w:r>
    </w:p>
    <w:p w:rsidR="00C64337" w:rsidRDefault="00C64337">
      <w:pPr>
        <w:pStyle w:val="BodyText"/>
        <w:spacing w:before="21"/>
        <w:rPr>
          <w:b/>
        </w:rPr>
      </w:pPr>
    </w:p>
    <w:p w:rsidR="00C64337" w:rsidRDefault="00EA08E6">
      <w:pPr>
        <w:ind w:left="1015"/>
        <w:rPr>
          <w:b/>
          <w:sz w:val="24"/>
        </w:rPr>
      </w:pPr>
      <w:r>
        <w:rPr>
          <w:b/>
          <w:sz w:val="24"/>
        </w:rPr>
        <w:t>The</w:t>
      </w:r>
      <w:r>
        <w:rPr>
          <w:b/>
          <w:spacing w:val="-5"/>
          <w:sz w:val="24"/>
        </w:rPr>
        <w:t xml:space="preserve"> </w:t>
      </w:r>
      <w:r>
        <w:rPr>
          <w:b/>
          <w:sz w:val="24"/>
        </w:rPr>
        <w:t>delay</w:t>
      </w:r>
      <w:r>
        <w:rPr>
          <w:b/>
          <w:spacing w:val="-2"/>
          <w:sz w:val="24"/>
        </w:rPr>
        <w:t xml:space="preserve"> </w:t>
      </w:r>
      <w:r>
        <w:rPr>
          <w:b/>
          <w:sz w:val="24"/>
        </w:rPr>
        <w:t>in</w:t>
      </w:r>
      <w:r>
        <w:rPr>
          <w:b/>
          <w:spacing w:val="-2"/>
          <w:sz w:val="24"/>
        </w:rPr>
        <w:t xml:space="preserve"> </w:t>
      </w:r>
      <w:r>
        <w:rPr>
          <w:b/>
          <w:sz w:val="24"/>
        </w:rPr>
        <w:t>the</w:t>
      </w:r>
      <w:r>
        <w:rPr>
          <w:b/>
          <w:spacing w:val="-2"/>
          <w:sz w:val="24"/>
        </w:rPr>
        <w:t xml:space="preserve"> </w:t>
      </w:r>
      <w:r>
        <w:rPr>
          <w:b/>
          <w:sz w:val="24"/>
        </w:rPr>
        <w:t>hand</w:t>
      </w:r>
      <w:r>
        <w:rPr>
          <w:b/>
          <w:spacing w:val="-2"/>
          <w:sz w:val="24"/>
        </w:rPr>
        <w:t xml:space="preserve"> </w:t>
      </w:r>
      <w:r>
        <w:rPr>
          <w:b/>
          <w:sz w:val="24"/>
        </w:rPr>
        <w:t>down</w:t>
      </w:r>
      <w:r>
        <w:rPr>
          <w:b/>
          <w:spacing w:val="-2"/>
          <w:sz w:val="24"/>
        </w:rPr>
        <w:t xml:space="preserve"> </w:t>
      </w:r>
      <w:r>
        <w:rPr>
          <w:b/>
          <w:sz w:val="24"/>
        </w:rPr>
        <w:t>of</w:t>
      </w:r>
      <w:r>
        <w:rPr>
          <w:b/>
          <w:spacing w:val="-2"/>
          <w:sz w:val="24"/>
        </w:rPr>
        <w:t xml:space="preserve"> </w:t>
      </w:r>
      <w:r>
        <w:rPr>
          <w:b/>
          <w:sz w:val="24"/>
        </w:rPr>
        <w:t>the</w:t>
      </w:r>
      <w:r>
        <w:rPr>
          <w:b/>
          <w:spacing w:val="-3"/>
          <w:sz w:val="24"/>
        </w:rPr>
        <w:t xml:space="preserve"> </w:t>
      </w:r>
      <w:r>
        <w:rPr>
          <w:b/>
          <w:sz w:val="24"/>
        </w:rPr>
        <w:t>judgment</w:t>
      </w:r>
      <w:r>
        <w:rPr>
          <w:b/>
          <w:spacing w:val="-2"/>
          <w:sz w:val="24"/>
        </w:rPr>
        <w:t xml:space="preserve"> </w:t>
      </w:r>
      <w:r>
        <w:rPr>
          <w:b/>
          <w:sz w:val="24"/>
        </w:rPr>
        <w:t>is</w:t>
      </w:r>
      <w:r>
        <w:rPr>
          <w:b/>
          <w:spacing w:val="-2"/>
          <w:sz w:val="24"/>
        </w:rPr>
        <w:t xml:space="preserve"> </w:t>
      </w:r>
      <w:r>
        <w:rPr>
          <w:b/>
          <w:sz w:val="24"/>
        </w:rPr>
        <w:t>sincerely</w:t>
      </w:r>
      <w:r>
        <w:rPr>
          <w:b/>
          <w:spacing w:val="-2"/>
          <w:sz w:val="24"/>
        </w:rPr>
        <w:t xml:space="preserve"> regretted.</w:t>
      </w:r>
    </w:p>
    <w:p w:rsidR="00C64337" w:rsidRDefault="00C64337">
      <w:pPr>
        <w:pStyle w:val="BodyText"/>
        <w:spacing w:before="22"/>
        <w:rPr>
          <w:b/>
        </w:rPr>
      </w:pPr>
    </w:p>
    <w:p w:rsidR="00C64337" w:rsidRDefault="00EA08E6">
      <w:pPr>
        <w:pStyle w:val="BodyText"/>
        <w:spacing w:line="360" w:lineRule="auto"/>
        <w:ind w:left="1015" w:right="19" w:firstLine="719"/>
        <w:jc w:val="both"/>
      </w:pPr>
      <w:r>
        <w:t>This</w:t>
      </w:r>
      <w:r>
        <w:rPr>
          <w:spacing w:val="-4"/>
        </w:rPr>
        <w:t xml:space="preserve"> </w:t>
      </w:r>
      <w:r>
        <w:t>is</w:t>
      </w:r>
      <w:r>
        <w:rPr>
          <w:spacing w:val="-4"/>
        </w:rPr>
        <w:t xml:space="preserve"> </w:t>
      </w:r>
      <w:r>
        <w:t>an</w:t>
      </w:r>
      <w:r>
        <w:rPr>
          <w:spacing w:val="-5"/>
        </w:rPr>
        <w:t xml:space="preserve"> </w:t>
      </w:r>
      <w:r>
        <w:t>appeal</w:t>
      </w:r>
      <w:r>
        <w:rPr>
          <w:spacing w:val="-4"/>
        </w:rPr>
        <w:t xml:space="preserve"> </w:t>
      </w:r>
      <w:r>
        <w:t>against</w:t>
      </w:r>
      <w:r>
        <w:rPr>
          <w:spacing w:val="-2"/>
        </w:rPr>
        <w:t xml:space="preserve"> </w:t>
      </w:r>
      <w:r>
        <w:t>the</w:t>
      </w:r>
      <w:r>
        <w:rPr>
          <w:spacing w:val="-5"/>
        </w:rPr>
        <w:t xml:space="preserve"> </w:t>
      </w:r>
      <w:r>
        <w:t>decision</w:t>
      </w:r>
      <w:r>
        <w:rPr>
          <w:spacing w:val="-5"/>
        </w:rPr>
        <w:t xml:space="preserve"> </w:t>
      </w:r>
      <w:r>
        <w:t>of</w:t>
      </w:r>
      <w:r>
        <w:rPr>
          <w:spacing w:val="-6"/>
        </w:rPr>
        <w:t xml:space="preserve"> </w:t>
      </w:r>
      <w:r>
        <w:t>the</w:t>
      </w:r>
      <w:r>
        <w:rPr>
          <w:spacing w:val="-6"/>
        </w:rPr>
        <w:t xml:space="preserve"> </w:t>
      </w:r>
      <w:r>
        <w:t>Disciplinary</w:t>
      </w:r>
      <w:r>
        <w:rPr>
          <w:spacing w:val="-6"/>
        </w:rPr>
        <w:t xml:space="preserve"> </w:t>
      </w:r>
      <w:r>
        <w:t>Committee,</w:t>
      </w:r>
      <w:r>
        <w:rPr>
          <w:spacing w:val="-5"/>
        </w:rPr>
        <w:t xml:space="preserve"> </w:t>
      </w:r>
      <w:r>
        <w:t>which</w:t>
      </w:r>
      <w:r>
        <w:rPr>
          <w:spacing w:val="-3"/>
        </w:rPr>
        <w:t xml:space="preserve"> </w:t>
      </w:r>
      <w:r>
        <w:t>upheld</w:t>
      </w:r>
      <w:r>
        <w:rPr>
          <w:spacing w:val="-4"/>
        </w:rPr>
        <w:t xml:space="preserve"> </w:t>
      </w:r>
      <w:r>
        <w:t>the decision of the disciplinary authority that found the appellant guilty of insubordination and gross incompetence. The appeals committee handed down its decision on 16 October 2024.</w:t>
      </w:r>
    </w:p>
    <w:p w:rsidR="00C64337" w:rsidRDefault="00EA08E6">
      <w:pPr>
        <w:spacing w:before="160"/>
        <w:ind w:left="1015"/>
        <w:rPr>
          <w:b/>
          <w:sz w:val="24"/>
        </w:rPr>
      </w:pPr>
      <w:r>
        <w:rPr>
          <w:b/>
          <w:sz w:val="24"/>
        </w:rPr>
        <w:t>BACKGROUND</w:t>
      </w:r>
      <w:r>
        <w:rPr>
          <w:b/>
          <w:spacing w:val="-9"/>
          <w:sz w:val="24"/>
        </w:rPr>
        <w:t xml:space="preserve"> </w:t>
      </w:r>
      <w:r>
        <w:rPr>
          <w:b/>
          <w:spacing w:val="-2"/>
          <w:sz w:val="24"/>
        </w:rPr>
        <w:t>FACTS</w:t>
      </w:r>
    </w:p>
    <w:p w:rsidR="00C64337" w:rsidRDefault="00C64337">
      <w:pPr>
        <w:pStyle w:val="BodyText"/>
        <w:spacing w:before="22"/>
        <w:rPr>
          <w:b/>
        </w:rPr>
      </w:pPr>
    </w:p>
    <w:p w:rsidR="00C64337" w:rsidRDefault="00EA08E6">
      <w:pPr>
        <w:pStyle w:val="BodyText"/>
        <w:spacing w:line="360" w:lineRule="auto"/>
        <w:ind w:left="1015" w:right="20"/>
        <w:jc w:val="both"/>
      </w:pPr>
      <w:r>
        <w:t>The appellan</w:t>
      </w:r>
      <w:r>
        <w:t>t is Artwell Masaka, a former employee of the respondent. The respondent is Cernol Chemicals (Private) Limited, a company operating in the manufacturing and distribution of cleaning chemicals.</w:t>
      </w:r>
    </w:p>
    <w:p w:rsidR="00C64337" w:rsidRDefault="00C64337">
      <w:pPr>
        <w:pStyle w:val="BodyText"/>
        <w:spacing w:line="360" w:lineRule="auto"/>
        <w:jc w:val="both"/>
        <w:sectPr w:rsidR="00C64337">
          <w:footerReference w:type="default" r:id="rId7"/>
          <w:type w:val="continuous"/>
          <w:pgSz w:w="11910" w:h="16840"/>
          <w:pgMar w:top="640" w:right="1417" w:bottom="1200" w:left="425" w:header="0" w:footer="1000" w:gutter="0"/>
          <w:pgNumType w:start="1"/>
          <w:cols w:space="720"/>
        </w:sectPr>
      </w:pPr>
    </w:p>
    <w:p w:rsidR="00C64337" w:rsidRDefault="00EA08E6">
      <w:pPr>
        <w:pStyle w:val="BodyText"/>
        <w:spacing w:before="198"/>
        <w:ind w:left="1015"/>
        <w:jc w:val="both"/>
      </w:pPr>
      <w:r>
        <w:lastRenderedPageBreak/>
        <w:t>The</w:t>
      </w:r>
      <w:r>
        <w:rPr>
          <w:spacing w:val="-3"/>
        </w:rPr>
        <w:t xml:space="preserve"> </w:t>
      </w:r>
      <w:r>
        <w:t>facts</w:t>
      </w:r>
      <w:r>
        <w:rPr>
          <w:spacing w:val="-2"/>
        </w:rPr>
        <w:t xml:space="preserve"> </w:t>
      </w:r>
      <w:r>
        <w:t>giving rise</w:t>
      </w:r>
      <w:r>
        <w:rPr>
          <w:spacing w:val="-1"/>
        </w:rPr>
        <w:t xml:space="preserve"> </w:t>
      </w:r>
      <w:r>
        <w:t>to this</w:t>
      </w:r>
      <w:r>
        <w:rPr>
          <w:spacing w:val="-2"/>
        </w:rPr>
        <w:t xml:space="preserve"> </w:t>
      </w:r>
      <w:r>
        <w:t>appeal are</w:t>
      </w:r>
      <w:r>
        <w:rPr>
          <w:spacing w:val="-2"/>
        </w:rPr>
        <w:t xml:space="preserve"> </w:t>
      </w:r>
      <w:r>
        <w:t>as</w:t>
      </w:r>
      <w:r>
        <w:rPr>
          <w:spacing w:val="-1"/>
        </w:rPr>
        <w:t xml:space="preserve"> </w:t>
      </w:r>
      <w:r>
        <w:rPr>
          <w:spacing w:val="-2"/>
        </w:rPr>
        <w:t>follows:</w:t>
      </w:r>
    </w:p>
    <w:p w:rsidR="00C64337" w:rsidRDefault="00C64337">
      <w:pPr>
        <w:pStyle w:val="BodyText"/>
        <w:spacing w:before="22"/>
      </w:pPr>
    </w:p>
    <w:p w:rsidR="00C64337" w:rsidRDefault="00EA08E6">
      <w:pPr>
        <w:pStyle w:val="BodyText"/>
        <w:spacing w:line="360" w:lineRule="auto"/>
        <w:ind w:left="1015" w:right="24" w:firstLine="719"/>
        <w:jc w:val="both"/>
      </w:pPr>
      <w:r>
        <w:t xml:space="preserve">The appellant faced two charges of misconduct under the respondent’s Code of </w:t>
      </w:r>
      <w:r>
        <w:rPr>
          <w:spacing w:val="-2"/>
        </w:rPr>
        <w:t>Conduct.</w:t>
      </w:r>
    </w:p>
    <w:p w:rsidR="00C64337" w:rsidRDefault="00EA08E6">
      <w:pPr>
        <w:pStyle w:val="BodyText"/>
        <w:spacing w:line="360" w:lineRule="auto"/>
        <w:ind w:left="1015" w:right="14"/>
        <w:jc w:val="both"/>
      </w:pPr>
      <w:r>
        <w:t>The first charge was insubordination. It arose from allegations that on 16 August 2024, he altered, without authority, a clear instruction given by the Group Managing Director to have the office cleaned that afternoon. The second charge was gross incompete</w:t>
      </w:r>
      <w:r>
        <w:t>nce and gross negligence. After these allegations, disciplinary proceedings were conducted. During the hearing, the respondent argued that the appellant had persistently failed to maintain basic cleanliness and hygiene at the company premises. The responde</w:t>
      </w:r>
      <w:r>
        <w:t>nt asserted that during an inspection</w:t>
      </w:r>
      <w:r>
        <w:rPr>
          <w:spacing w:val="-15"/>
        </w:rPr>
        <w:t xml:space="preserve"> </w:t>
      </w:r>
      <w:r>
        <w:t>conducted</w:t>
      </w:r>
      <w:r>
        <w:rPr>
          <w:spacing w:val="-15"/>
        </w:rPr>
        <w:t xml:space="preserve"> </w:t>
      </w:r>
      <w:r>
        <w:t>on</w:t>
      </w:r>
      <w:r>
        <w:rPr>
          <w:spacing w:val="-15"/>
        </w:rPr>
        <w:t xml:space="preserve"> </w:t>
      </w:r>
      <w:r>
        <w:t>21</w:t>
      </w:r>
      <w:r>
        <w:rPr>
          <w:spacing w:val="-15"/>
        </w:rPr>
        <w:t xml:space="preserve"> </w:t>
      </w:r>
      <w:r>
        <w:t>June</w:t>
      </w:r>
      <w:r>
        <w:rPr>
          <w:spacing w:val="-15"/>
        </w:rPr>
        <w:t xml:space="preserve"> </w:t>
      </w:r>
      <w:r>
        <w:t>2024</w:t>
      </w:r>
      <w:r>
        <w:rPr>
          <w:spacing w:val="-15"/>
        </w:rPr>
        <w:t xml:space="preserve"> </w:t>
      </w:r>
      <w:r>
        <w:t>for</w:t>
      </w:r>
      <w:r>
        <w:rPr>
          <w:spacing w:val="-15"/>
        </w:rPr>
        <w:t xml:space="preserve"> </w:t>
      </w:r>
      <w:r>
        <w:t>the</w:t>
      </w:r>
      <w:r>
        <w:rPr>
          <w:spacing w:val="-15"/>
        </w:rPr>
        <w:t xml:space="preserve"> </w:t>
      </w:r>
      <w:r>
        <w:t>Annual</w:t>
      </w:r>
      <w:r>
        <w:rPr>
          <w:spacing w:val="-15"/>
        </w:rPr>
        <w:t xml:space="preserve"> </w:t>
      </w:r>
      <w:r>
        <w:t>General</w:t>
      </w:r>
      <w:r>
        <w:rPr>
          <w:spacing w:val="-15"/>
        </w:rPr>
        <w:t xml:space="preserve"> </w:t>
      </w:r>
      <w:r>
        <w:t>Meeting,</w:t>
      </w:r>
      <w:r>
        <w:rPr>
          <w:spacing w:val="-15"/>
        </w:rPr>
        <w:t xml:space="preserve"> </w:t>
      </w:r>
      <w:r>
        <w:t>several</w:t>
      </w:r>
      <w:r>
        <w:rPr>
          <w:spacing w:val="-13"/>
        </w:rPr>
        <w:t xml:space="preserve"> </w:t>
      </w:r>
      <w:r>
        <w:t>areas,</w:t>
      </w:r>
      <w:r>
        <w:rPr>
          <w:spacing w:val="-14"/>
        </w:rPr>
        <w:t xml:space="preserve"> </w:t>
      </w:r>
      <w:r>
        <w:t>including the toilets and the administration block, were found in a deplorable and unhygienic state. A follow-up</w:t>
      </w:r>
      <w:r>
        <w:rPr>
          <w:spacing w:val="-15"/>
        </w:rPr>
        <w:t xml:space="preserve"> </w:t>
      </w:r>
      <w:r>
        <w:t>inspection</w:t>
      </w:r>
      <w:r>
        <w:rPr>
          <w:spacing w:val="-15"/>
        </w:rPr>
        <w:t xml:space="preserve"> </w:t>
      </w:r>
      <w:r>
        <w:t>on</w:t>
      </w:r>
      <w:r>
        <w:rPr>
          <w:spacing w:val="-11"/>
        </w:rPr>
        <w:t xml:space="preserve"> </w:t>
      </w:r>
      <w:r>
        <w:t>21</w:t>
      </w:r>
      <w:r>
        <w:rPr>
          <w:spacing w:val="-12"/>
        </w:rPr>
        <w:t xml:space="preserve"> </w:t>
      </w:r>
      <w:r>
        <w:t>and</w:t>
      </w:r>
      <w:r>
        <w:rPr>
          <w:spacing w:val="-12"/>
        </w:rPr>
        <w:t xml:space="preserve"> </w:t>
      </w:r>
      <w:r>
        <w:t>23</w:t>
      </w:r>
      <w:r>
        <w:rPr>
          <w:spacing w:val="-15"/>
        </w:rPr>
        <w:t xml:space="preserve"> </w:t>
      </w:r>
      <w:r>
        <w:t>August</w:t>
      </w:r>
      <w:r>
        <w:rPr>
          <w:spacing w:val="-12"/>
        </w:rPr>
        <w:t xml:space="preserve"> </w:t>
      </w:r>
      <w:r>
        <w:t>2</w:t>
      </w:r>
      <w:r>
        <w:t>024</w:t>
      </w:r>
      <w:r>
        <w:rPr>
          <w:spacing w:val="-12"/>
        </w:rPr>
        <w:t xml:space="preserve"> </w:t>
      </w:r>
      <w:r>
        <w:t>showed</w:t>
      </w:r>
      <w:r>
        <w:rPr>
          <w:spacing w:val="-12"/>
        </w:rPr>
        <w:t xml:space="preserve"> </w:t>
      </w:r>
      <w:r>
        <w:t>that</w:t>
      </w:r>
      <w:r>
        <w:rPr>
          <w:spacing w:val="-12"/>
        </w:rPr>
        <w:t xml:space="preserve"> </w:t>
      </w:r>
      <w:r>
        <w:t>the</w:t>
      </w:r>
      <w:r>
        <w:rPr>
          <w:spacing w:val="-13"/>
        </w:rPr>
        <w:t xml:space="preserve"> </w:t>
      </w:r>
      <w:r>
        <w:t>premises</w:t>
      </w:r>
      <w:r>
        <w:rPr>
          <w:spacing w:val="-12"/>
        </w:rPr>
        <w:t xml:space="preserve"> </w:t>
      </w:r>
      <w:r>
        <w:t>remained</w:t>
      </w:r>
      <w:r>
        <w:rPr>
          <w:spacing w:val="-12"/>
        </w:rPr>
        <w:t xml:space="preserve"> </w:t>
      </w:r>
      <w:r>
        <w:t>in</w:t>
      </w:r>
      <w:r>
        <w:rPr>
          <w:spacing w:val="-12"/>
        </w:rPr>
        <w:t xml:space="preserve"> </w:t>
      </w:r>
      <w:r>
        <w:t>the</w:t>
      </w:r>
      <w:r>
        <w:rPr>
          <w:spacing w:val="-13"/>
        </w:rPr>
        <w:t xml:space="preserve"> </w:t>
      </w:r>
      <w:r>
        <w:t>same poor</w:t>
      </w:r>
      <w:r>
        <w:rPr>
          <w:spacing w:val="-1"/>
        </w:rPr>
        <w:t xml:space="preserve"> </w:t>
      </w:r>
      <w:r>
        <w:t>condition.</w:t>
      </w:r>
      <w:r>
        <w:rPr>
          <w:spacing w:val="-4"/>
        </w:rPr>
        <w:t xml:space="preserve"> </w:t>
      </w:r>
      <w:r>
        <w:t>The</w:t>
      </w:r>
      <w:r>
        <w:rPr>
          <w:spacing w:val="-1"/>
        </w:rPr>
        <w:t xml:space="preserve"> </w:t>
      </w:r>
      <w:r>
        <w:t>respondent further</w:t>
      </w:r>
      <w:r>
        <w:rPr>
          <w:spacing w:val="-2"/>
        </w:rPr>
        <w:t xml:space="preserve"> </w:t>
      </w:r>
      <w:r>
        <w:t>alleged that the</w:t>
      </w:r>
      <w:r>
        <w:rPr>
          <w:spacing w:val="-1"/>
        </w:rPr>
        <w:t xml:space="preserve"> </w:t>
      </w:r>
      <w:r>
        <w:t>appellant failed to comply with a</w:t>
      </w:r>
      <w:r>
        <w:rPr>
          <w:spacing w:val="-1"/>
        </w:rPr>
        <w:t xml:space="preserve"> </w:t>
      </w:r>
      <w:r>
        <w:t>clear instruction from the Group Managing Director to have the office cleaned. It was also alleged that when he was summoned to explain this non-compliance, he failed or refused to report to the Managing Director’s office.</w:t>
      </w:r>
    </w:p>
    <w:p w:rsidR="00C64337" w:rsidRDefault="00EA08E6">
      <w:pPr>
        <w:pStyle w:val="BodyText"/>
        <w:spacing w:before="161" w:line="360" w:lineRule="auto"/>
        <w:ind w:left="1015" w:right="18" w:firstLine="719"/>
        <w:jc w:val="both"/>
      </w:pPr>
      <w:r>
        <w:t>In response, the appellant did no</w:t>
      </w:r>
      <w:r>
        <w:t xml:space="preserve">t dispute the poor state of the company premised, but proffered various explanations, including staff shortages, water challenges, inadequate cleaning chemicals, and lack of training. He also asserted that cleaning did not fall within his job description. </w:t>
      </w:r>
      <w:r>
        <w:t xml:space="preserve">However, his evidence during the hearing reflected that he exercised supervisory authority over the cleaning staff, a position inconsistent with his earlier denial of </w:t>
      </w:r>
      <w:r>
        <w:rPr>
          <w:spacing w:val="-2"/>
        </w:rPr>
        <w:t>responsibility.</w:t>
      </w:r>
    </w:p>
    <w:p w:rsidR="00C64337" w:rsidRDefault="00EA08E6">
      <w:pPr>
        <w:pStyle w:val="BodyText"/>
        <w:spacing w:before="161" w:line="360" w:lineRule="auto"/>
        <w:ind w:left="1015" w:right="19" w:firstLine="719"/>
        <w:jc w:val="both"/>
      </w:pPr>
      <w:r>
        <w:t>In determining the matter, the Disciplinary Committee found the appellant</w:t>
      </w:r>
      <w:r>
        <w:t xml:space="preserve"> guilty on both counts. A final written warning was issued for insubordination, while dismissal was ordered in respect of the charge of gross incompetence and gross negligence.</w:t>
      </w:r>
      <w:r>
        <w:rPr>
          <w:spacing w:val="-1"/>
        </w:rPr>
        <w:t xml:space="preserve"> </w:t>
      </w:r>
      <w:r>
        <w:t>Aggrieved, the appellant appealed internally to the Appeals Committee, which up</w:t>
      </w:r>
      <w:r>
        <w:t>held the decision of the disciplinary</w:t>
      </w:r>
      <w:r>
        <w:rPr>
          <w:spacing w:val="-1"/>
        </w:rPr>
        <w:t xml:space="preserve"> </w:t>
      </w:r>
      <w:r>
        <w:t>committee.</w:t>
      </w:r>
      <w:r>
        <w:rPr>
          <w:spacing w:val="-1"/>
        </w:rPr>
        <w:t xml:space="preserve"> </w:t>
      </w:r>
      <w:r>
        <w:t>Dissatisfied,</w:t>
      </w:r>
      <w:r>
        <w:rPr>
          <w:spacing w:val="-1"/>
        </w:rPr>
        <w:t xml:space="preserve"> </w:t>
      </w:r>
      <w:r>
        <w:t>he</w:t>
      </w:r>
      <w:r>
        <w:rPr>
          <w:spacing w:val="-2"/>
        </w:rPr>
        <w:t xml:space="preserve"> </w:t>
      </w:r>
      <w:r>
        <w:t>approached</w:t>
      </w:r>
      <w:r>
        <w:rPr>
          <w:spacing w:val="-1"/>
        </w:rPr>
        <w:t xml:space="preserve"> </w:t>
      </w:r>
      <w:r>
        <w:t>this</w:t>
      </w:r>
      <w:r>
        <w:rPr>
          <w:spacing w:val="-1"/>
        </w:rPr>
        <w:t xml:space="preserve"> </w:t>
      </w:r>
      <w:r>
        <w:t>Court</w:t>
      </w:r>
      <w:r>
        <w:rPr>
          <w:spacing w:val="-2"/>
        </w:rPr>
        <w:t xml:space="preserve"> </w:t>
      </w:r>
      <w:r>
        <w:t>on</w:t>
      </w:r>
      <w:r>
        <w:rPr>
          <w:spacing w:val="-1"/>
        </w:rPr>
        <w:t xml:space="preserve"> </w:t>
      </w:r>
      <w:r>
        <w:t>appeal,</w:t>
      </w:r>
      <w:r>
        <w:rPr>
          <w:spacing w:val="-1"/>
        </w:rPr>
        <w:t xml:space="preserve"> </w:t>
      </w:r>
      <w:r>
        <w:t>raising grounds</w:t>
      </w:r>
      <w:r>
        <w:rPr>
          <w:spacing w:val="-1"/>
        </w:rPr>
        <w:t xml:space="preserve"> </w:t>
      </w:r>
      <w:r>
        <w:t>that essentially challenge both the factual findings and the disciplinary processes adopted.</w:t>
      </w:r>
    </w:p>
    <w:p w:rsidR="00C64337" w:rsidRDefault="00EA08E6">
      <w:pPr>
        <w:pStyle w:val="BodyText"/>
        <w:spacing w:before="159" w:line="360" w:lineRule="auto"/>
        <w:ind w:left="1015" w:right="19" w:firstLine="719"/>
        <w:jc w:val="both"/>
      </w:pPr>
      <w:r>
        <w:t>In determining the matter, the Disciplinary Comm</w:t>
      </w:r>
      <w:r>
        <w:t>ittee found the appellant guilty on both counts. A final written warning was issued for insubordination, while dismissal was ordered in respect of the charge of gross incompetence and gross negligence. The appellant appealed</w:t>
      </w:r>
      <w:r>
        <w:rPr>
          <w:spacing w:val="13"/>
        </w:rPr>
        <w:t xml:space="preserve"> </w:t>
      </w:r>
      <w:r>
        <w:t>internally</w:t>
      </w:r>
      <w:r>
        <w:rPr>
          <w:spacing w:val="15"/>
        </w:rPr>
        <w:t xml:space="preserve"> </w:t>
      </w:r>
      <w:r>
        <w:t>to</w:t>
      </w:r>
      <w:r>
        <w:rPr>
          <w:spacing w:val="16"/>
        </w:rPr>
        <w:t xml:space="preserve"> </w:t>
      </w:r>
      <w:r>
        <w:t>the</w:t>
      </w:r>
      <w:r>
        <w:rPr>
          <w:spacing w:val="-4"/>
        </w:rPr>
        <w:t xml:space="preserve"> </w:t>
      </w:r>
      <w:r>
        <w:t>Appeals</w:t>
      </w:r>
      <w:r>
        <w:rPr>
          <w:spacing w:val="16"/>
        </w:rPr>
        <w:t xml:space="preserve"> </w:t>
      </w:r>
      <w:r>
        <w:t>Commi</w:t>
      </w:r>
      <w:r>
        <w:t>ttee,</w:t>
      </w:r>
      <w:r>
        <w:rPr>
          <w:spacing w:val="15"/>
        </w:rPr>
        <w:t xml:space="preserve"> </w:t>
      </w:r>
      <w:r>
        <w:t>which</w:t>
      </w:r>
      <w:r>
        <w:rPr>
          <w:spacing w:val="15"/>
        </w:rPr>
        <w:t xml:space="preserve"> </w:t>
      </w:r>
      <w:r>
        <w:t>upheld</w:t>
      </w:r>
      <w:r>
        <w:rPr>
          <w:spacing w:val="16"/>
        </w:rPr>
        <w:t xml:space="preserve"> </w:t>
      </w:r>
      <w:r>
        <w:t>the</w:t>
      </w:r>
      <w:r>
        <w:rPr>
          <w:spacing w:val="15"/>
        </w:rPr>
        <w:t xml:space="preserve"> </w:t>
      </w:r>
      <w:r>
        <w:t>decision</w:t>
      </w:r>
      <w:r>
        <w:rPr>
          <w:spacing w:val="17"/>
        </w:rPr>
        <w:t xml:space="preserve"> </w:t>
      </w:r>
      <w:r>
        <w:t>of</w:t>
      </w:r>
      <w:r>
        <w:rPr>
          <w:spacing w:val="14"/>
        </w:rPr>
        <w:t xml:space="preserve"> </w:t>
      </w:r>
      <w:r>
        <w:t>the</w:t>
      </w:r>
      <w:r>
        <w:rPr>
          <w:spacing w:val="16"/>
        </w:rPr>
        <w:t xml:space="preserve"> </w:t>
      </w:r>
      <w:r>
        <w:rPr>
          <w:spacing w:val="-2"/>
        </w:rPr>
        <w:t>disciplinary</w:t>
      </w:r>
    </w:p>
    <w:p w:rsidR="00C64337" w:rsidRDefault="00C64337">
      <w:pPr>
        <w:pStyle w:val="BodyText"/>
        <w:spacing w:line="360" w:lineRule="auto"/>
        <w:jc w:val="both"/>
        <w:sectPr w:rsidR="00C64337">
          <w:headerReference w:type="default" r:id="rId8"/>
          <w:footerReference w:type="default" r:id="rId9"/>
          <w:pgSz w:w="11910" w:h="16840"/>
          <w:pgMar w:top="1240" w:right="1417" w:bottom="1200" w:left="425" w:header="751" w:footer="1000" w:gutter="0"/>
          <w:cols w:space="720"/>
        </w:sectPr>
      </w:pPr>
    </w:p>
    <w:p w:rsidR="00C64337" w:rsidRDefault="00EA08E6">
      <w:pPr>
        <w:pStyle w:val="BodyText"/>
        <w:spacing w:before="198" w:line="360" w:lineRule="auto"/>
        <w:ind w:left="1015" w:right="22"/>
        <w:jc w:val="both"/>
      </w:pPr>
      <w:r>
        <w:t>committee. Dissatisfied, the appellant approached this Court on appeal, raising grounds that challenged both the factual findings and the disciplinary processes adopted. The grounds of appeal are as follows:</w:t>
      </w:r>
    </w:p>
    <w:p w:rsidR="00C64337" w:rsidRDefault="00EA08E6">
      <w:pPr>
        <w:spacing w:before="160"/>
        <w:ind w:left="1015"/>
        <w:rPr>
          <w:b/>
          <w:sz w:val="24"/>
        </w:rPr>
      </w:pPr>
      <w:r>
        <w:rPr>
          <w:b/>
          <w:sz w:val="24"/>
        </w:rPr>
        <w:t>GROUNDS</w:t>
      </w:r>
      <w:r>
        <w:rPr>
          <w:b/>
          <w:spacing w:val="-5"/>
          <w:sz w:val="24"/>
        </w:rPr>
        <w:t xml:space="preserve"> </w:t>
      </w:r>
      <w:r>
        <w:rPr>
          <w:b/>
          <w:sz w:val="24"/>
        </w:rPr>
        <w:t>OF</w:t>
      </w:r>
      <w:r>
        <w:rPr>
          <w:b/>
          <w:spacing w:val="-24"/>
          <w:sz w:val="24"/>
        </w:rPr>
        <w:t xml:space="preserve"> </w:t>
      </w:r>
      <w:r>
        <w:rPr>
          <w:b/>
          <w:sz w:val="24"/>
        </w:rPr>
        <w:t>APPEAL</w:t>
      </w:r>
      <w:r>
        <w:rPr>
          <w:b/>
          <w:spacing w:val="-29"/>
          <w:sz w:val="24"/>
        </w:rPr>
        <w:t xml:space="preserve"> </w:t>
      </w:r>
      <w:r>
        <w:rPr>
          <w:b/>
          <w:sz w:val="24"/>
        </w:rPr>
        <w:t>AND</w:t>
      </w:r>
      <w:r>
        <w:rPr>
          <w:b/>
          <w:spacing w:val="-2"/>
          <w:sz w:val="24"/>
        </w:rPr>
        <w:t xml:space="preserve"> </w:t>
      </w:r>
      <w:r>
        <w:rPr>
          <w:b/>
          <w:sz w:val="24"/>
        </w:rPr>
        <w:t>RELIEF</w:t>
      </w:r>
      <w:r>
        <w:rPr>
          <w:b/>
          <w:spacing w:val="-11"/>
          <w:sz w:val="24"/>
        </w:rPr>
        <w:t xml:space="preserve"> </w:t>
      </w:r>
      <w:r>
        <w:rPr>
          <w:b/>
          <w:spacing w:val="-2"/>
          <w:sz w:val="24"/>
        </w:rPr>
        <w:t>SOUGHT</w:t>
      </w:r>
    </w:p>
    <w:p w:rsidR="00C64337" w:rsidRDefault="00C64337">
      <w:pPr>
        <w:pStyle w:val="BodyText"/>
        <w:spacing w:before="22"/>
        <w:rPr>
          <w:b/>
        </w:rPr>
      </w:pPr>
    </w:p>
    <w:p w:rsidR="00C64337" w:rsidRDefault="00EA08E6">
      <w:pPr>
        <w:pStyle w:val="BodyText"/>
        <w:ind w:left="1015"/>
        <w:jc w:val="both"/>
      </w:pPr>
      <w:r>
        <w:t>The</w:t>
      </w:r>
      <w:r>
        <w:rPr>
          <w:spacing w:val="-3"/>
        </w:rPr>
        <w:t xml:space="preserve"> </w:t>
      </w:r>
      <w:r>
        <w:t>appeal</w:t>
      </w:r>
      <w:r>
        <w:rPr>
          <w:spacing w:val="-1"/>
        </w:rPr>
        <w:t xml:space="preserve"> </w:t>
      </w:r>
      <w:r>
        <w:t>is</w:t>
      </w:r>
      <w:r>
        <w:rPr>
          <w:spacing w:val="-1"/>
        </w:rPr>
        <w:t xml:space="preserve"> </w:t>
      </w:r>
      <w:r>
        <w:t>premised</w:t>
      </w:r>
      <w:r>
        <w:rPr>
          <w:spacing w:val="-1"/>
        </w:rPr>
        <w:t xml:space="preserve"> </w:t>
      </w:r>
      <w:r>
        <w:t>on the</w:t>
      </w:r>
      <w:r>
        <w:rPr>
          <w:spacing w:val="-1"/>
        </w:rPr>
        <w:t xml:space="preserve"> </w:t>
      </w:r>
      <w:r>
        <w:t xml:space="preserve">following </w:t>
      </w:r>
      <w:r>
        <w:rPr>
          <w:spacing w:val="-2"/>
        </w:rPr>
        <w:t>grounds:</w:t>
      </w:r>
    </w:p>
    <w:p w:rsidR="00C64337" w:rsidRDefault="00C64337">
      <w:pPr>
        <w:pStyle w:val="BodyText"/>
        <w:spacing w:before="21"/>
      </w:pPr>
    </w:p>
    <w:p w:rsidR="00C64337" w:rsidRDefault="00EA08E6">
      <w:pPr>
        <w:pStyle w:val="ListParagraph"/>
        <w:numPr>
          <w:ilvl w:val="0"/>
          <w:numId w:val="1"/>
        </w:numPr>
        <w:tabs>
          <w:tab w:val="left" w:pos="1735"/>
        </w:tabs>
        <w:spacing w:line="360" w:lineRule="auto"/>
        <w:ind w:right="18"/>
        <w:jc w:val="both"/>
        <w:rPr>
          <w:sz w:val="24"/>
        </w:rPr>
      </w:pPr>
      <w:r>
        <w:rPr>
          <w:sz w:val="24"/>
        </w:rPr>
        <w:t>The</w:t>
      </w:r>
      <w:r>
        <w:rPr>
          <w:spacing w:val="-15"/>
          <w:sz w:val="24"/>
        </w:rPr>
        <w:t xml:space="preserve"> </w:t>
      </w:r>
      <w:r>
        <w:rPr>
          <w:sz w:val="24"/>
        </w:rPr>
        <w:t>Appeals</w:t>
      </w:r>
      <w:r>
        <w:rPr>
          <w:spacing w:val="-15"/>
          <w:sz w:val="24"/>
        </w:rPr>
        <w:t xml:space="preserve"> </w:t>
      </w:r>
      <w:r>
        <w:rPr>
          <w:sz w:val="24"/>
        </w:rPr>
        <w:t>committee</w:t>
      </w:r>
      <w:r>
        <w:rPr>
          <w:spacing w:val="-14"/>
          <w:sz w:val="24"/>
        </w:rPr>
        <w:t xml:space="preserve"> </w:t>
      </w:r>
      <w:r>
        <w:rPr>
          <w:sz w:val="24"/>
        </w:rPr>
        <w:t>grossly</w:t>
      </w:r>
      <w:r>
        <w:rPr>
          <w:spacing w:val="-10"/>
          <w:sz w:val="24"/>
        </w:rPr>
        <w:t xml:space="preserve"> </w:t>
      </w:r>
      <w:r>
        <w:rPr>
          <w:sz w:val="24"/>
        </w:rPr>
        <w:t>erred</w:t>
      </w:r>
      <w:r>
        <w:rPr>
          <w:spacing w:val="-11"/>
          <w:sz w:val="24"/>
        </w:rPr>
        <w:t xml:space="preserve"> </w:t>
      </w:r>
      <w:r>
        <w:rPr>
          <w:sz w:val="24"/>
        </w:rPr>
        <w:t>in</w:t>
      </w:r>
      <w:r>
        <w:rPr>
          <w:spacing w:val="-10"/>
          <w:sz w:val="24"/>
        </w:rPr>
        <w:t xml:space="preserve"> </w:t>
      </w:r>
      <w:r>
        <w:rPr>
          <w:sz w:val="24"/>
        </w:rPr>
        <w:t>upholding</w:t>
      </w:r>
      <w:r>
        <w:rPr>
          <w:spacing w:val="-11"/>
          <w:sz w:val="24"/>
        </w:rPr>
        <w:t xml:space="preserve"> </w:t>
      </w:r>
      <w:r>
        <w:rPr>
          <w:sz w:val="24"/>
        </w:rPr>
        <w:t>the</w:t>
      </w:r>
      <w:r>
        <w:rPr>
          <w:spacing w:val="-11"/>
          <w:sz w:val="24"/>
        </w:rPr>
        <w:t xml:space="preserve"> </w:t>
      </w:r>
      <w:r>
        <w:rPr>
          <w:sz w:val="24"/>
        </w:rPr>
        <w:t>verdict</w:t>
      </w:r>
      <w:r>
        <w:rPr>
          <w:spacing w:val="-10"/>
          <w:sz w:val="24"/>
        </w:rPr>
        <w:t xml:space="preserve"> </w:t>
      </w:r>
      <w:r>
        <w:rPr>
          <w:sz w:val="24"/>
        </w:rPr>
        <w:t>of</w:t>
      </w:r>
      <w:r>
        <w:rPr>
          <w:spacing w:val="-11"/>
          <w:sz w:val="24"/>
        </w:rPr>
        <w:t xml:space="preserve"> </w:t>
      </w:r>
      <w:r>
        <w:rPr>
          <w:sz w:val="24"/>
        </w:rPr>
        <w:t>guilty</w:t>
      </w:r>
      <w:r>
        <w:rPr>
          <w:spacing w:val="-10"/>
          <w:sz w:val="24"/>
        </w:rPr>
        <w:t xml:space="preserve"> </w:t>
      </w:r>
      <w:r>
        <w:rPr>
          <w:sz w:val="24"/>
        </w:rPr>
        <w:t>in</w:t>
      </w:r>
      <w:r>
        <w:rPr>
          <w:spacing w:val="-10"/>
          <w:sz w:val="24"/>
        </w:rPr>
        <w:t xml:space="preserve"> </w:t>
      </w:r>
      <w:r>
        <w:rPr>
          <w:sz w:val="24"/>
        </w:rPr>
        <w:t>respect</w:t>
      </w:r>
      <w:r>
        <w:rPr>
          <w:spacing w:val="-10"/>
          <w:sz w:val="24"/>
        </w:rPr>
        <w:t xml:space="preserve"> </w:t>
      </w:r>
      <w:r>
        <w:rPr>
          <w:sz w:val="24"/>
        </w:rPr>
        <w:t>to</w:t>
      </w:r>
      <w:r>
        <w:rPr>
          <w:spacing w:val="-10"/>
          <w:sz w:val="24"/>
        </w:rPr>
        <w:t xml:space="preserve"> </w:t>
      </w:r>
      <w:r>
        <w:rPr>
          <w:sz w:val="24"/>
        </w:rPr>
        <w:t>the misconduct charges of insubordination in circumstances in which the totality of the facts as presented and considered could not justify such a verdict.</w:t>
      </w:r>
    </w:p>
    <w:p w:rsidR="00C64337" w:rsidRDefault="00EA08E6">
      <w:pPr>
        <w:pStyle w:val="ListParagraph"/>
        <w:numPr>
          <w:ilvl w:val="0"/>
          <w:numId w:val="1"/>
        </w:numPr>
        <w:tabs>
          <w:tab w:val="left" w:pos="1735"/>
        </w:tabs>
        <w:spacing w:before="2" w:line="360" w:lineRule="auto"/>
        <w:ind w:right="19"/>
        <w:jc w:val="both"/>
        <w:rPr>
          <w:sz w:val="24"/>
        </w:rPr>
      </w:pPr>
      <w:r>
        <w:rPr>
          <w:sz w:val="24"/>
        </w:rPr>
        <w:t>The Appeals Committee grossly erred in upholding the verdict of the disciplinary committee</w:t>
      </w:r>
      <w:r>
        <w:rPr>
          <w:spacing w:val="-10"/>
          <w:sz w:val="24"/>
        </w:rPr>
        <w:t xml:space="preserve"> </w:t>
      </w:r>
      <w:r>
        <w:rPr>
          <w:sz w:val="24"/>
        </w:rPr>
        <w:t>in</w:t>
      </w:r>
      <w:r>
        <w:rPr>
          <w:spacing w:val="-8"/>
          <w:sz w:val="24"/>
        </w:rPr>
        <w:t xml:space="preserve"> </w:t>
      </w:r>
      <w:r>
        <w:rPr>
          <w:sz w:val="24"/>
        </w:rPr>
        <w:t>respec</w:t>
      </w:r>
      <w:r>
        <w:rPr>
          <w:sz w:val="24"/>
        </w:rPr>
        <w:t>t</w:t>
      </w:r>
      <w:r>
        <w:rPr>
          <w:spacing w:val="-6"/>
          <w:sz w:val="24"/>
        </w:rPr>
        <w:t xml:space="preserve"> </w:t>
      </w:r>
      <w:r>
        <w:rPr>
          <w:sz w:val="24"/>
        </w:rPr>
        <w:t>to</w:t>
      </w:r>
      <w:r>
        <w:rPr>
          <w:spacing w:val="-8"/>
          <w:sz w:val="24"/>
        </w:rPr>
        <w:t xml:space="preserve"> </w:t>
      </w:r>
      <w:r>
        <w:rPr>
          <w:sz w:val="24"/>
        </w:rPr>
        <w:t>the</w:t>
      </w:r>
      <w:r>
        <w:rPr>
          <w:spacing w:val="-9"/>
          <w:sz w:val="24"/>
        </w:rPr>
        <w:t xml:space="preserve"> </w:t>
      </w:r>
      <w:r>
        <w:rPr>
          <w:sz w:val="24"/>
        </w:rPr>
        <w:t>charge</w:t>
      </w:r>
      <w:r>
        <w:rPr>
          <w:spacing w:val="-9"/>
          <w:sz w:val="24"/>
        </w:rPr>
        <w:t xml:space="preserve"> </w:t>
      </w:r>
      <w:r>
        <w:rPr>
          <w:sz w:val="24"/>
        </w:rPr>
        <w:t>of</w:t>
      </w:r>
      <w:r>
        <w:rPr>
          <w:spacing w:val="-7"/>
          <w:sz w:val="24"/>
        </w:rPr>
        <w:t xml:space="preserve"> </w:t>
      </w:r>
      <w:r>
        <w:rPr>
          <w:sz w:val="24"/>
        </w:rPr>
        <w:t>gross</w:t>
      </w:r>
      <w:r>
        <w:rPr>
          <w:spacing w:val="-6"/>
          <w:sz w:val="24"/>
        </w:rPr>
        <w:t xml:space="preserve"> </w:t>
      </w:r>
      <w:r>
        <w:rPr>
          <w:sz w:val="24"/>
        </w:rPr>
        <w:t>incompetence/</w:t>
      </w:r>
      <w:r>
        <w:rPr>
          <w:spacing w:val="-6"/>
          <w:sz w:val="24"/>
        </w:rPr>
        <w:t xml:space="preserve"> </w:t>
      </w:r>
      <w:r>
        <w:rPr>
          <w:sz w:val="24"/>
        </w:rPr>
        <w:t>negligence</w:t>
      </w:r>
      <w:r>
        <w:rPr>
          <w:spacing w:val="-9"/>
          <w:sz w:val="24"/>
        </w:rPr>
        <w:t xml:space="preserve"> </w:t>
      </w:r>
      <w:r>
        <w:rPr>
          <w:sz w:val="24"/>
        </w:rPr>
        <w:t>in</w:t>
      </w:r>
      <w:r>
        <w:rPr>
          <w:spacing w:val="-6"/>
          <w:sz w:val="24"/>
        </w:rPr>
        <w:t xml:space="preserve"> </w:t>
      </w:r>
      <w:r>
        <w:rPr>
          <w:sz w:val="24"/>
        </w:rPr>
        <w:t>circumstances in which the factual conclusions reached by the disciplinary committee were so irrational and detached with the evidence as presented</w:t>
      </w:r>
    </w:p>
    <w:p w:rsidR="00C64337" w:rsidRDefault="00EA08E6">
      <w:pPr>
        <w:pStyle w:val="ListParagraph"/>
        <w:numPr>
          <w:ilvl w:val="0"/>
          <w:numId w:val="1"/>
        </w:numPr>
        <w:tabs>
          <w:tab w:val="left" w:pos="1735"/>
          <w:tab w:val="left" w:pos="1789"/>
        </w:tabs>
        <w:spacing w:line="360" w:lineRule="auto"/>
        <w:ind w:right="23"/>
        <w:jc w:val="both"/>
        <w:rPr>
          <w:sz w:val="24"/>
        </w:rPr>
      </w:pPr>
      <w:r>
        <w:rPr>
          <w:sz w:val="24"/>
        </w:rPr>
        <w:t>The</w:t>
      </w:r>
      <w:r>
        <w:rPr>
          <w:spacing w:val="40"/>
          <w:sz w:val="24"/>
        </w:rPr>
        <w:t xml:space="preserve"> </w:t>
      </w:r>
      <w:r>
        <w:rPr>
          <w:sz w:val="24"/>
        </w:rPr>
        <w:t>appeals Committee grossly erred in holding as it di</w:t>
      </w:r>
      <w:r>
        <w:rPr>
          <w:sz w:val="24"/>
        </w:rPr>
        <w:t xml:space="preserve">d that there was no evidence that the sentence had not been deliberated and decided by the Disciplinary Committee when the record </w:t>
      </w:r>
      <w:r>
        <w:rPr>
          <w:i/>
          <w:sz w:val="24"/>
        </w:rPr>
        <w:t xml:space="preserve">ex facie </w:t>
      </w:r>
      <w:r>
        <w:rPr>
          <w:sz w:val="24"/>
        </w:rPr>
        <w:t>speaks for itself and no further evidence was required.</w:t>
      </w:r>
    </w:p>
    <w:p w:rsidR="00C64337" w:rsidRDefault="00EA08E6">
      <w:pPr>
        <w:pStyle w:val="BodyText"/>
        <w:spacing w:before="160"/>
        <w:ind w:left="1130"/>
        <w:jc w:val="both"/>
      </w:pPr>
      <w:r>
        <w:t>WHEREFORE,</w:t>
      </w:r>
      <w:r>
        <w:rPr>
          <w:spacing w:val="-5"/>
        </w:rPr>
        <w:t xml:space="preserve"> </w:t>
      </w:r>
      <w:r>
        <w:t>the</w:t>
      </w:r>
      <w:r>
        <w:rPr>
          <w:spacing w:val="-15"/>
        </w:rPr>
        <w:t xml:space="preserve"> </w:t>
      </w:r>
      <w:r>
        <w:t>Appellant</w:t>
      </w:r>
      <w:r>
        <w:rPr>
          <w:spacing w:val="-1"/>
        </w:rPr>
        <w:t xml:space="preserve"> </w:t>
      </w:r>
      <w:r>
        <w:t>prays</w:t>
      </w:r>
      <w:r>
        <w:rPr>
          <w:spacing w:val="-2"/>
        </w:rPr>
        <w:t xml:space="preserve"> </w:t>
      </w:r>
      <w:r>
        <w:t>that</w:t>
      </w:r>
      <w:r>
        <w:rPr>
          <w:spacing w:val="-1"/>
        </w:rPr>
        <w:t xml:space="preserve"> </w:t>
      </w:r>
      <w:r>
        <w:t>the</w:t>
      </w:r>
      <w:r>
        <w:rPr>
          <w:spacing w:val="-3"/>
        </w:rPr>
        <w:t xml:space="preserve"> </w:t>
      </w:r>
      <w:r>
        <w:t>appeal</w:t>
      </w:r>
      <w:r>
        <w:rPr>
          <w:spacing w:val="1"/>
        </w:rPr>
        <w:t xml:space="preserve"> </w:t>
      </w:r>
      <w:r>
        <w:t>succeeds</w:t>
      </w:r>
      <w:r>
        <w:rPr>
          <w:spacing w:val="-1"/>
        </w:rPr>
        <w:t xml:space="preserve"> </w:t>
      </w:r>
      <w:r>
        <w:t>as</w:t>
      </w:r>
      <w:r>
        <w:rPr>
          <w:spacing w:val="-2"/>
        </w:rPr>
        <w:t xml:space="preserve"> follows:</w:t>
      </w:r>
    </w:p>
    <w:p w:rsidR="00C64337" w:rsidRDefault="00C64337">
      <w:pPr>
        <w:pStyle w:val="BodyText"/>
        <w:spacing w:before="22"/>
      </w:pPr>
    </w:p>
    <w:p w:rsidR="00C64337" w:rsidRDefault="00EA08E6">
      <w:pPr>
        <w:pStyle w:val="ListParagraph"/>
        <w:numPr>
          <w:ilvl w:val="0"/>
          <w:numId w:val="3"/>
        </w:numPr>
        <w:tabs>
          <w:tab w:val="left" w:pos="1735"/>
        </w:tabs>
        <w:spacing w:line="360" w:lineRule="auto"/>
        <w:ind w:right="18" w:hanging="360"/>
        <w:jc w:val="both"/>
        <w:rPr>
          <w:sz w:val="24"/>
        </w:rPr>
      </w:pPr>
      <w:r>
        <w:rPr>
          <w:spacing w:val="-7"/>
          <w:sz w:val="24"/>
        </w:rPr>
        <w:t xml:space="preserve"> </w:t>
      </w:r>
      <w:r>
        <w:rPr>
          <w:sz w:val="24"/>
        </w:rPr>
        <w:t>The decision of the disciplinary Committee finding the Appellant guilty of the preferred misconduct charges is and hereby set aside</w:t>
      </w:r>
    </w:p>
    <w:p w:rsidR="00C64337" w:rsidRDefault="00EA08E6">
      <w:pPr>
        <w:pStyle w:val="ListParagraph"/>
        <w:numPr>
          <w:ilvl w:val="0"/>
          <w:numId w:val="3"/>
        </w:numPr>
        <w:tabs>
          <w:tab w:val="left" w:pos="1735"/>
        </w:tabs>
        <w:spacing w:line="360" w:lineRule="auto"/>
        <w:ind w:right="20" w:hanging="360"/>
        <w:jc w:val="both"/>
        <w:rPr>
          <w:sz w:val="24"/>
        </w:rPr>
      </w:pPr>
      <w:r>
        <w:rPr>
          <w:sz w:val="24"/>
        </w:rPr>
        <w:t>The</w:t>
      </w:r>
      <w:r>
        <w:rPr>
          <w:spacing w:val="-1"/>
          <w:sz w:val="24"/>
        </w:rPr>
        <w:t xml:space="preserve"> </w:t>
      </w:r>
      <w:r>
        <w:rPr>
          <w:sz w:val="24"/>
        </w:rPr>
        <w:t>appellant is reinstated in his original position</w:t>
      </w:r>
      <w:r>
        <w:rPr>
          <w:spacing w:val="-2"/>
          <w:sz w:val="24"/>
        </w:rPr>
        <w:t xml:space="preserve"> </w:t>
      </w:r>
      <w:r>
        <w:rPr>
          <w:sz w:val="24"/>
        </w:rPr>
        <w:t>without loss of</w:t>
      </w:r>
      <w:r>
        <w:rPr>
          <w:spacing w:val="-1"/>
          <w:sz w:val="24"/>
        </w:rPr>
        <w:t xml:space="preserve"> </w:t>
      </w:r>
      <w:r>
        <w:rPr>
          <w:sz w:val="24"/>
        </w:rPr>
        <w:t>salary or benefits, or alternatively in the event that reinstatement is no longer tenable the</w:t>
      </w:r>
      <w:r>
        <w:rPr>
          <w:spacing w:val="-13"/>
          <w:sz w:val="24"/>
        </w:rPr>
        <w:t xml:space="preserve"> </w:t>
      </w:r>
      <w:r>
        <w:rPr>
          <w:sz w:val="24"/>
        </w:rPr>
        <w:t>Appellant shall be paid damages in lieu of reinstatement.</w:t>
      </w:r>
    </w:p>
    <w:p w:rsidR="00C64337" w:rsidRDefault="00EA08E6">
      <w:pPr>
        <w:spacing w:before="160" w:line="499" w:lineRule="auto"/>
        <w:ind w:left="1015" w:right="4131"/>
        <w:rPr>
          <w:b/>
          <w:sz w:val="24"/>
        </w:rPr>
      </w:pPr>
      <w:r>
        <w:rPr>
          <w:b/>
          <w:sz w:val="24"/>
        </w:rPr>
        <w:t>SUBMISSIONS</w:t>
      </w:r>
      <w:r>
        <w:rPr>
          <w:b/>
          <w:spacing w:val="-15"/>
          <w:sz w:val="24"/>
        </w:rPr>
        <w:t xml:space="preserve"> </w:t>
      </w:r>
      <w:r>
        <w:rPr>
          <w:b/>
          <w:sz w:val="24"/>
        </w:rPr>
        <w:t>MADE</w:t>
      </w:r>
      <w:r>
        <w:rPr>
          <w:b/>
          <w:spacing w:val="-15"/>
          <w:sz w:val="24"/>
        </w:rPr>
        <w:t xml:space="preserve"> </w:t>
      </w:r>
      <w:r>
        <w:rPr>
          <w:b/>
          <w:sz w:val="24"/>
        </w:rPr>
        <w:t>BY</w:t>
      </w:r>
      <w:r>
        <w:rPr>
          <w:b/>
          <w:spacing w:val="-15"/>
          <w:sz w:val="24"/>
        </w:rPr>
        <w:t xml:space="preserve"> </w:t>
      </w:r>
      <w:r>
        <w:rPr>
          <w:b/>
          <w:sz w:val="24"/>
        </w:rPr>
        <w:t>THE</w:t>
      </w:r>
      <w:r>
        <w:rPr>
          <w:b/>
          <w:spacing w:val="-15"/>
          <w:sz w:val="24"/>
        </w:rPr>
        <w:t xml:space="preserve"> </w:t>
      </w:r>
      <w:r>
        <w:rPr>
          <w:b/>
          <w:sz w:val="24"/>
        </w:rPr>
        <w:t>PARTIES THE APPELLANT’S SUBMISSIONS</w:t>
      </w:r>
    </w:p>
    <w:p w:rsidR="00C64337" w:rsidRDefault="00EA08E6">
      <w:pPr>
        <w:pStyle w:val="BodyText"/>
        <w:spacing w:line="360" w:lineRule="auto"/>
        <w:ind w:left="1015" w:right="20" w:firstLine="719"/>
        <w:jc w:val="both"/>
      </w:pPr>
      <w:r>
        <w:t>The</w:t>
      </w:r>
      <w:r>
        <w:rPr>
          <w:spacing w:val="-15"/>
        </w:rPr>
        <w:t xml:space="preserve"> </w:t>
      </w:r>
      <w:r>
        <w:t>appellant</w:t>
      </w:r>
      <w:r>
        <w:rPr>
          <w:spacing w:val="-15"/>
        </w:rPr>
        <w:t xml:space="preserve"> </w:t>
      </w:r>
      <w:r>
        <w:t>contended</w:t>
      </w:r>
      <w:r>
        <w:rPr>
          <w:spacing w:val="-11"/>
        </w:rPr>
        <w:t xml:space="preserve"> </w:t>
      </w:r>
      <w:r>
        <w:t>that</w:t>
      </w:r>
      <w:r>
        <w:rPr>
          <w:spacing w:val="-10"/>
        </w:rPr>
        <w:t xml:space="preserve"> </w:t>
      </w:r>
      <w:r>
        <w:t>the</w:t>
      </w:r>
      <w:r>
        <w:rPr>
          <w:spacing w:val="-15"/>
        </w:rPr>
        <w:t xml:space="preserve"> </w:t>
      </w:r>
      <w:r>
        <w:t>Appeals</w:t>
      </w:r>
      <w:r>
        <w:rPr>
          <w:spacing w:val="-10"/>
        </w:rPr>
        <w:t xml:space="preserve"> </w:t>
      </w:r>
      <w:r>
        <w:t>Com</w:t>
      </w:r>
      <w:r>
        <w:t>mittee</w:t>
      </w:r>
      <w:r>
        <w:rPr>
          <w:spacing w:val="-12"/>
        </w:rPr>
        <w:t xml:space="preserve"> </w:t>
      </w:r>
      <w:r>
        <w:t>erred</w:t>
      </w:r>
      <w:r>
        <w:rPr>
          <w:spacing w:val="-11"/>
        </w:rPr>
        <w:t xml:space="preserve"> </w:t>
      </w:r>
      <w:r>
        <w:t>in</w:t>
      </w:r>
      <w:r>
        <w:rPr>
          <w:spacing w:val="-10"/>
        </w:rPr>
        <w:t xml:space="preserve"> </w:t>
      </w:r>
      <w:r>
        <w:t>upholding</w:t>
      </w:r>
      <w:r>
        <w:rPr>
          <w:spacing w:val="-11"/>
        </w:rPr>
        <w:t xml:space="preserve"> </w:t>
      </w:r>
      <w:r>
        <w:t>the</w:t>
      </w:r>
      <w:r>
        <w:rPr>
          <w:spacing w:val="-11"/>
        </w:rPr>
        <w:t xml:space="preserve"> </w:t>
      </w:r>
      <w:r>
        <w:t>decision</w:t>
      </w:r>
      <w:r>
        <w:rPr>
          <w:spacing w:val="-11"/>
        </w:rPr>
        <w:t xml:space="preserve"> </w:t>
      </w:r>
      <w:r>
        <w:t>of the Disciplinary Committee because the evidence presented did not establish the alleged misconduct.</w:t>
      </w:r>
      <w:r>
        <w:rPr>
          <w:spacing w:val="-5"/>
        </w:rPr>
        <w:t xml:space="preserve"> </w:t>
      </w:r>
      <w:r>
        <w:t>He</w:t>
      </w:r>
      <w:r>
        <w:rPr>
          <w:spacing w:val="-7"/>
        </w:rPr>
        <w:t xml:space="preserve"> </w:t>
      </w:r>
      <w:r>
        <w:t>argued</w:t>
      </w:r>
      <w:r>
        <w:rPr>
          <w:spacing w:val="-6"/>
        </w:rPr>
        <w:t xml:space="preserve"> </w:t>
      </w:r>
      <w:r>
        <w:t>that</w:t>
      </w:r>
      <w:r>
        <w:rPr>
          <w:spacing w:val="-5"/>
        </w:rPr>
        <w:t xml:space="preserve"> </w:t>
      </w:r>
      <w:r>
        <w:t>the</w:t>
      </w:r>
      <w:r>
        <w:rPr>
          <w:spacing w:val="-6"/>
        </w:rPr>
        <w:t xml:space="preserve"> </w:t>
      </w:r>
      <w:r>
        <w:t>committee</w:t>
      </w:r>
      <w:r>
        <w:rPr>
          <w:spacing w:val="-7"/>
        </w:rPr>
        <w:t xml:space="preserve"> </w:t>
      </w:r>
      <w:r>
        <w:t>failed</w:t>
      </w:r>
      <w:r>
        <w:rPr>
          <w:spacing w:val="-6"/>
        </w:rPr>
        <w:t xml:space="preserve"> </w:t>
      </w:r>
      <w:r>
        <w:t>to</w:t>
      </w:r>
      <w:r>
        <w:rPr>
          <w:spacing w:val="-5"/>
        </w:rPr>
        <w:t xml:space="preserve"> </w:t>
      </w:r>
      <w:r>
        <w:t>properly</w:t>
      </w:r>
      <w:r>
        <w:rPr>
          <w:spacing w:val="-6"/>
        </w:rPr>
        <w:t xml:space="preserve"> </w:t>
      </w:r>
      <w:r>
        <w:t>assess</w:t>
      </w:r>
      <w:r>
        <w:rPr>
          <w:spacing w:val="-6"/>
        </w:rPr>
        <w:t xml:space="preserve"> </w:t>
      </w:r>
      <w:r>
        <w:t>both</w:t>
      </w:r>
      <w:r>
        <w:rPr>
          <w:spacing w:val="-5"/>
        </w:rPr>
        <w:t xml:space="preserve"> </w:t>
      </w:r>
      <w:r>
        <w:t>the</w:t>
      </w:r>
      <w:r>
        <w:rPr>
          <w:spacing w:val="-6"/>
        </w:rPr>
        <w:t xml:space="preserve"> </w:t>
      </w:r>
      <w:r>
        <w:t>facts</w:t>
      </w:r>
      <w:r>
        <w:rPr>
          <w:spacing w:val="-5"/>
        </w:rPr>
        <w:t xml:space="preserve"> </w:t>
      </w:r>
      <w:r>
        <w:t>and</w:t>
      </w:r>
      <w:r>
        <w:rPr>
          <w:spacing w:val="-6"/>
        </w:rPr>
        <w:t xml:space="preserve"> </w:t>
      </w:r>
      <w:r>
        <w:t>the</w:t>
      </w:r>
      <w:r>
        <w:rPr>
          <w:spacing w:val="-6"/>
        </w:rPr>
        <w:t xml:space="preserve"> </w:t>
      </w:r>
      <w:r>
        <w:t>legal standards applicable to the charges against him.</w:t>
      </w:r>
    </w:p>
    <w:p w:rsidR="00C64337" w:rsidRDefault="00EA08E6">
      <w:pPr>
        <w:pStyle w:val="BodyText"/>
        <w:spacing w:before="161" w:line="360" w:lineRule="auto"/>
        <w:ind w:left="1015" w:right="22" w:firstLine="719"/>
        <w:jc w:val="both"/>
      </w:pPr>
      <w:r>
        <w:t>Regarding the charge of insubordination, the appellant submitted that the committee misdirected itself by treating his conduct as wilful defiance of a lawful instruction when the evidence</w:t>
      </w:r>
      <w:r>
        <w:rPr>
          <w:spacing w:val="-7"/>
        </w:rPr>
        <w:t xml:space="preserve"> </w:t>
      </w:r>
      <w:r>
        <w:t>did</w:t>
      </w:r>
      <w:r>
        <w:rPr>
          <w:spacing w:val="-6"/>
        </w:rPr>
        <w:t xml:space="preserve"> </w:t>
      </w:r>
      <w:r>
        <w:t>not</w:t>
      </w:r>
      <w:r>
        <w:rPr>
          <w:spacing w:val="-6"/>
        </w:rPr>
        <w:t xml:space="preserve"> </w:t>
      </w:r>
      <w:r>
        <w:t>show</w:t>
      </w:r>
      <w:r>
        <w:rPr>
          <w:spacing w:val="-7"/>
        </w:rPr>
        <w:t xml:space="preserve"> </w:t>
      </w:r>
      <w:r>
        <w:t>the</w:t>
      </w:r>
      <w:r>
        <w:rPr>
          <w:spacing w:val="-7"/>
        </w:rPr>
        <w:t xml:space="preserve"> </w:t>
      </w:r>
      <w:r>
        <w:t>required</w:t>
      </w:r>
      <w:r>
        <w:rPr>
          <w:spacing w:val="-6"/>
        </w:rPr>
        <w:t xml:space="preserve"> </w:t>
      </w:r>
      <w:r>
        <w:t>intention.</w:t>
      </w:r>
      <w:r>
        <w:rPr>
          <w:spacing w:val="-6"/>
        </w:rPr>
        <w:t xml:space="preserve"> </w:t>
      </w:r>
      <w:r>
        <w:t>He</w:t>
      </w:r>
      <w:r>
        <w:rPr>
          <w:spacing w:val="-7"/>
        </w:rPr>
        <w:t xml:space="preserve"> </w:t>
      </w:r>
      <w:r>
        <w:t>argued</w:t>
      </w:r>
      <w:r>
        <w:rPr>
          <w:spacing w:val="-6"/>
        </w:rPr>
        <w:t xml:space="preserve"> </w:t>
      </w:r>
      <w:r>
        <w:t>that,</w:t>
      </w:r>
      <w:r>
        <w:rPr>
          <w:spacing w:val="-6"/>
        </w:rPr>
        <w:t xml:space="preserve"> </w:t>
      </w:r>
      <w:r>
        <w:t>for</w:t>
      </w:r>
      <w:r>
        <w:rPr>
          <w:spacing w:val="-8"/>
        </w:rPr>
        <w:t xml:space="preserve"> </w:t>
      </w:r>
      <w:r>
        <w:t>insubordination</w:t>
      </w:r>
      <w:r>
        <w:rPr>
          <w:spacing w:val="-6"/>
        </w:rPr>
        <w:t xml:space="preserve"> </w:t>
      </w:r>
      <w:r>
        <w:t>to</w:t>
      </w:r>
      <w:r>
        <w:rPr>
          <w:spacing w:val="-6"/>
        </w:rPr>
        <w:t xml:space="preserve"> </w:t>
      </w:r>
      <w:r>
        <w:t>be</w:t>
      </w:r>
      <w:r>
        <w:rPr>
          <w:spacing w:val="-6"/>
        </w:rPr>
        <w:t xml:space="preserve"> </w:t>
      </w:r>
      <w:r>
        <w:rPr>
          <w:spacing w:val="-2"/>
        </w:rPr>
        <w:t>proved,</w:t>
      </w:r>
    </w:p>
    <w:p w:rsidR="00C64337" w:rsidRDefault="00C64337">
      <w:pPr>
        <w:pStyle w:val="BodyText"/>
        <w:spacing w:line="360" w:lineRule="auto"/>
        <w:jc w:val="both"/>
        <w:sectPr w:rsidR="00C64337">
          <w:pgSz w:w="11910" w:h="16840"/>
          <w:pgMar w:top="1240" w:right="1417" w:bottom="1200" w:left="425" w:header="751" w:footer="1000" w:gutter="0"/>
          <w:cols w:space="720"/>
        </w:sectPr>
      </w:pPr>
    </w:p>
    <w:p w:rsidR="00C64337" w:rsidRDefault="00EA08E6">
      <w:pPr>
        <w:pStyle w:val="BodyText"/>
        <w:spacing w:before="198" w:line="360" w:lineRule="auto"/>
        <w:ind w:left="1015" w:right="20"/>
        <w:jc w:val="both"/>
      </w:pPr>
      <w:r>
        <w:t xml:space="preserve">the employer must demonstrate a deliberate and conscious refusal to obey a lawful and reasonable instruction. To support this point, he relied on the case of </w:t>
      </w:r>
      <w:r>
        <w:rPr>
          <w:i/>
        </w:rPr>
        <w:t>Nation</w:t>
      </w:r>
      <w:r>
        <w:rPr>
          <w:i/>
        </w:rPr>
        <w:t xml:space="preserve">al Foods Ltd v Mutandi </w:t>
      </w:r>
      <w:r>
        <w:t>SC 17-02.</w:t>
      </w:r>
    </w:p>
    <w:p w:rsidR="00C64337" w:rsidRDefault="00EA08E6">
      <w:pPr>
        <w:pStyle w:val="BodyText"/>
        <w:spacing w:before="160" w:line="360" w:lineRule="auto"/>
        <w:ind w:left="1015" w:right="20" w:firstLine="719"/>
        <w:jc w:val="both"/>
      </w:pPr>
      <w:r>
        <w:t>He contended that the alleged alteration of the instruction was not motivated by defiance but arose from operational considerations linked to preparations for the Annual General Meeting. He therefore maintained that, at mos</w:t>
      </w:r>
      <w:r>
        <w:t>t, his conduct amounted to an error of judgment, which the law did not equate with insubordination.</w:t>
      </w:r>
    </w:p>
    <w:p w:rsidR="00C64337" w:rsidRDefault="00EA08E6">
      <w:pPr>
        <w:pStyle w:val="BodyText"/>
        <w:spacing w:before="161" w:line="360" w:lineRule="auto"/>
        <w:ind w:left="1015" w:right="21" w:firstLine="719"/>
        <w:jc w:val="both"/>
      </w:pPr>
      <w:r>
        <w:t>The appellant further argued that the alleged instruction was neither clear nor unambiguous, and that communication through a personal assistant did not mee</w:t>
      </w:r>
      <w:r>
        <w:t xml:space="preserve">t the standard articulated in </w:t>
      </w:r>
      <w:r>
        <w:rPr>
          <w:i/>
        </w:rPr>
        <w:t xml:space="preserve">Matereke v CT Bowring &amp; Associates (Pvt) Ltd </w:t>
      </w:r>
      <w:r>
        <w:t>1987 (1) ZLR 206 (S). He submitted that, in the absence of proof that the instruction to report to the Group Managing Director</w:t>
      </w:r>
      <w:r>
        <w:rPr>
          <w:spacing w:val="-15"/>
        </w:rPr>
        <w:t xml:space="preserve"> </w:t>
      </w:r>
      <w:r>
        <w:t>was</w:t>
      </w:r>
      <w:r>
        <w:rPr>
          <w:spacing w:val="-13"/>
        </w:rPr>
        <w:t xml:space="preserve"> </w:t>
      </w:r>
      <w:r>
        <w:t>adequately</w:t>
      </w:r>
      <w:r>
        <w:rPr>
          <w:spacing w:val="-11"/>
        </w:rPr>
        <w:t xml:space="preserve"> </w:t>
      </w:r>
      <w:r>
        <w:t>relayed,</w:t>
      </w:r>
      <w:r>
        <w:rPr>
          <w:spacing w:val="-11"/>
        </w:rPr>
        <w:t xml:space="preserve"> </w:t>
      </w:r>
      <w:r>
        <w:t>the</w:t>
      </w:r>
      <w:r>
        <w:rPr>
          <w:spacing w:val="-15"/>
        </w:rPr>
        <w:t xml:space="preserve"> </w:t>
      </w:r>
      <w:r>
        <w:t>Appeals</w:t>
      </w:r>
      <w:r>
        <w:rPr>
          <w:spacing w:val="-10"/>
        </w:rPr>
        <w:t xml:space="preserve"> </w:t>
      </w:r>
      <w:r>
        <w:t>Committee</w:t>
      </w:r>
      <w:r>
        <w:rPr>
          <w:spacing w:val="-12"/>
        </w:rPr>
        <w:t xml:space="preserve"> </w:t>
      </w:r>
      <w:r>
        <w:t>erred</w:t>
      </w:r>
      <w:r>
        <w:rPr>
          <w:spacing w:val="-11"/>
        </w:rPr>
        <w:t xml:space="preserve"> </w:t>
      </w:r>
      <w:r>
        <w:t>in</w:t>
      </w:r>
      <w:r>
        <w:rPr>
          <w:spacing w:val="-10"/>
        </w:rPr>
        <w:t xml:space="preserve"> </w:t>
      </w:r>
      <w:r>
        <w:t>upholding</w:t>
      </w:r>
      <w:r>
        <w:rPr>
          <w:spacing w:val="-13"/>
        </w:rPr>
        <w:t xml:space="preserve"> </w:t>
      </w:r>
      <w:r>
        <w:t>a</w:t>
      </w:r>
      <w:r>
        <w:rPr>
          <w:spacing w:val="-12"/>
        </w:rPr>
        <w:t xml:space="preserve"> </w:t>
      </w:r>
      <w:r>
        <w:t>finding</w:t>
      </w:r>
      <w:r>
        <w:rPr>
          <w:spacing w:val="-10"/>
        </w:rPr>
        <w:t xml:space="preserve"> </w:t>
      </w:r>
      <w:r>
        <w:t>based</w:t>
      </w:r>
      <w:r>
        <w:rPr>
          <w:spacing w:val="-11"/>
        </w:rPr>
        <w:t xml:space="preserve"> </w:t>
      </w:r>
      <w:r>
        <w:t>on unproven allegations.</w:t>
      </w:r>
    </w:p>
    <w:p w:rsidR="00C64337" w:rsidRDefault="00EA08E6">
      <w:pPr>
        <w:pStyle w:val="BodyText"/>
        <w:spacing w:before="159" w:line="360" w:lineRule="auto"/>
        <w:ind w:left="1015" w:right="20" w:firstLine="719"/>
        <w:jc w:val="both"/>
      </w:pPr>
      <w:r>
        <w:t>On</w:t>
      </w:r>
      <w:r>
        <w:rPr>
          <w:spacing w:val="-13"/>
        </w:rPr>
        <w:t xml:space="preserve"> </w:t>
      </w:r>
      <w:r>
        <w:t>the</w:t>
      </w:r>
      <w:r>
        <w:rPr>
          <w:spacing w:val="-13"/>
        </w:rPr>
        <w:t xml:space="preserve"> </w:t>
      </w:r>
      <w:r>
        <w:t>charge</w:t>
      </w:r>
      <w:r>
        <w:rPr>
          <w:spacing w:val="-13"/>
        </w:rPr>
        <w:t xml:space="preserve"> </w:t>
      </w:r>
      <w:r>
        <w:t>of</w:t>
      </w:r>
      <w:r>
        <w:rPr>
          <w:spacing w:val="-12"/>
        </w:rPr>
        <w:t xml:space="preserve"> </w:t>
      </w:r>
      <w:r>
        <w:t>gross</w:t>
      </w:r>
      <w:r>
        <w:rPr>
          <w:spacing w:val="-13"/>
        </w:rPr>
        <w:t xml:space="preserve"> </w:t>
      </w:r>
      <w:r>
        <w:t>incompetence</w:t>
      </w:r>
      <w:r>
        <w:rPr>
          <w:spacing w:val="-13"/>
        </w:rPr>
        <w:t xml:space="preserve"> </w:t>
      </w:r>
      <w:r>
        <w:t>and</w:t>
      </w:r>
      <w:r>
        <w:rPr>
          <w:spacing w:val="-11"/>
        </w:rPr>
        <w:t xml:space="preserve"> </w:t>
      </w:r>
      <w:r>
        <w:t>gross</w:t>
      </w:r>
      <w:r>
        <w:rPr>
          <w:spacing w:val="-13"/>
        </w:rPr>
        <w:t xml:space="preserve"> </w:t>
      </w:r>
      <w:r>
        <w:t>negligence,</w:t>
      </w:r>
      <w:r>
        <w:rPr>
          <w:spacing w:val="-13"/>
        </w:rPr>
        <w:t xml:space="preserve"> </w:t>
      </w:r>
      <w:r>
        <w:t>the</w:t>
      </w:r>
      <w:r>
        <w:rPr>
          <w:spacing w:val="-11"/>
        </w:rPr>
        <w:t xml:space="preserve"> </w:t>
      </w:r>
      <w:r>
        <w:t>appellant</w:t>
      </w:r>
      <w:r>
        <w:rPr>
          <w:spacing w:val="-13"/>
        </w:rPr>
        <w:t xml:space="preserve"> </w:t>
      </w:r>
      <w:r>
        <w:t>submitted</w:t>
      </w:r>
      <w:r>
        <w:rPr>
          <w:spacing w:val="-13"/>
        </w:rPr>
        <w:t xml:space="preserve"> </w:t>
      </w:r>
      <w:r>
        <w:t>that the</w:t>
      </w:r>
      <w:r>
        <w:rPr>
          <w:spacing w:val="-10"/>
        </w:rPr>
        <w:t xml:space="preserve"> </w:t>
      </w:r>
      <w:r>
        <w:t>Appeals Committee improperly extended his contractual obligations by attributing to him responsibilities</w:t>
      </w:r>
      <w:r>
        <w:rPr>
          <w:spacing w:val="-10"/>
        </w:rPr>
        <w:t xml:space="preserve"> </w:t>
      </w:r>
      <w:r>
        <w:t>that</w:t>
      </w:r>
      <w:r>
        <w:rPr>
          <w:spacing w:val="-9"/>
        </w:rPr>
        <w:t xml:space="preserve"> </w:t>
      </w:r>
      <w:r>
        <w:t>fell</w:t>
      </w:r>
      <w:r>
        <w:rPr>
          <w:spacing w:val="-9"/>
        </w:rPr>
        <w:t xml:space="preserve"> </w:t>
      </w:r>
      <w:r>
        <w:t>outside</w:t>
      </w:r>
      <w:r>
        <w:rPr>
          <w:spacing w:val="-10"/>
        </w:rPr>
        <w:t xml:space="preserve"> </w:t>
      </w:r>
      <w:r>
        <w:t>the</w:t>
      </w:r>
      <w:r>
        <w:rPr>
          <w:spacing w:val="-10"/>
        </w:rPr>
        <w:t xml:space="preserve"> </w:t>
      </w:r>
      <w:r>
        <w:t>scope</w:t>
      </w:r>
      <w:r>
        <w:rPr>
          <w:spacing w:val="-10"/>
        </w:rPr>
        <w:t xml:space="preserve"> </w:t>
      </w:r>
      <w:r>
        <w:t>of</w:t>
      </w:r>
      <w:r>
        <w:rPr>
          <w:spacing w:val="-10"/>
        </w:rPr>
        <w:t xml:space="preserve"> </w:t>
      </w:r>
      <w:r>
        <w:t>his</w:t>
      </w:r>
      <w:r>
        <w:rPr>
          <w:spacing w:val="-9"/>
        </w:rPr>
        <w:t xml:space="preserve"> </w:t>
      </w:r>
      <w:r>
        <w:t>job</w:t>
      </w:r>
      <w:r>
        <w:rPr>
          <w:spacing w:val="-9"/>
        </w:rPr>
        <w:t xml:space="preserve"> </w:t>
      </w:r>
      <w:r>
        <w:t>description</w:t>
      </w:r>
      <w:r>
        <w:rPr>
          <w:spacing w:val="-9"/>
        </w:rPr>
        <w:t xml:space="preserve"> </w:t>
      </w:r>
      <w:r>
        <w:t>as</w:t>
      </w:r>
      <w:r>
        <w:rPr>
          <w:spacing w:val="-9"/>
        </w:rPr>
        <w:t xml:space="preserve"> </w:t>
      </w:r>
      <w:r>
        <w:t>a</w:t>
      </w:r>
      <w:r>
        <w:rPr>
          <w:spacing w:val="-10"/>
        </w:rPr>
        <w:t xml:space="preserve"> </w:t>
      </w:r>
      <w:r>
        <w:t>Human</w:t>
      </w:r>
      <w:r>
        <w:rPr>
          <w:spacing w:val="-7"/>
        </w:rPr>
        <w:t xml:space="preserve"> </w:t>
      </w:r>
      <w:r>
        <w:t>Resources</w:t>
      </w:r>
      <w:r>
        <w:rPr>
          <w:spacing w:val="-9"/>
        </w:rPr>
        <w:t xml:space="preserve"> </w:t>
      </w:r>
      <w:r>
        <w:t>Officer. He</w:t>
      </w:r>
      <w:r>
        <w:rPr>
          <w:spacing w:val="-7"/>
        </w:rPr>
        <w:t xml:space="preserve"> </w:t>
      </w:r>
      <w:r>
        <w:t>contended</w:t>
      </w:r>
      <w:r>
        <w:rPr>
          <w:spacing w:val="-6"/>
        </w:rPr>
        <w:t xml:space="preserve"> </w:t>
      </w:r>
      <w:r>
        <w:t>that</w:t>
      </w:r>
      <w:r>
        <w:rPr>
          <w:spacing w:val="-6"/>
        </w:rPr>
        <w:t xml:space="preserve"> </w:t>
      </w:r>
      <w:r>
        <w:t>an</w:t>
      </w:r>
      <w:r>
        <w:rPr>
          <w:spacing w:val="-6"/>
        </w:rPr>
        <w:t xml:space="preserve"> </w:t>
      </w:r>
      <w:r>
        <w:t>employee</w:t>
      </w:r>
      <w:r>
        <w:rPr>
          <w:spacing w:val="-7"/>
        </w:rPr>
        <w:t xml:space="preserve"> </w:t>
      </w:r>
      <w:r>
        <w:t>could</w:t>
      </w:r>
      <w:r>
        <w:rPr>
          <w:spacing w:val="-5"/>
        </w:rPr>
        <w:t xml:space="preserve"> </w:t>
      </w:r>
      <w:r>
        <w:t>not</w:t>
      </w:r>
      <w:r>
        <w:rPr>
          <w:spacing w:val="-5"/>
        </w:rPr>
        <w:t xml:space="preserve"> </w:t>
      </w:r>
      <w:r>
        <w:t>be</w:t>
      </w:r>
      <w:r>
        <w:rPr>
          <w:spacing w:val="-7"/>
        </w:rPr>
        <w:t xml:space="preserve"> </w:t>
      </w:r>
      <w:r>
        <w:t>disciplined</w:t>
      </w:r>
      <w:r>
        <w:rPr>
          <w:spacing w:val="-6"/>
        </w:rPr>
        <w:t xml:space="preserve"> </w:t>
      </w:r>
      <w:r>
        <w:t>for</w:t>
      </w:r>
      <w:r>
        <w:rPr>
          <w:spacing w:val="-7"/>
        </w:rPr>
        <w:t xml:space="preserve"> </w:t>
      </w:r>
      <w:r>
        <w:t>failing</w:t>
      </w:r>
      <w:r>
        <w:rPr>
          <w:spacing w:val="-5"/>
        </w:rPr>
        <w:t xml:space="preserve"> </w:t>
      </w:r>
      <w:r>
        <w:t>to</w:t>
      </w:r>
      <w:r>
        <w:rPr>
          <w:spacing w:val="-5"/>
        </w:rPr>
        <w:t xml:space="preserve"> </w:t>
      </w:r>
      <w:r>
        <w:t>perform</w:t>
      </w:r>
      <w:r>
        <w:rPr>
          <w:spacing w:val="-6"/>
        </w:rPr>
        <w:t xml:space="preserve"> </w:t>
      </w:r>
      <w:r>
        <w:t>duties</w:t>
      </w:r>
      <w:r>
        <w:rPr>
          <w:spacing w:val="-6"/>
        </w:rPr>
        <w:t xml:space="preserve"> </w:t>
      </w:r>
      <w:r>
        <w:t>that</w:t>
      </w:r>
      <w:r>
        <w:rPr>
          <w:spacing w:val="-6"/>
        </w:rPr>
        <w:t xml:space="preserve"> </w:t>
      </w:r>
      <w:r>
        <w:t xml:space="preserve">were not properly part of the nature of his employment. He argued that cleaning functions </w:t>
      </w:r>
      <w:r>
        <w:t>were contractually</w:t>
      </w:r>
      <w:r>
        <w:rPr>
          <w:spacing w:val="-13"/>
        </w:rPr>
        <w:t xml:space="preserve"> </w:t>
      </w:r>
      <w:r>
        <w:t>assigned</w:t>
      </w:r>
      <w:r>
        <w:rPr>
          <w:spacing w:val="-13"/>
        </w:rPr>
        <w:t xml:space="preserve"> </w:t>
      </w:r>
      <w:r>
        <w:t>to</w:t>
      </w:r>
      <w:r>
        <w:rPr>
          <w:spacing w:val="-13"/>
        </w:rPr>
        <w:t xml:space="preserve"> </w:t>
      </w:r>
      <w:r>
        <w:t>other</w:t>
      </w:r>
      <w:r>
        <w:rPr>
          <w:spacing w:val="-14"/>
        </w:rPr>
        <w:t xml:space="preserve"> </w:t>
      </w:r>
      <w:r>
        <w:t>personnel,</w:t>
      </w:r>
      <w:r>
        <w:rPr>
          <w:spacing w:val="-13"/>
        </w:rPr>
        <w:t xml:space="preserve"> </w:t>
      </w:r>
      <w:r>
        <w:t>and</w:t>
      </w:r>
      <w:r>
        <w:rPr>
          <w:spacing w:val="-13"/>
        </w:rPr>
        <w:t xml:space="preserve"> </w:t>
      </w:r>
      <w:r>
        <w:t>that</w:t>
      </w:r>
      <w:r>
        <w:rPr>
          <w:spacing w:val="-13"/>
        </w:rPr>
        <w:t xml:space="preserve"> </w:t>
      </w:r>
      <w:r>
        <w:t>the</w:t>
      </w:r>
      <w:r>
        <w:rPr>
          <w:spacing w:val="-14"/>
        </w:rPr>
        <w:t xml:space="preserve"> </w:t>
      </w:r>
      <w:r>
        <w:t>committee</w:t>
      </w:r>
      <w:r>
        <w:rPr>
          <w:spacing w:val="-14"/>
        </w:rPr>
        <w:t xml:space="preserve"> </w:t>
      </w:r>
      <w:r>
        <w:t>erred</w:t>
      </w:r>
      <w:r>
        <w:rPr>
          <w:spacing w:val="-13"/>
        </w:rPr>
        <w:t xml:space="preserve"> </w:t>
      </w:r>
      <w:r>
        <w:t>in</w:t>
      </w:r>
      <w:r>
        <w:rPr>
          <w:spacing w:val="-13"/>
        </w:rPr>
        <w:t xml:space="preserve"> </w:t>
      </w:r>
      <w:r>
        <w:t>imputing</w:t>
      </w:r>
      <w:r>
        <w:rPr>
          <w:spacing w:val="-13"/>
        </w:rPr>
        <w:t xml:space="preserve"> </w:t>
      </w:r>
      <w:r>
        <w:t>supervisory responsibility to him without reference to the terms of his employment.</w:t>
      </w:r>
    </w:p>
    <w:p w:rsidR="00C64337" w:rsidRDefault="00EA08E6">
      <w:pPr>
        <w:pStyle w:val="BodyText"/>
        <w:spacing w:before="161" w:line="360" w:lineRule="auto"/>
        <w:ind w:left="1015" w:right="24" w:firstLine="719"/>
        <w:jc w:val="both"/>
      </w:pPr>
      <w:r>
        <w:t xml:space="preserve">The appellant also contended that the committee misapplied the legal test governing incompetence. He relied on </w:t>
      </w:r>
      <w:r>
        <w:rPr>
          <w:i/>
        </w:rPr>
        <w:t xml:space="preserve">Kwangwari v CBZ </w:t>
      </w:r>
      <w:r>
        <w:t>2003 (1) ZLR 551 (H) for the principle that, before an employee could be dismissed for incompetence, the employer must:</w:t>
      </w:r>
    </w:p>
    <w:p w:rsidR="00C64337" w:rsidRDefault="00EA08E6">
      <w:pPr>
        <w:pStyle w:val="ListParagraph"/>
        <w:numPr>
          <w:ilvl w:val="0"/>
          <w:numId w:val="2"/>
        </w:numPr>
        <w:tabs>
          <w:tab w:val="left" w:pos="1399"/>
        </w:tabs>
        <w:spacing w:before="159"/>
        <w:ind w:left="1399" w:hanging="324"/>
        <w:jc w:val="both"/>
        <w:rPr>
          <w:sz w:val="24"/>
        </w:rPr>
      </w:pPr>
      <w:r>
        <w:rPr>
          <w:sz w:val="24"/>
        </w:rPr>
        <w:t>communica</w:t>
      </w:r>
      <w:r>
        <w:rPr>
          <w:sz w:val="24"/>
        </w:rPr>
        <w:t>te</w:t>
      </w:r>
      <w:r>
        <w:rPr>
          <w:spacing w:val="-1"/>
          <w:sz w:val="24"/>
        </w:rPr>
        <w:t xml:space="preserve"> </w:t>
      </w:r>
      <w:r>
        <w:rPr>
          <w:sz w:val="24"/>
        </w:rPr>
        <w:t>the</w:t>
      </w:r>
      <w:r>
        <w:rPr>
          <w:spacing w:val="-2"/>
          <w:sz w:val="24"/>
        </w:rPr>
        <w:t xml:space="preserve"> </w:t>
      </w:r>
      <w:r>
        <w:rPr>
          <w:sz w:val="24"/>
        </w:rPr>
        <w:t>expected</w:t>
      </w:r>
      <w:r>
        <w:rPr>
          <w:spacing w:val="-1"/>
          <w:sz w:val="24"/>
        </w:rPr>
        <w:t xml:space="preserve"> </w:t>
      </w:r>
      <w:r>
        <w:rPr>
          <w:spacing w:val="-2"/>
          <w:sz w:val="24"/>
        </w:rPr>
        <w:t>standard,</w:t>
      </w:r>
    </w:p>
    <w:p w:rsidR="00C64337" w:rsidRDefault="00C64337">
      <w:pPr>
        <w:pStyle w:val="BodyText"/>
        <w:spacing w:before="25"/>
      </w:pPr>
    </w:p>
    <w:p w:rsidR="00C64337" w:rsidRDefault="00EA08E6">
      <w:pPr>
        <w:pStyle w:val="ListParagraph"/>
        <w:numPr>
          <w:ilvl w:val="0"/>
          <w:numId w:val="2"/>
        </w:numPr>
        <w:tabs>
          <w:tab w:val="left" w:pos="1412"/>
        </w:tabs>
        <w:ind w:left="1412" w:hanging="337"/>
        <w:jc w:val="both"/>
        <w:rPr>
          <w:sz w:val="24"/>
        </w:rPr>
      </w:pPr>
      <w:r>
        <w:rPr>
          <w:sz w:val="24"/>
        </w:rPr>
        <w:t>provide</w:t>
      </w:r>
      <w:r>
        <w:rPr>
          <w:spacing w:val="-5"/>
          <w:sz w:val="24"/>
        </w:rPr>
        <w:t xml:space="preserve"> </w:t>
      </w:r>
      <w:r>
        <w:rPr>
          <w:sz w:val="24"/>
        </w:rPr>
        <w:t>training</w:t>
      </w:r>
      <w:r>
        <w:rPr>
          <w:spacing w:val="-5"/>
          <w:sz w:val="24"/>
        </w:rPr>
        <w:t xml:space="preserve"> </w:t>
      </w:r>
      <w:r>
        <w:rPr>
          <w:sz w:val="24"/>
        </w:rPr>
        <w:t>where</w:t>
      </w:r>
      <w:r>
        <w:rPr>
          <w:spacing w:val="-7"/>
          <w:sz w:val="24"/>
        </w:rPr>
        <w:t xml:space="preserve"> </w:t>
      </w:r>
      <w:r>
        <w:rPr>
          <w:sz w:val="24"/>
        </w:rPr>
        <w:t>necessary,</w:t>
      </w:r>
      <w:r>
        <w:rPr>
          <w:spacing w:val="-4"/>
          <w:sz w:val="24"/>
        </w:rPr>
        <w:t xml:space="preserve"> </w:t>
      </w:r>
      <w:r>
        <w:rPr>
          <w:spacing w:val="-5"/>
          <w:sz w:val="24"/>
        </w:rPr>
        <w:t>and</w:t>
      </w:r>
    </w:p>
    <w:p w:rsidR="00C64337" w:rsidRDefault="00C64337">
      <w:pPr>
        <w:pStyle w:val="BodyText"/>
        <w:spacing w:before="21"/>
      </w:pPr>
    </w:p>
    <w:p w:rsidR="00C64337" w:rsidRDefault="00EA08E6">
      <w:pPr>
        <w:pStyle w:val="ListParagraph"/>
        <w:numPr>
          <w:ilvl w:val="0"/>
          <w:numId w:val="2"/>
        </w:numPr>
        <w:tabs>
          <w:tab w:val="left" w:pos="1399"/>
        </w:tabs>
        <w:spacing w:before="1"/>
        <w:ind w:left="1399" w:hanging="324"/>
        <w:jc w:val="both"/>
        <w:rPr>
          <w:sz w:val="24"/>
        </w:rPr>
      </w:pPr>
      <w:r>
        <w:rPr>
          <w:sz w:val="24"/>
        </w:rPr>
        <w:t>afford</w:t>
      </w:r>
      <w:r>
        <w:rPr>
          <w:spacing w:val="-1"/>
          <w:sz w:val="24"/>
        </w:rPr>
        <w:t xml:space="preserve"> </w:t>
      </w:r>
      <w:r>
        <w:rPr>
          <w:sz w:val="24"/>
        </w:rPr>
        <w:t>an</w:t>
      </w:r>
      <w:r>
        <w:rPr>
          <w:spacing w:val="-2"/>
          <w:sz w:val="24"/>
        </w:rPr>
        <w:t xml:space="preserve"> </w:t>
      </w:r>
      <w:r>
        <w:rPr>
          <w:sz w:val="24"/>
        </w:rPr>
        <w:t>opportunity</w:t>
      </w:r>
      <w:r>
        <w:rPr>
          <w:spacing w:val="-1"/>
          <w:sz w:val="24"/>
        </w:rPr>
        <w:t xml:space="preserve"> </w:t>
      </w:r>
      <w:r>
        <w:rPr>
          <w:sz w:val="24"/>
        </w:rPr>
        <w:t>to</w:t>
      </w:r>
      <w:r>
        <w:rPr>
          <w:spacing w:val="-2"/>
          <w:sz w:val="24"/>
        </w:rPr>
        <w:t xml:space="preserve"> improve.</w:t>
      </w:r>
    </w:p>
    <w:p w:rsidR="00C64337" w:rsidRDefault="00C64337">
      <w:pPr>
        <w:pStyle w:val="BodyText"/>
        <w:spacing w:before="21"/>
      </w:pPr>
    </w:p>
    <w:p w:rsidR="00C64337" w:rsidRDefault="00EA08E6">
      <w:pPr>
        <w:pStyle w:val="BodyText"/>
        <w:spacing w:line="360" w:lineRule="auto"/>
        <w:ind w:left="1015" w:right="19" w:firstLine="719"/>
        <w:jc w:val="both"/>
      </w:pPr>
      <w:r>
        <w:t>He submits that none of these requirements were met. He maintains that the issues of water shortages, old infrastructure, inadequate chemicals, and staff s</w:t>
      </w:r>
      <w:r>
        <w:t>hortages were structural challenges beyond his control, and that the committee erred in treating his explanations as admissions</w:t>
      </w:r>
      <w:r>
        <w:rPr>
          <w:spacing w:val="63"/>
        </w:rPr>
        <w:t xml:space="preserve"> </w:t>
      </w:r>
      <w:r>
        <w:t>of</w:t>
      </w:r>
      <w:r>
        <w:rPr>
          <w:spacing w:val="64"/>
        </w:rPr>
        <w:t xml:space="preserve"> </w:t>
      </w:r>
      <w:r>
        <w:t>guilt.</w:t>
      </w:r>
      <w:r>
        <w:rPr>
          <w:spacing w:val="58"/>
        </w:rPr>
        <w:t xml:space="preserve"> </w:t>
      </w:r>
      <w:r>
        <w:t>The</w:t>
      </w:r>
      <w:r>
        <w:rPr>
          <w:spacing w:val="64"/>
        </w:rPr>
        <w:t xml:space="preserve"> </w:t>
      </w:r>
      <w:r>
        <w:t>appellant</w:t>
      </w:r>
      <w:r>
        <w:rPr>
          <w:spacing w:val="65"/>
        </w:rPr>
        <w:t xml:space="preserve"> </w:t>
      </w:r>
      <w:r>
        <w:t>further</w:t>
      </w:r>
      <w:r>
        <w:rPr>
          <w:spacing w:val="66"/>
        </w:rPr>
        <w:t xml:space="preserve"> </w:t>
      </w:r>
      <w:r>
        <w:t>argues</w:t>
      </w:r>
      <w:r>
        <w:rPr>
          <w:spacing w:val="66"/>
        </w:rPr>
        <w:t xml:space="preserve"> </w:t>
      </w:r>
      <w:r>
        <w:t>that</w:t>
      </w:r>
      <w:r>
        <w:rPr>
          <w:spacing w:val="68"/>
        </w:rPr>
        <w:t xml:space="preserve"> </w:t>
      </w:r>
      <w:r>
        <w:t>the</w:t>
      </w:r>
      <w:r>
        <w:rPr>
          <w:spacing w:val="42"/>
        </w:rPr>
        <w:t xml:space="preserve"> </w:t>
      </w:r>
      <w:r>
        <w:t>Appeals</w:t>
      </w:r>
      <w:r>
        <w:rPr>
          <w:spacing w:val="65"/>
        </w:rPr>
        <w:t xml:space="preserve"> </w:t>
      </w:r>
      <w:r>
        <w:t>Committee</w:t>
      </w:r>
      <w:r>
        <w:rPr>
          <w:spacing w:val="63"/>
        </w:rPr>
        <w:t xml:space="preserve"> </w:t>
      </w:r>
      <w:r>
        <w:t>failed</w:t>
      </w:r>
      <w:r>
        <w:rPr>
          <w:spacing w:val="65"/>
        </w:rPr>
        <w:t xml:space="preserve"> </w:t>
      </w:r>
      <w:r>
        <w:rPr>
          <w:spacing w:val="-5"/>
        </w:rPr>
        <w:t>to</w:t>
      </w:r>
    </w:p>
    <w:p w:rsidR="00C64337" w:rsidRDefault="00C64337">
      <w:pPr>
        <w:pStyle w:val="BodyText"/>
        <w:spacing w:line="360" w:lineRule="auto"/>
        <w:jc w:val="both"/>
        <w:sectPr w:rsidR="00C64337">
          <w:pgSz w:w="11910" w:h="16840"/>
          <w:pgMar w:top="1240" w:right="1417" w:bottom="1200" w:left="425" w:header="751" w:footer="1000" w:gutter="0"/>
          <w:cols w:space="720"/>
        </w:sectPr>
      </w:pPr>
    </w:p>
    <w:p w:rsidR="00C64337" w:rsidRDefault="00EA08E6">
      <w:pPr>
        <w:pStyle w:val="BodyText"/>
        <w:spacing w:before="198" w:line="360" w:lineRule="auto"/>
        <w:ind w:left="1015" w:right="24"/>
        <w:jc w:val="both"/>
      </w:pPr>
      <w:r>
        <w:t>appreciate that he had never received training or performance appraisals relating to cleaning standards,</w:t>
      </w:r>
      <w:r>
        <w:rPr>
          <w:spacing w:val="-3"/>
        </w:rPr>
        <w:t xml:space="preserve"> </w:t>
      </w:r>
      <w:r>
        <w:t>and</w:t>
      </w:r>
      <w:r>
        <w:rPr>
          <w:spacing w:val="-6"/>
        </w:rPr>
        <w:t xml:space="preserve"> </w:t>
      </w:r>
      <w:r>
        <w:t>that</w:t>
      </w:r>
      <w:r>
        <w:rPr>
          <w:spacing w:val="-6"/>
        </w:rPr>
        <w:t xml:space="preserve"> </w:t>
      </w:r>
      <w:r>
        <w:t>no</w:t>
      </w:r>
      <w:r>
        <w:rPr>
          <w:spacing w:val="-4"/>
        </w:rPr>
        <w:t xml:space="preserve"> </w:t>
      </w:r>
      <w:r>
        <w:t>intervention</w:t>
      </w:r>
      <w:r>
        <w:rPr>
          <w:spacing w:val="-6"/>
        </w:rPr>
        <w:t xml:space="preserve"> </w:t>
      </w:r>
      <w:r>
        <w:t>measures</w:t>
      </w:r>
      <w:r>
        <w:rPr>
          <w:spacing w:val="-4"/>
        </w:rPr>
        <w:t xml:space="preserve"> </w:t>
      </w:r>
      <w:r>
        <w:t>were</w:t>
      </w:r>
      <w:r>
        <w:rPr>
          <w:spacing w:val="-4"/>
        </w:rPr>
        <w:t xml:space="preserve"> </w:t>
      </w:r>
      <w:r>
        <w:t>ever</w:t>
      </w:r>
      <w:r>
        <w:rPr>
          <w:spacing w:val="-7"/>
        </w:rPr>
        <w:t xml:space="preserve"> </w:t>
      </w:r>
      <w:r>
        <w:t>implemented</w:t>
      </w:r>
      <w:r>
        <w:rPr>
          <w:spacing w:val="-6"/>
        </w:rPr>
        <w:t xml:space="preserve"> </w:t>
      </w:r>
      <w:r>
        <w:t>to</w:t>
      </w:r>
      <w:r>
        <w:rPr>
          <w:spacing w:val="-3"/>
        </w:rPr>
        <w:t xml:space="preserve"> </w:t>
      </w:r>
      <w:r>
        <w:t>assist</w:t>
      </w:r>
      <w:r>
        <w:rPr>
          <w:spacing w:val="-5"/>
        </w:rPr>
        <w:t xml:space="preserve"> </w:t>
      </w:r>
      <w:r>
        <w:t>him.</w:t>
      </w:r>
      <w:r>
        <w:rPr>
          <w:spacing w:val="-6"/>
        </w:rPr>
        <w:t xml:space="preserve"> </w:t>
      </w:r>
      <w:r>
        <w:t>He</w:t>
      </w:r>
      <w:r>
        <w:rPr>
          <w:spacing w:val="-7"/>
        </w:rPr>
        <w:t xml:space="preserve"> </w:t>
      </w:r>
      <w:r>
        <w:t>submits that the law requires employers to address performance deficiencies p</w:t>
      </w:r>
      <w:r>
        <w:t>rogressively before resorting to dismissal, and that this was not done in his case.</w:t>
      </w:r>
    </w:p>
    <w:p w:rsidR="00C64337" w:rsidRDefault="00EA08E6">
      <w:pPr>
        <w:pStyle w:val="BodyText"/>
        <w:spacing w:before="161" w:line="360" w:lineRule="auto"/>
        <w:ind w:left="1015" w:right="19" w:firstLine="719"/>
        <w:jc w:val="both"/>
      </w:pPr>
      <w:r>
        <w:t>Lastly, the appellant contended that the disciplinary process itself was procedurally irregular. He argues that there is nothing on the record indicating that the Disciplinary Committee deliberated on either the verdict or the sentence, and that the</w:t>
      </w:r>
      <w:r>
        <w:rPr>
          <w:spacing w:val="-5"/>
        </w:rPr>
        <w:t xml:space="preserve"> </w:t>
      </w:r>
      <w:r>
        <w:t>Appeal</w:t>
      </w:r>
      <w:r>
        <w:t>s Committee erred in</w:t>
      </w:r>
      <w:r>
        <w:rPr>
          <w:spacing w:val="-2"/>
        </w:rPr>
        <w:t xml:space="preserve"> </w:t>
      </w:r>
      <w:r>
        <w:t>dismissing</w:t>
      </w:r>
      <w:r>
        <w:rPr>
          <w:spacing w:val="-2"/>
        </w:rPr>
        <w:t xml:space="preserve"> </w:t>
      </w:r>
      <w:r>
        <w:t>this</w:t>
      </w:r>
      <w:r>
        <w:rPr>
          <w:spacing w:val="-2"/>
        </w:rPr>
        <w:t xml:space="preserve"> </w:t>
      </w:r>
      <w:r>
        <w:t>irregularity as</w:t>
      </w:r>
      <w:r>
        <w:rPr>
          <w:spacing w:val="-2"/>
        </w:rPr>
        <w:t xml:space="preserve"> </w:t>
      </w:r>
      <w:r>
        <w:t>inconsequential.</w:t>
      </w:r>
      <w:r>
        <w:rPr>
          <w:spacing w:val="-2"/>
        </w:rPr>
        <w:t xml:space="preserve"> </w:t>
      </w:r>
      <w:r>
        <w:t>He</w:t>
      </w:r>
      <w:r>
        <w:rPr>
          <w:spacing w:val="-4"/>
        </w:rPr>
        <w:t xml:space="preserve"> </w:t>
      </w:r>
      <w:r>
        <w:t>relies</w:t>
      </w:r>
      <w:r>
        <w:rPr>
          <w:spacing w:val="-2"/>
        </w:rPr>
        <w:t xml:space="preserve"> </w:t>
      </w:r>
      <w:r>
        <w:t xml:space="preserve">on </w:t>
      </w:r>
      <w:r>
        <w:rPr>
          <w:i/>
        </w:rPr>
        <w:t>Tuso</w:t>
      </w:r>
      <w:r>
        <w:rPr>
          <w:i/>
          <w:spacing w:val="-2"/>
        </w:rPr>
        <w:t xml:space="preserve"> </w:t>
      </w:r>
      <w:r>
        <w:rPr>
          <w:i/>
        </w:rPr>
        <w:t>v</w:t>
      </w:r>
      <w:r>
        <w:rPr>
          <w:i/>
          <w:spacing w:val="-1"/>
        </w:rPr>
        <w:t xml:space="preserve"> </w:t>
      </w:r>
      <w:r>
        <w:rPr>
          <w:i/>
        </w:rPr>
        <w:t>City</w:t>
      </w:r>
      <w:r>
        <w:rPr>
          <w:i/>
          <w:spacing w:val="-3"/>
        </w:rPr>
        <w:t xml:space="preserve"> </w:t>
      </w:r>
      <w:r>
        <w:rPr>
          <w:i/>
        </w:rPr>
        <w:t>of</w:t>
      </w:r>
      <w:r>
        <w:rPr>
          <w:i/>
          <w:spacing w:val="-2"/>
        </w:rPr>
        <w:t xml:space="preserve"> </w:t>
      </w:r>
      <w:r>
        <w:rPr>
          <w:i/>
        </w:rPr>
        <w:t xml:space="preserve">Harare </w:t>
      </w:r>
      <w:r>
        <w:t>SC 26-10 for the principle that procedural irregularities which affect fairness must be addressed substantively.</w:t>
      </w:r>
      <w:r>
        <w:rPr>
          <w:spacing w:val="-14"/>
        </w:rPr>
        <w:t xml:space="preserve"> </w:t>
      </w:r>
      <w:r>
        <w:t>He</w:t>
      </w:r>
      <w:r>
        <w:rPr>
          <w:spacing w:val="-15"/>
        </w:rPr>
        <w:t xml:space="preserve"> </w:t>
      </w:r>
      <w:r>
        <w:t>argued</w:t>
      </w:r>
      <w:r>
        <w:rPr>
          <w:spacing w:val="-11"/>
        </w:rPr>
        <w:t xml:space="preserve"> </w:t>
      </w:r>
      <w:r>
        <w:t>that</w:t>
      </w:r>
      <w:r>
        <w:rPr>
          <w:spacing w:val="-14"/>
        </w:rPr>
        <w:t xml:space="preserve"> </w:t>
      </w:r>
      <w:r>
        <w:t>the</w:t>
      </w:r>
      <w:r>
        <w:rPr>
          <w:spacing w:val="-15"/>
        </w:rPr>
        <w:t xml:space="preserve"> </w:t>
      </w:r>
      <w:r>
        <w:t>silence</w:t>
      </w:r>
      <w:r>
        <w:rPr>
          <w:spacing w:val="-15"/>
        </w:rPr>
        <w:t xml:space="preserve"> </w:t>
      </w:r>
      <w:r>
        <w:t>of</w:t>
      </w:r>
      <w:r>
        <w:rPr>
          <w:spacing w:val="-15"/>
        </w:rPr>
        <w:t xml:space="preserve"> </w:t>
      </w:r>
      <w:r>
        <w:t>the</w:t>
      </w:r>
      <w:r>
        <w:rPr>
          <w:spacing w:val="-12"/>
        </w:rPr>
        <w:t xml:space="preserve"> </w:t>
      </w:r>
      <w:r>
        <w:t>record</w:t>
      </w:r>
      <w:r>
        <w:rPr>
          <w:spacing w:val="-15"/>
        </w:rPr>
        <w:t xml:space="preserve"> </w:t>
      </w:r>
      <w:r>
        <w:t>on</w:t>
      </w:r>
      <w:r>
        <w:rPr>
          <w:spacing w:val="-14"/>
        </w:rPr>
        <w:t xml:space="preserve"> </w:t>
      </w:r>
      <w:r>
        <w:t>deliberations</w:t>
      </w:r>
      <w:r>
        <w:rPr>
          <w:spacing w:val="-14"/>
        </w:rPr>
        <w:t xml:space="preserve"> </w:t>
      </w:r>
      <w:r>
        <w:t>undermines</w:t>
      </w:r>
      <w:r>
        <w:rPr>
          <w:spacing w:val="-14"/>
        </w:rPr>
        <w:t xml:space="preserve"> </w:t>
      </w:r>
      <w:r>
        <w:t>the</w:t>
      </w:r>
      <w:r>
        <w:rPr>
          <w:spacing w:val="-15"/>
        </w:rPr>
        <w:t xml:space="preserve"> </w:t>
      </w:r>
      <w:r>
        <w:t>integrity of the proceedings and renders the findings unsafe.</w:t>
      </w:r>
    </w:p>
    <w:p w:rsidR="00C64337" w:rsidRDefault="00EA08E6">
      <w:pPr>
        <w:pStyle w:val="BodyText"/>
        <w:spacing w:before="161" w:line="360" w:lineRule="auto"/>
        <w:ind w:left="1015" w:right="21" w:firstLine="719"/>
        <w:jc w:val="both"/>
      </w:pPr>
      <w:r>
        <w:t>For</w:t>
      </w:r>
      <w:r>
        <w:rPr>
          <w:spacing w:val="-6"/>
        </w:rPr>
        <w:t xml:space="preserve"> </w:t>
      </w:r>
      <w:r>
        <w:t>these</w:t>
      </w:r>
      <w:r>
        <w:rPr>
          <w:spacing w:val="-6"/>
        </w:rPr>
        <w:t xml:space="preserve"> </w:t>
      </w:r>
      <w:r>
        <w:t>reasons,</w:t>
      </w:r>
      <w:r>
        <w:rPr>
          <w:spacing w:val="-4"/>
        </w:rPr>
        <w:t xml:space="preserve"> </w:t>
      </w:r>
      <w:r>
        <w:t>the</w:t>
      </w:r>
      <w:r>
        <w:rPr>
          <w:spacing w:val="-4"/>
        </w:rPr>
        <w:t xml:space="preserve"> </w:t>
      </w:r>
      <w:r>
        <w:t>appellant</w:t>
      </w:r>
      <w:r>
        <w:rPr>
          <w:spacing w:val="-4"/>
        </w:rPr>
        <w:t xml:space="preserve"> </w:t>
      </w:r>
      <w:r>
        <w:t>prayed</w:t>
      </w:r>
      <w:r>
        <w:rPr>
          <w:spacing w:val="-2"/>
        </w:rPr>
        <w:t xml:space="preserve"> </w:t>
      </w:r>
      <w:r>
        <w:t>that</w:t>
      </w:r>
      <w:r>
        <w:rPr>
          <w:spacing w:val="-5"/>
        </w:rPr>
        <w:t xml:space="preserve"> </w:t>
      </w:r>
      <w:r>
        <w:t>the</w:t>
      </w:r>
      <w:r>
        <w:rPr>
          <w:spacing w:val="-2"/>
        </w:rPr>
        <w:t xml:space="preserve"> </w:t>
      </w:r>
      <w:r>
        <w:t>appeal</w:t>
      </w:r>
      <w:r>
        <w:rPr>
          <w:spacing w:val="-4"/>
        </w:rPr>
        <w:t xml:space="preserve"> </w:t>
      </w:r>
      <w:r>
        <w:t>be</w:t>
      </w:r>
      <w:r>
        <w:rPr>
          <w:spacing w:val="-6"/>
        </w:rPr>
        <w:t xml:space="preserve"> </w:t>
      </w:r>
      <w:r>
        <w:t>upheld,</w:t>
      </w:r>
      <w:r>
        <w:rPr>
          <w:spacing w:val="-4"/>
        </w:rPr>
        <w:t xml:space="preserve"> </w:t>
      </w:r>
      <w:r>
        <w:t>the</w:t>
      </w:r>
      <w:r>
        <w:rPr>
          <w:spacing w:val="-2"/>
        </w:rPr>
        <w:t xml:space="preserve"> </w:t>
      </w:r>
      <w:r>
        <w:t>findings</w:t>
      </w:r>
      <w:r>
        <w:rPr>
          <w:spacing w:val="-5"/>
        </w:rPr>
        <w:t xml:space="preserve"> </w:t>
      </w:r>
      <w:r>
        <w:t>of</w:t>
      </w:r>
      <w:r>
        <w:rPr>
          <w:spacing w:val="-6"/>
        </w:rPr>
        <w:t xml:space="preserve"> </w:t>
      </w:r>
      <w:r>
        <w:t>guilty be set aside, and the dismissal be declared unlawful.</w:t>
      </w:r>
    </w:p>
    <w:p w:rsidR="00C64337" w:rsidRDefault="00EA08E6">
      <w:pPr>
        <w:spacing w:before="158"/>
        <w:ind w:left="1015"/>
        <w:jc w:val="both"/>
        <w:rPr>
          <w:b/>
          <w:sz w:val="24"/>
        </w:rPr>
      </w:pPr>
      <w:r>
        <w:rPr>
          <w:b/>
          <w:sz w:val="24"/>
        </w:rPr>
        <w:t>THE</w:t>
      </w:r>
      <w:r>
        <w:rPr>
          <w:b/>
          <w:spacing w:val="-4"/>
          <w:sz w:val="24"/>
        </w:rPr>
        <w:t xml:space="preserve"> </w:t>
      </w:r>
      <w:r>
        <w:rPr>
          <w:b/>
          <w:sz w:val="24"/>
        </w:rPr>
        <w:t>RESPOND</w:t>
      </w:r>
      <w:r>
        <w:rPr>
          <w:b/>
          <w:sz w:val="24"/>
        </w:rPr>
        <w:t>ENT’S</w:t>
      </w:r>
      <w:r>
        <w:rPr>
          <w:b/>
          <w:spacing w:val="-6"/>
          <w:sz w:val="24"/>
        </w:rPr>
        <w:t xml:space="preserve"> </w:t>
      </w:r>
      <w:r>
        <w:rPr>
          <w:b/>
          <w:spacing w:val="-2"/>
          <w:sz w:val="24"/>
        </w:rPr>
        <w:t>SUBMISSIONS</w:t>
      </w:r>
    </w:p>
    <w:p w:rsidR="00C64337" w:rsidRDefault="00C64337">
      <w:pPr>
        <w:pStyle w:val="BodyText"/>
        <w:spacing w:before="22"/>
        <w:rPr>
          <w:b/>
        </w:rPr>
      </w:pPr>
    </w:p>
    <w:p w:rsidR="00C64337" w:rsidRDefault="00EA08E6">
      <w:pPr>
        <w:pStyle w:val="BodyText"/>
        <w:spacing w:line="360" w:lineRule="auto"/>
        <w:ind w:left="1015" w:right="24" w:firstLine="719"/>
        <w:jc w:val="both"/>
      </w:pPr>
      <w:r>
        <w:t>The</w:t>
      </w:r>
      <w:r>
        <w:rPr>
          <w:spacing w:val="-2"/>
        </w:rPr>
        <w:t xml:space="preserve"> </w:t>
      </w:r>
      <w:r>
        <w:t>respondent</w:t>
      </w:r>
      <w:r>
        <w:rPr>
          <w:spacing w:val="-1"/>
        </w:rPr>
        <w:t xml:space="preserve"> </w:t>
      </w:r>
      <w:r>
        <w:t>submitted</w:t>
      </w:r>
      <w:r>
        <w:rPr>
          <w:spacing w:val="-2"/>
        </w:rPr>
        <w:t xml:space="preserve"> </w:t>
      </w:r>
      <w:r>
        <w:t>that</w:t>
      </w:r>
      <w:r>
        <w:rPr>
          <w:spacing w:val="-1"/>
        </w:rPr>
        <w:t xml:space="preserve"> </w:t>
      </w:r>
      <w:r>
        <w:t>the</w:t>
      </w:r>
      <w:r>
        <w:rPr>
          <w:spacing w:val="-2"/>
        </w:rPr>
        <w:t xml:space="preserve"> </w:t>
      </w:r>
      <w:r>
        <w:t>appeal is devoid</w:t>
      </w:r>
      <w:r>
        <w:rPr>
          <w:spacing w:val="-1"/>
        </w:rPr>
        <w:t xml:space="preserve"> </w:t>
      </w:r>
      <w:r>
        <w:t>of</w:t>
      </w:r>
      <w:r>
        <w:rPr>
          <w:spacing w:val="-2"/>
        </w:rPr>
        <w:t xml:space="preserve"> </w:t>
      </w:r>
      <w:r>
        <w:t>merit.</w:t>
      </w:r>
      <w:r>
        <w:rPr>
          <w:spacing w:val="-6"/>
        </w:rPr>
        <w:t xml:space="preserve"> </w:t>
      </w:r>
      <w:r>
        <w:t>The evidence before</w:t>
      </w:r>
      <w:r>
        <w:rPr>
          <w:spacing w:val="-2"/>
        </w:rPr>
        <w:t xml:space="preserve"> </w:t>
      </w:r>
      <w:r>
        <w:t>both the Disciplinary Committee and the Appeals Committee fully established the appellant’s liability on all charges. The respondent argued that the committ</w:t>
      </w:r>
      <w:r>
        <w:t>ees correctly applied the law and reached findings that were both factually and legally sound.</w:t>
      </w:r>
    </w:p>
    <w:p w:rsidR="00C64337" w:rsidRDefault="00EA08E6">
      <w:pPr>
        <w:pStyle w:val="BodyText"/>
        <w:spacing w:before="161" w:line="360" w:lineRule="auto"/>
        <w:ind w:left="1015" w:right="17" w:firstLine="719"/>
        <w:jc w:val="both"/>
      </w:pPr>
      <w:r>
        <w:t>Regarding</w:t>
      </w:r>
      <w:r>
        <w:rPr>
          <w:spacing w:val="-4"/>
        </w:rPr>
        <w:t xml:space="preserve"> </w:t>
      </w:r>
      <w:r>
        <w:t>insubordination,</w:t>
      </w:r>
      <w:r>
        <w:rPr>
          <w:spacing w:val="-3"/>
        </w:rPr>
        <w:t xml:space="preserve"> </w:t>
      </w:r>
      <w:r>
        <w:t>the</w:t>
      </w:r>
      <w:r>
        <w:rPr>
          <w:spacing w:val="-4"/>
        </w:rPr>
        <w:t xml:space="preserve"> </w:t>
      </w:r>
      <w:r>
        <w:t>respondent</w:t>
      </w:r>
      <w:r>
        <w:rPr>
          <w:spacing w:val="-4"/>
        </w:rPr>
        <w:t xml:space="preserve"> </w:t>
      </w:r>
      <w:r>
        <w:t>contended</w:t>
      </w:r>
      <w:r>
        <w:rPr>
          <w:spacing w:val="-4"/>
        </w:rPr>
        <w:t xml:space="preserve"> </w:t>
      </w:r>
      <w:r>
        <w:t>that</w:t>
      </w:r>
      <w:r>
        <w:rPr>
          <w:spacing w:val="-4"/>
        </w:rPr>
        <w:t xml:space="preserve"> </w:t>
      </w:r>
      <w:r>
        <w:t>the</w:t>
      </w:r>
      <w:r>
        <w:rPr>
          <w:spacing w:val="-4"/>
        </w:rPr>
        <w:t xml:space="preserve"> </w:t>
      </w:r>
      <w:r>
        <w:t>facts</w:t>
      </w:r>
      <w:r>
        <w:rPr>
          <w:spacing w:val="-5"/>
        </w:rPr>
        <w:t xml:space="preserve"> </w:t>
      </w:r>
      <w:r>
        <w:t>showed</w:t>
      </w:r>
      <w:r>
        <w:rPr>
          <w:spacing w:val="-4"/>
        </w:rPr>
        <w:t xml:space="preserve"> </w:t>
      </w:r>
      <w:r>
        <w:t>a</w:t>
      </w:r>
      <w:r>
        <w:rPr>
          <w:spacing w:val="-5"/>
        </w:rPr>
        <w:t xml:space="preserve"> </w:t>
      </w:r>
      <w:r>
        <w:t>clear</w:t>
      </w:r>
      <w:r>
        <w:rPr>
          <w:spacing w:val="-4"/>
        </w:rPr>
        <w:t xml:space="preserve"> </w:t>
      </w:r>
      <w:r>
        <w:t>and deliberate disregard of managerial authority.</w:t>
      </w:r>
      <w:r>
        <w:rPr>
          <w:spacing w:val="-2"/>
        </w:rPr>
        <w:t xml:space="preserve"> </w:t>
      </w:r>
      <w:r>
        <w:t>The appellant received a lawful instruction from the Group Managing Director to have his office cleaned on 16 August 2024. Instead of complying,</w:t>
      </w:r>
      <w:r>
        <w:rPr>
          <w:spacing w:val="-10"/>
        </w:rPr>
        <w:t xml:space="preserve"> </w:t>
      </w:r>
      <w:r>
        <w:t>he</w:t>
      </w:r>
      <w:r>
        <w:rPr>
          <w:spacing w:val="-12"/>
        </w:rPr>
        <w:t xml:space="preserve"> </w:t>
      </w:r>
      <w:r>
        <w:t>unilaterally</w:t>
      </w:r>
      <w:r>
        <w:rPr>
          <w:spacing w:val="-11"/>
        </w:rPr>
        <w:t xml:space="preserve"> </w:t>
      </w:r>
      <w:r>
        <w:t>altered</w:t>
      </w:r>
      <w:r>
        <w:rPr>
          <w:spacing w:val="-11"/>
        </w:rPr>
        <w:t xml:space="preserve"> </w:t>
      </w:r>
      <w:r>
        <w:t>the</w:t>
      </w:r>
      <w:r>
        <w:rPr>
          <w:spacing w:val="-9"/>
        </w:rPr>
        <w:t xml:space="preserve"> </w:t>
      </w:r>
      <w:r>
        <w:t>instruction</w:t>
      </w:r>
      <w:r>
        <w:rPr>
          <w:spacing w:val="-11"/>
        </w:rPr>
        <w:t xml:space="preserve"> </w:t>
      </w:r>
      <w:r>
        <w:t>without</w:t>
      </w:r>
      <w:r>
        <w:rPr>
          <w:spacing w:val="-10"/>
        </w:rPr>
        <w:t xml:space="preserve"> </w:t>
      </w:r>
      <w:r>
        <w:t>approval.</w:t>
      </w:r>
      <w:r>
        <w:rPr>
          <w:spacing w:val="-15"/>
        </w:rPr>
        <w:t xml:space="preserve"> </w:t>
      </w:r>
      <w:r>
        <w:t>The</w:t>
      </w:r>
      <w:r>
        <w:rPr>
          <w:spacing w:val="-12"/>
        </w:rPr>
        <w:t xml:space="preserve"> </w:t>
      </w:r>
      <w:r>
        <w:t>respondent</w:t>
      </w:r>
      <w:r>
        <w:rPr>
          <w:spacing w:val="-10"/>
        </w:rPr>
        <w:t xml:space="preserve"> </w:t>
      </w:r>
      <w:r>
        <w:t>argued</w:t>
      </w:r>
      <w:r>
        <w:rPr>
          <w:spacing w:val="-11"/>
        </w:rPr>
        <w:t xml:space="preserve"> </w:t>
      </w:r>
      <w:r>
        <w:t>that this</w:t>
      </w:r>
      <w:r>
        <w:rPr>
          <w:spacing w:val="-15"/>
        </w:rPr>
        <w:t xml:space="preserve"> </w:t>
      </w:r>
      <w:r>
        <w:t>conduct</w:t>
      </w:r>
      <w:r>
        <w:rPr>
          <w:spacing w:val="-15"/>
        </w:rPr>
        <w:t xml:space="preserve"> </w:t>
      </w:r>
      <w:r>
        <w:t>constituted</w:t>
      </w:r>
      <w:r>
        <w:rPr>
          <w:spacing w:val="-15"/>
        </w:rPr>
        <w:t xml:space="preserve"> </w:t>
      </w:r>
      <w:r>
        <w:t>i</w:t>
      </w:r>
      <w:r>
        <w:t>nsubordination,</w:t>
      </w:r>
      <w:r>
        <w:rPr>
          <w:spacing w:val="-15"/>
        </w:rPr>
        <w:t xml:space="preserve"> </w:t>
      </w:r>
      <w:r>
        <w:t>as</w:t>
      </w:r>
      <w:r>
        <w:rPr>
          <w:spacing w:val="-15"/>
        </w:rPr>
        <w:t xml:space="preserve"> </w:t>
      </w:r>
      <w:r>
        <w:t>defined</w:t>
      </w:r>
      <w:r>
        <w:rPr>
          <w:spacing w:val="-15"/>
        </w:rPr>
        <w:t xml:space="preserve"> </w:t>
      </w:r>
      <w:r>
        <w:t>in</w:t>
      </w:r>
      <w:r>
        <w:rPr>
          <w:spacing w:val="-15"/>
        </w:rPr>
        <w:t xml:space="preserve"> </w:t>
      </w:r>
      <w:r>
        <w:rPr>
          <w:i/>
        </w:rPr>
        <w:t>National</w:t>
      </w:r>
      <w:r>
        <w:rPr>
          <w:i/>
          <w:spacing w:val="-15"/>
        </w:rPr>
        <w:t xml:space="preserve"> </w:t>
      </w:r>
      <w:r>
        <w:rPr>
          <w:i/>
        </w:rPr>
        <w:t>Foods</w:t>
      </w:r>
      <w:r>
        <w:rPr>
          <w:i/>
          <w:spacing w:val="-15"/>
        </w:rPr>
        <w:t xml:space="preserve"> </w:t>
      </w:r>
      <w:r>
        <w:rPr>
          <w:i/>
        </w:rPr>
        <w:t>Ltd</w:t>
      </w:r>
      <w:r>
        <w:rPr>
          <w:i/>
          <w:spacing w:val="-15"/>
        </w:rPr>
        <w:t xml:space="preserve"> </w:t>
      </w:r>
      <w:r>
        <w:rPr>
          <w:i/>
        </w:rPr>
        <w:t>v</w:t>
      </w:r>
      <w:r>
        <w:rPr>
          <w:i/>
          <w:spacing w:val="-15"/>
        </w:rPr>
        <w:t xml:space="preserve"> </w:t>
      </w:r>
      <w:r>
        <w:rPr>
          <w:i/>
        </w:rPr>
        <w:t>Mutandi</w:t>
      </w:r>
      <w:r>
        <w:rPr>
          <w:i/>
          <w:spacing w:val="-15"/>
        </w:rPr>
        <w:t xml:space="preserve"> </w:t>
      </w:r>
      <w:r>
        <w:t>SC</w:t>
      </w:r>
      <w:r>
        <w:rPr>
          <w:spacing w:val="-15"/>
        </w:rPr>
        <w:t xml:space="preserve"> </w:t>
      </w:r>
      <w:r>
        <w:t>17/02, where a wilful refusal or disregard of a lawful instruction was held to be serious misconduct.</w:t>
      </w:r>
    </w:p>
    <w:p w:rsidR="00C64337" w:rsidRDefault="00EA08E6">
      <w:pPr>
        <w:pStyle w:val="BodyText"/>
        <w:spacing w:before="162" w:line="360" w:lineRule="auto"/>
        <w:ind w:left="1015" w:right="17" w:firstLine="719"/>
        <w:jc w:val="both"/>
      </w:pPr>
      <w:r>
        <w:t xml:space="preserve">The respondent further relied on </w:t>
      </w:r>
      <w:r>
        <w:rPr>
          <w:i/>
        </w:rPr>
        <w:t xml:space="preserve">St Anne’s Hospital v Chitsa </w:t>
      </w:r>
      <w:r>
        <w:t xml:space="preserve">SC 80/05 and </w:t>
      </w:r>
      <w:r>
        <w:rPr>
          <w:i/>
        </w:rPr>
        <w:t xml:space="preserve">ZUPCO v Mlambo </w:t>
      </w:r>
      <w:r>
        <w:t>199</w:t>
      </w:r>
      <w:r>
        <w:t>6 (1) ZLR 369 (S), which emphasised that employment depends on trust and obedience, and that intentional defiance of authority justifies disciplinary action. The appellant’s alteration of the instruction without seeking consent demonstrated such wilful def</w:t>
      </w:r>
      <w:r>
        <w:t>iance.</w:t>
      </w:r>
      <w:r>
        <w:rPr>
          <w:spacing w:val="-11"/>
        </w:rPr>
        <w:t xml:space="preserve"> </w:t>
      </w:r>
      <w:r>
        <w:t>Accordingly, the</w:t>
      </w:r>
      <w:r>
        <w:rPr>
          <w:spacing w:val="-12"/>
        </w:rPr>
        <w:t xml:space="preserve"> </w:t>
      </w:r>
      <w:r>
        <w:t>Appeals Committee was correct in upholding the guilty verdict on the first part of the charge.</w:t>
      </w:r>
    </w:p>
    <w:p w:rsidR="00C64337" w:rsidRDefault="00C64337">
      <w:pPr>
        <w:pStyle w:val="BodyText"/>
        <w:spacing w:line="360" w:lineRule="auto"/>
        <w:jc w:val="both"/>
        <w:sectPr w:rsidR="00C64337">
          <w:pgSz w:w="11910" w:h="16840"/>
          <w:pgMar w:top="1240" w:right="1417" w:bottom="1200" w:left="425" w:header="751" w:footer="1000" w:gutter="0"/>
          <w:cols w:space="720"/>
        </w:sectPr>
      </w:pPr>
    </w:p>
    <w:p w:rsidR="00C64337" w:rsidRDefault="00EA08E6">
      <w:pPr>
        <w:pStyle w:val="BodyText"/>
        <w:spacing w:before="198" w:line="360" w:lineRule="auto"/>
        <w:ind w:left="1015" w:right="19" w:firstLine="719"/>
        <w:jc w:val="both"/>
      </w:pPr>
      <w:r>
        <w:t>On</w:t>
      </w:r>
      <w:r>
        <w:rPr>
          <w:spacing w:val="-3"/>
        </w:rPr>
        <w:t xml:space="preserve"> </w:t>
      </w:r>
      <w:r>
        <w:t>the</w:t>
      </w:r>
      <w:r>
        <w:rPr>
          <w:spacing w:val="-3"/>
        </w:rPr>
        <w:t xml:space="preserve"> </w:t>
      </w:r>
      <w:r>
        <w:t>charge</w:t>
      </w:r>
      <w:r>
        <w:rPr>
          <w:spacing w:val="-3"/>
        </w:rPr>
        <w:t xml:space="preserve"> </w:t>
      </w:r>
      <w:r>
        <w:t>of</w:t>
      </w:r>
      <w:r>
        <w:rPr>
          <w:spacing w:val="-3"/>
        </w:rPr>
        <w:t xml:space="preserve"> </w:t>
      </w:r>
      <w:r>
        <w:t>gross</w:t>
      </w:r>
      <w:r>
        <w:rPr>
          <w:spacing w:val="-3"/>
        </w:rPr>
        <w:t xml:space="preserve"> </w:t>
      </w:r>
      <w:r>
        <w:t>incompetence</w:t>
      </w:r>
      <w:r>
        <w:rPr>
          <w:spacing w:val="-3"/>
        </w:rPr>
        <w:t xml:space="preserve"> </w:t>
      </w:r>
      <w:r>
        <w:t>and</w:t>
      </w:r>
      <w:r>
        <w:rPr>
          <w:spacing w:val="-2"/>
        </w:rPr>
        <w:t xml:space="preserve"> </w:t>
      </w:r>
      <w:r>
        <w:t>gross</w:t>
      </w:r>
      <w:r>
        <w:rPr>
          <w:spacing w:val="-3"/>
        </w:rPr>
        <w:t xml:space="preserve"> </w:t>
      </w:r>
      <w:r>
        <w:t>negligence,</w:t>
      </w:r>
      <w:r>
        <w:rPr>
          <w:spacing w:val="-2"/>
        </w:rPr>
        <w:t xml:space="preserve"> </w:t>
      </w:r>
      <w:r>
        <w:t>the</w:t>
      </w:r>
      <w:r>
        <w:rPr>
          <w:spacing w:val="-3"/>
        </w:rPr>
        <w:t xml:space="preserve"> </w:t>
      </w:r>
      <w:r>
        <w:t>respondent argued</w:t>
      </w:r>
      <w:r>
        <w:rPr>
          <w:spacing w:val="-2"/>
        </w:rPr>
        <w:t xml:space="preserve"> </w:t>
      </w:r>
      <w:r>
        <w:t>that the appellant had persistently failed to maintain hygiene and cleanliness on the company premises.</w:t>
      </w:r>
      <w:r>
        <w:rPr>
          <w:spacing w:val="-10"/>
        </w:rPr>
        <w:t xml:space="preserve"> </w:t>
      </w:r>
      <w:r>
        <w:t>An inspection on 21 June 2024 found twelve areas dirty, and follow-up inspections on</w:t>
      </w:r>
      <w:r>
        <w:rPr>
          <w:spacing w:val="-15"/>
        </w:rPr>
        <w:t xml:space="preserve"> </w:t>
      </w:r>
      <w:r>
        <w:t>21</w:t>
      </w:r>
      <w:r>
        <w:rPr>
          <w:spacing w:val="-10"/>
        </w:rPr>
        <w:t xml:space="preserve"> </w:t>
      </w:r>
      <w:r>
        <w:t>and</w:t>
      </w:r>
      <w:r>
        <w:rPr>
          <w:spacing w:val="-10"/>
        </w:rPr>
        <w:t xml:space="preserve"> </w:t>
      </w:r>
      <w:r>
        <w:t>23</w:t>
      </w:r>
      <w:r>
        <w:rPr>
          <w:spacing w:val="-15"/>
        </w:rPr>
        <w:t xml:space="preserve"> </w:t>
      </w:r>
      <w:r>
        <w:t>August</w:t>
      </w:r>
      <w:r>
        <w:rPr>
          <w:spacing w:val="-9"/>
        </w:rPr>
        <w:t xml:space="preserve"> </w:t>
      </w:r>
      <w:r>
        <w:t>2024</w:t>
      </w:r>
      <w:r>
        <w:rPr>
          <w:spacing w:val="-10"/>
        </w:rPr>
        <w:t xml:space="preserve"> </w:t>
      </w:r>
      <w:r>
        <w:t>showed</w:t>
      </w:r>
      <w:r>
        <w:rPr>
          <w:spacing w:val="-10"/>
        </w:rPr>
        <w:t xml:space="preserve"> </w:t>
      </w:r>
      <w:r>
        <w:t>no</w:t>
      </w:r>
      <w:r>
        <w:rPr>
          <w:spacing w:val="-10"/>
        </w:rPr>
        <w:t xml:space="preserve"> </w:t>
      </w:r>
      <w:r>
        <w:t>improvement.</w:t>
      </w:r>
      <w:r>
        <w:rPr>
          <w:spacing w:val="-14"/>
        </w:rPr>
        <w:t xml:space="preserve"> </w:t>
      </w:r>
      <w:r>
        <w:t>The</w:t>
      </w:r>
      <w:r>
        <w:rPr>
          <w:spacing w:val="-11"/>
        </w:rPr>
        <w:t xml:space="preserve"> </w:t>
      </w:r>
      <w:r>
        <w:t>respondent</w:t>
      </w:r>
      <w:r>
        <w:rPr>
          <w:spacing w:val="-9"/>
        </w:rPr>
        <w:t xml:space="preserve"> </w:t>
      </w:r>
      <w:r>
        <w:t>submitt</w:t>
      </w:r>
      <w:r>
        <w:t>ed</w:t>
      </w:r>
      <w:r>
        <w:rPr>
          <w:spacing w:val="-10"/>
        </w:rPr>
        <w:t xml:space="preserve"> </w:t>
      </w:r>
      <w:r>
        <w:t>that</w:t>
      </w:r>
      <w:r>
        <w:rPr>
          <w:spacing w:val="-10"/>
        </w:rPr>
        <w:t xml:space="preserve"> </w:t>
      </w:r>
      <w:r>
        <w:t>this</w:t>
      </w:r>
      <w:r>
        <w:rPr>
          <w:spacing w:val="-9"/>
        </w:rPr>
        <w:t xml:space="preserve"> </w:t>
      </w:r>
      <w:r>
        <w:t>pattern of</w:t>
      </w:r>
      <w:r>
        <w:rPr>
          <w:spacing w:val="-7"/>
        </w:rPr>
        <w:t xml:space="preserve"> </w:t>
      </w:r>
      <w:r>
        <w:t>neglect</w:t>
      </w:r>
      <w:r>
        <w:rPr>
          <w:spacing w:val="-5"/>
        </w:rPr>
        <w:t xml:space="preserve"> </w:t>
      </w:r>
      <w:r>
        <w:t>fell</w:t>
      </w:r>
      <w:r>
        <w:rPr>
          <w:spacing w:val="-5"/>
        </w:rPr>
        <w:t xml:space="preserve"> </w:t>
      </w:r>
      <w:r>
        <w:t>far</w:t>
      </w:r>
      <w:r>
        <w:rPr>
          <w:spacing w:val="-7"/>
        </w:rPr>
        <w:t xml:space="preserve"> </w:t>
      </w:r>
      <w:r>
        <w:t>below</w:t>
      </w:r>
      <w:r>
        <w:rPr>
          <w:spacing w:val="-6"/>
        </w:rPr>
        <w:t xml:space="preserve"> </w:t>
      </w:r>
      <w:r>
        <w:t>the</w:t>
      </w:r>
      <w:r>
        <w:rPr>
          <w:spacing w:val="-6"/>
        </w:rPr>
        <w:t xml:space="preserve"> </w:t>
      </w:r>
      <w:r>
        <w:t>standard</w:t>
      </w:r>
      <w:r>
        <w:rPr>
          <w:spacing w:val="-3"/>
        </w:rPr>
        <w:t xml:space="preserve"> </w:t>
      </w:r>
      <w:r>
        <w:t>expected</w:t>
      </w:r>
      <w:r>
        <w:rPr>
          <w:spacing w:val="-6"/>
        </w:rPr>
        <w:t xml:space="preserve"> </w:t>
      </w:r>
      <w:r>
        <w:t>of</w:t>
      </w:r>
      <w:r>
        <w:rPr>
          <w:spacing w:val="-7"/>
        </w:rPr>
        <w:t xml:space="preserve"> </w:t>
      </w:r>
      <w:r>
        <w:t>a</w:t>
      </w:r>
      <w:r>
        <w:rPr>
          <w:spacing w:val="-5"/>
        </w:rPr>
        <w:t xml:space="preserve"> </w:t>
      </w:r>
      <w:r>
        <w:t>reasonably</w:t>
      </w:r>
      <w:r>
        <w:rPr>
          <w:spacing w:val="-3"/>
        </w:rPr>
        <w:t xml:space="preserve"> </w:t>
      </w:r>
      <w:r>
        <w:t>capable</w:t>
      </w:r>
      <w:r>
        <w:rPr>
          <w:spacing w:val="-7"/>
        </w:rPr>
        <w:t xml:space="preserve"> </w:t>
      </w:r>
      <w:r>
        <w:t>supervisor,</w:t>
      </w:r>
      <w:r>
        <w:rPr>
          <w:spacing w:val="-6"/>
        </w:rPr>
        <w:t xml:space="preserve"> </w:t>
      </w:r>
      <w:r>
        <w:t>meeting</w:t>
      </w:r>
      <w:r>
        <w:rPr>
          <w:spacing w:val="-6"/>
        </w:rPr>
        <w:t xml:space="preserve"> </w:t>
      </w:r>
      <w:r>
        <w:t>the threshold for gross negligence.</w:t>
      </w:r>
    </w:p>
    <w:p w:rsidR="00C64337" w:rsidRDefault="00EA08E6">
      <w:pPr>
        <w:pStyle w:val="BodyText"/>
        <w:spacing w:before="161" w:line="360" w:lineRule="auto"/>
        <w:ind w:left="1015" w:right="19" w:firstLine="719"/>
        <w:jc w:val="both"/>
      </w:pPr>
      <w:r>
        <w:t xml:space="preserve">The respondent relied on </w:t>
      </w:r>
      <w:r>
        <w:rPr>
          <w:i/>
        </w:rPr>
        <w:t xml:space="preserve">Delta Beverages v Murandu and Silonda v ZB Bank </w:t>
      </w:r>
      <w:r>
        <w:t>HH 470/15, which held that persist</w:t>
      </w:r>
      <w:r>
        <w:t>ent failure to supervise subordinates adequately, especially where it results in harm, constitutes gross negligence justifying dismissal. The appellant had admitted</w:t>
      </w:r>
      <w:r>
        <w:rPr>
          <w:spacing w:val="-13"/>
        </w:rPr>
        <w:t xml:space="preserve"> </w:t>
      </w:r>
      <w:r>
        <w:t>exercising</w:t>
      </w:r>
      <w:r>
        <w:rPr>
          <w:spacing w:val="-13"/>
        </w:rPr>
        <w:t xml:space="preserve"> </w:t>
      </w:r>
      <w:r>
        <w:t>supervisory</w:t>
      </w:r>
      <w:r>
        <w:rPr>
          <w:spacing w:val="-13"/>
        </w:rPr>
        <w:t xml:space="preserve"> </w:t>
      </w:r>
      <w:r>
        <w:t>authority</w:t>
      </w:r>
      <w:r>
        <w:rPr>
          <w:spacing w:val="-13"/>
        </w:rPr>
        <w:t xml:space="preserve"> </w:t>
      </w:r>
      <w:r>
        <w:t>over</w:t>
      </w:r>
      <w:r>
        <w:rPr>
          <w:spacing w:val="-14"/>
        </w:rPr>
        <w:t xml:space="preserve"> </w:t>
      </w:r>
      <w:r>
        <w:t>cleaners,</w:t>
      </w:r>
      <w:r>
        <w:rPr>
          <w:spacing w:val="-14"/>
        </w:rPr>
        <w:t xml:space="preserve"> </w:t>
      </w:r>
      <w:r>
        <w:t>but</w:t>
      </w:r>
      <w:r>
        <w:rPr>
          <w:spacing w:val="-13"/>
        </w:rPr>
        <w:t xml:space="preserve"> </w:t>
      </w:r>
      <w:r>
        <w:t>later</w:t>
      </w:r>
      <w:r>
        <w:rPr>
          <w:spacing w:val="-14"/>
        </w:rPr>
        <w:t xml:space="preserve"> </w:t>
      </w:r>
      <w:r>
        <w:t>claimed</w:t>
      </w:r>
      <w:r>
        <w:rPr>
          <w:spacing w:val="-14"/>
        </w:rPr>
        <w:t xml:space="preserve"> </w:t>
      </w:r>
      <w:r>
        <w:t>that</w:t>
      </w:r>
      <w:r>
        <w:rPr>
          <w:spacing w:val="-13"/>
        </w:rPr>
        <w:t xml:space="preserve"> </w:t>
      </w:r>
      <w:r>
        <w:t>cleaning</w:t>
      </w:r>
      <w:r>
        <w:rPr>
          <w:spacing w:val="-13"/>
        </w:rPr>
        <w:t xml:space="preserve"> </w:t>
      </w:r>
      <w:r>
        <w:t>was</w:t>
      </w:r>
      <w:r>
        <w:rPr>
          <w:spacing w:val="-13"/>
        </w:rPr>
        <w:t xml:space="preserve"> </w:t>
      </w:r>
      <w:r>
        <w:t>not part</w:t>
      </w:r>
      <w:r>
        <w:rPr>
          <w:spacing w:val="-4"/>
        </w:rPr>
        <w:t xml:space="preserve"> </w:t>
      </w:r>
      <w:r>
        <w:t>of</w:t>
      </w:r>
      <w:r>
        <w:rPr>
          <w:spacing w:val="-5"/>
        </w:rPr>
        <w:t xml:space="preserve"> </w:t>
      </w:r>
      <w:r>
        <w:t>his</w:t>
      </w:r>
      <w:r>
        <w:rPr>
          <w:spacing w:val="-5"/>
        </w:rPr>
        <w:t xml:space="preserve"> </w:t>
      </w:r>
      <w:r>
        <w:t>job</w:t>
      </w:r>
      <w:r>
        <w:rPr>
          <w:spacing w:val="-4"/>
        </w:rPr>
        <w:t xml:space="preserve"> </w:t>
      </w:r>
      <w:r>
        <w:t>contradictory</w:t>
      </w:r>
      <w:r>
        <w:rPr>
          <w:spacing w:val="-4"/>
        </w:rPr>
        <w:t xml:space="preserve"> </w:t>
      </w:r>
      <w:r>
        <w:t>conduct</w:t>
      </w:r>
      <w:r>
        <w:rPr>
          <w:spacing w:val="-4"/>
        </w:rPr>
        <w:t xml:space="preserve"> </w:t>
      </w:r>
      <w:r>
        <w:t>described</w:t>
      </w:r>
      <w:r>
        <w:rPr>
          <w:spacing w:val="-4"/>
        </w:rPr>
        <w:t xml:space="preserve"> </w:t>
      </w:r>
      <w:r>
        <w:t>as</w:t>
      </w:r>
      <w:r>
        <w:rPr>
          <w:spacing w:val="-2"/>
        </w:rPr>
        <w:t xml:space="preserve"> </w:t>
      </w:r>
      <w:r>
        <w:t>probating</w:t>
      </w:r>
      <w:r>
        <w:rPr>
          <w:spacing w:val="-4"/>
        </w:rPr>
        <w:t xml:space="preserve"> </w:t>
      </w:r>
      <w:r>
        <w:t>and</w:t>
      </w:r>
      <w:r>
        <w:rPr>
          <w:spacing w:val="-4"/>
        </w:rPr>
        <w:t xml:space="preserve"> </w:t>
      </w:r>
      <w:r>
        <w:t>reprobating</w:t>
      </w:r>
      <w:r>
        <w:rPr>
          <w:spacing w:val="-4"/>
        </w:rPr>
        <w:t xml:space="preserve"> </w:t>
      </w:r>
      <w:r>
        <w:t>under</w:t>
      </w:r>
      <w:r>
        <w:rPr>
          <w:spacing w:val="-3"/>
        </w:rPr>
        <w:t xml:space="preserve"> </w:t>
      </w:r>
      <w:r>
        <w:rPr>
          <w:i/>
        </w:rPr>
        <w:t xml:space="preserve">Muchakata v Netherburn Mine </w:t>
      </w:r>
      <w:r>
        <w:t>1996 (1) ZLR 153 (S).</w:t>
      </w:r>
    </w:p>
    <w:p w:rsidR="00C64337" w:rsidRDefault="00EA08E6">
      <w:pPr>
        <w:pStyle w:val="BodyText"/>
        <w:spacing w:before="160" w:line="360" w:lineRule="auto"/>
        <w:ind w:left="1015" w:right="21" w:firstLine="719"/>
        <w:jc w:val="both"/>
      </w:pPr>
      <w:r>
        <w:t xml:space="preserve">The respondent also cited </w:t>
      </w:r>
      <w:r>
        <w:rPr>
          <w:i/>
        </w:rPr>
        <w:t xml:space="preserve">Kwangwari v CBZ </w:t>
      </w:r>
      <w:r>
        <w:t>2003 (1) ZLR 551 (H) concerning incompetence. The appellant admitted that the toilets and premises had remained in the same poor</w:t>
      </w:r>
      <w:r>
        <w:rPr>
          <w:spacing w:val="-13"/>
        </w:rPr>
        <w:t xml:space="preserve"> </w:t>
      </w:r>
      <w:r>
        <w:t>condition</w:t>
      </w:r>
      <w:r>
        <w:rPr>
          <w:spacing w:val="-12"/>
        </w:rPr>
        <w:t xml:space="preserve"> </w:t>
      </w:r>
      <w:r>
        <w:t>since</w:t>
      </w:r>
      <w:r>
        <w:rPr>
          <w:spacing w:val="-13"/>
        </w:rPr>
        <w:t xml:space="preserve"> </w:t>
      </w:r>
      <w:r>
        <w:t>2018</w:t>
      </w:r>
      <w:r>
        <w:rPr>
          <w:spacing w:val="-12"/>
        </w:rPr>
        <w:t xml:space="preserve"> </w:t>
      </w:r>
      <w:r>
        <w:t>and</w:t>
      </w:r>
      <w:r>
        <w:rPr>
          <w:spacing w:val="-12"/>
        </w:rPr>
        <w:t xml:space="preserve"> </w:t>
      </w:r>
      <w:r>
        <w:t>that</w:t>
      </w:r>
      <w:r>
        <w:rPr>
          <w:spacing w:val="-12"/>
        </w:rPr>
        <w:t xml:space="preserve"> </w:t>
      </w:r>
      <w:r>
        <w:t>he</w:t>
      </w:r>
      <w:r>
        <w:rPr>
          <w:spacing w:val="-13"/>
        </w:rPr>
        <w:t xml:space="preserve"> </w:t>
      </w:r>
      <w:r>
        <w:t>had</w:t>
      </w:r>
      <w:r>
        <w:rPr>
          <w:spacing w:val="-12"/>
        </w:rPr>
        <w:t xml:space="preserve"> </w:t>
      </w:r>
      <w:r>
        <w:t>taken</w:t>
      </w:r>
      <w:r>
        <w:rPr>
          <w:spacing w:val="-12"/>
        </w:rPr>
        <w:t xml:space="preserve"> </w:t>
      </w:r>
      <w:r>
        <w:t>no</w:t>
      </w:r>
      <w:r>
        <w:rPr>
          <w:spacing w:val="-12"/>
        </w:rPr>
        <w:t xml:space="preserve"> </w:t>
      </w:r>
      <w:r>
        <w:t>meaningful</w:t>
      </w:r>
      <w:r>
        <w:rPr>
          <w:spacing w:val="-12"/>
        </w:rPr>
        <w:t xml:space="preserve"> </w:t>
      </w:r>
      <w:r>
        <w:t>steps</w:t>
      </w:r>
      <w:r>
        <w:rPr>
          <w:spacing w:val="-12"/>
        </w:rPr>
        <w:t xml:space="preserve"> </w:t>
      </w:r>
      <w:r>
        <w:t>to</w:t>
      </w:r>
      <w:r>
        <w:rPr>
          <w:spacing w:val="-12"/>
        </w:rPr>
        <w:t xml:space="preserve"> </w:t>
      </w:r>
      <w:r>
        <w:t>improve</w:t>
      </w:r>
      <w:r>
        <w:rPr>
          <w:spacing w:val="-13"/>
        </w:rPr>
        <w:t xml:space="preserve"> </w:t>
      </w:r>
      <w:r>
        <w:t>them.</w:t>
      </w:r>
      <w:r>
        <w:rPr>
          <w:spacing w:val="-12"/>
        </w:rPr>
        <w:t xml:space="preserve"> </w:t>
      </w:r>
      <w:r>
        <w:t>His</w:t>
      </w:r>
      <w:r>
        <w:rPr>
          <w:spacing w:val="-12"/>
        </w:rPr>
        <w:t xml:space="preserve"> </w:t>
      </w:r>
      <w:r>
        <w:t>later excuses about water shortages, old in</w:t>
      </w:r>
      <w:r>
        <w:t>frastructure, staff shortages, and inadequate chemicals arose</w:t>
      </w:r>
      <w:r>
        <w:rPr>
          <w:spacing w:val="-12"/>
        </w:rPr>
        <w:t xml:space="preserve"> </w:t>
      </w:r>
      <w:r>
        <w:t>only</w:t>
      </w:r>
      <w:r>
        <w:rPr>
          <w:spacing w:val="-10"/>
        </w:rPr>
        <w:t xml:space="preserve"> </w:t>
      </w:r>
      <w:r>
        <w:t>after</w:t>
      </w:r>
      <w:r>
        <w:rPr>
          <w:spacing w:val="-11"/>
        </w:rPr>
        <w:t xml:space="preserve"> </w:t>
      </w:r>
      <w:r>
        <w:t>the</w:t>
      </w:r>
      <w:r>
        <w:rPr>
          <w:spacing w:val="-11"/>
        </w:rPr>
        <w:t xml:space="preserve"> </w:t>
      </w:r>
      <w:r>
        <w:t>charges</w:t>
      </w:r>
      <w:r>
        <w:rPr>
          <w:spacing w:val="-10"/>
        </w:rPr>
        <w:t xml:space="preserve"> </w:t>
      </w:r>
      <w:r>
        <w:t>and</w:t>
      </w:r>
      <w:r>
        <w:rPr>
          <w:spacing w:val="-11"/>
        </w:rPr>
        <w:t xml:space="preserve"> </w:t>
      </w:r>
      <w:r>
        <w:t>did</w:t>
      </w:r>
      <w:r>
        <w:rPr>
          <w:spacing w:val="-10"/>
        </w:rPr>
        <w:t xml:space="preserve"> </w:t>
      </w:r>
      <w:r>
        <w:t>not</w:t>
      </w:r>
      <w:r>
        <w:rPr>
          <w:spacing w:val="-10"/>
        </w:rPr>
        <w:t xml:space="preserve"> </w:t>
      </w:r>
      <w:r>
        <w:t>prevent</w:t>
      </w:r>
      <w:r>
        <w:rPr>
          <w:spacing w:val="-10"/>
        </w:rPr>
        <w:t xml:space="preserve"> </w:t>
      </w:r>
      <w:r>
        <w:t>basic</w:t>
      </w:r>
      <w:r>
        <w:rPr>
          <w:spacing w:val="-11"/>
        </w:rPr>
        <w:t xml:space="preserve"> </w:t>
      </w:r>
      <w:r>
        <w:t>cleaning</w:t>
      </w:r>
      <w:r>
        <w:rPr>
          <w:spacing w:val="-10"/>
        </w:rPr>
        <w:t xml:space="preserve"> </w:t>
      </w:r>
      <w:r>
        <w:t>tasks.</w:t>
      </w:r>
      <w:r>
        <w:rPr>
          <w:spacing w:val="-15"/>
        </w:rPr>
        <w:t xml:space="preserve"> </w:t>
      </w:r>
      <w:r>
        <w:t>The</w:t>
      </w:r>
      <w:r>
        <w:rPr>
          <w:spacing w:val="-12"/>
        </w:rPr>
        <w:t xml:space="preserve"> </w:t>
      </w:r>
      <w:r>
        <w:t>respondent</w:t>
      </w:r>
      <w:r>
        <w:rPr>
          <w:spacing w:val="-10"/>
        </w:rPr>
        <w:t xml:space="preserve"> </w:t>
      </w:r>
      <w:r>
        <w:t>submitted that these excuses did not displace the finding of gross negligence.</w:t>
      </w:r>
    </w:p>
    <w:p w:rsidR="00C64337" w:rsidRDefault="00EA08E6">
      <w:pPr>
        <w:pStyle w:val="BodyText"/>
        <w:spacing w:before="161" w:line="360" w:lineRule="auto"/>
        <w:ind w:left="1015" w:right="18" w:firstLine="719"/>
        <w:jc w:val="both"/>
      </w:pPr>
      <w:r>
        <w:t>Regarding</w:t>
      </w:r>
      <w:r>
        <w:rPr>
          <w:spacing w:val="-10"/>
        </w:rPr>
        <w:t xml:space="preserve"> </w:t>
      </w:r>
      <w:r>
        <w:t>procedural</w:t>
      </w:r>
      <w:r>
        <w:rPr>
          <w:spacing w:val="-9"/>
        </w:rPr>
        <w:t xml:space="preserve"> </w:t>
      </w:r>
      <w:r>
        <w:t>complaints,</w:t>
      </w:r>
      <w:r>
        <w:rPr>
          <w:spacing w:val="-9"/>
        </w:rPr>
        <w:t xml:space="preserve"> </w:t>
      </w:r>
      <w:r>
        <w:t>the</w:t>
      </w:r>
      <w:r>
        <w:rPr>
          <w:spacing w:val="-10"/>
        </w:rPr>
        <w:t xml:space="preserve"> </w:t>
      </w:r>
      <w:r>
        <w:t>respondent</w:t>
      </w:r>
      <w:r>
        <w:rPr>
          <w:spacing w:val="-11"/>
        </w:rPr>
        <w:t xml:space="preserve"> </w:t>
      </w:r>
      <w:r>
        <w:t>contended</w:t>
      </w:r>
      <w:r>
        <w:rPr>
          <w:spacing w:val="-9"/>
        </w:rPr>
        <w:t xml:space="preserve"> </w:t>
      </w:r>
      <w:r>
        <w:t>that</w:t>
      </w:r>
      <w:r>
        <w:rPr>
          <w:spacing w:val="-9"/>
        </w:rPr>
        <w:t xml:space="preserve"> </w:t>
      </w:r>
      <w:r>
        <w:t>the</w:t>
      </w:r>
      <w:r>
        <w:rPr>
          <w:spacing w:val="-10"/>
        </w:rPr>
        <w:t xml:space="preserve"> </w:t>
      </w:r>
      <w:r>
        <w:t>record</w:t>
      </w:r>
      <w:r>
        <w:rPr>
          <w:spacing w:val="-8"/>
        </w:rPr>
        <w:t xml:space="preserve"> </w:t>
      </w:r>
      <w:r>
        <w:t>showed</w:t>
      </w:r>
      <w:r>
        <w:rPr>
          <w:spacing w:val="-9"/>
        </w:rPr>
        <w:t xml:space="preserve"> </w:t>
      </w:r>
      <w:r>
        <w:t xml:space="preserve">the Disciplinary Committee had retired to deliberate before issuing its verdict and sentence. The appellant provided no evidence to the contrary. Citing </w:t>
      </w:r>
      <w:r>
        <w:rPr>
          <w:i/>
        </w:rPr>
        <w:t xml:space="preserve">Tuso v City of Harare </w:t>
      </w:r>
      <w:r>
        <w:t>SC 26-10, the respondent</w:t>
      </w:r>
      <w:r>
        <w:rPr>
          <w:spacing w:val="-6"/>
        </w:rPr>
        <w:t xml:space="preserve"> </w:t>
      </w:r>
      <w:r>
        <w:t>submitte</w:t>
      </w:r>
      <w:r>
        <w:t>d</w:t>
      </w:r>
      <w:r>
        <w:rPr>
          <w:spacing w:val="-7"/>
        </w:rPr>
        <w:t xml:space="preserve"> </w:t>
      </w:r>
      <w:r>
        <w:t>that</w:t>
      </w:r>
      <w:r>
        <w:rPr>
          <w:spacing w:val="-7"/>
        </w:rPr>
        <w:t xml:space="preserve"> </w:t>
      </w:r>
      <w:r>
        <w:t>the</w:t>
      </w:r>
      <w:r>
        <w:rPr>
          <w:spacing w:val="-7"/>
        </w:rPr>
        <w:t xml:space="preserve"> </w:t>
      </w:r>
      <w:r>
        <w:t>burden</w:t>
      </w:r>
      <w:r>
        <w:rPr>
          <w:spacing w:val="-7"/>
        </w:rPr>
        <w:t xml:space="preserve"> </w:t>
      </w:r>
      <w:r>
        <w:t>lay</w:t>
      </w:r>
      <w:r>
        <w:rPr>
          <w:spacing w:val="-7"/>
        </w:rPr>
        <w:t xml:space="preserve"> </w:t>
      </w:r>
      <w:r>
        <w:t>on</w:t>
      </w:r>
      <w:r>
        <w:rPr>
          <w:spacing w:val="-7"/>
        </w:rPr>
        <w:t xml:space="preserve"> </w:t>
      </w:r>
      <w:r>
        <w:t>the</w:t>
      </w:r>
      <w:r>
        <w:rPr>
          <w:spacing w:val="-7"/>
        </w:rPr>
        <w:t xml:space="preserve"> </w:t>
      </w:r>
      <w:r>
        <w:t>appellant</w:t>
      </w:r>
      <w:r>
        <w:rPr>
          <w:spacing w:val="-6"/>
        </w:rPr>
        <w:t xml:space="preserve"> </w:t>
      </w:r>
      <w:r>
        <w:t>to</w:t>
      </w:r>
      <w:r>
        <w:rPr>
          <w:spacing w:val="-6"/>
        </w:rPr>
        <w:t xml:space="preserve"> </w:t>
      </w:r>
      <w:r>
        <w:t>prove</w:t>
      </w:r>
      <w:r>
        <w:rPr>
          <w:spacing w:val="-8"/>
        </w:rPr>
        <w:t xml:space="preserve"> </w:t>
      </w:r>
      <w:r>
        <w:t>procedural</w:t>
      </w:r>
      <w:r>
        <w:rPr>
          <w:spacing w:val="-6"/>
        </w:rPr>
        <w:t xml:space="preserve"> </w:t>
      </w:r>
      <w:r>
        <w:t>irregularity.</w:t>
      </w:r>
      <w:r>
        <w:rPr>
          <w:spacing w:val="-11"/>
        </w:rPr>
        <w:t xml:space="preserve"> </w:t>
      </w:r>
      <w:r>
        <w:t>The absence of an affidavit from his representative undermined his claim, and any alleged defect was trivial and did not vitiate the proceedings.</w:t>
      </w:r>
    </w:p>
    <w:p w:rsidR="00C64337" w:rsidRDefault="00EA08E6">
      <w:pPr>
        <w:pStyle w:val="BodyText"/>
        <w:spacing w:before="159" w:line="360" w:lineRule="auto"/>
        <w:ind w:left="1015" w:right="21" w:firstLine="719"/>
        <w:jc w:val="both"/>
      </w:pPr>
      <w:r>
        <w:t>In conclusion, the respondent maintai</w:t>
      </w:r>
      <w:r>
        <w:t>ned that both committees’ decisions were supported by the evidence and consistent with the law. The appellant’s conduct met the legal thresholds</w:t>
      </w:r>
      <w:r>
        <w:rPr>
          <w:spacing w:val="-4"/>
        </w:rPr>
        <w:t xml:space="preserve"> </w:t>
      </w:r>
      <w:r>
        <w:t>for</w:t>
      </w:r>
      <w:r>
        <w:rPr>
          <w:spacing w:val="-3"/>
        </w:rPr>
        <w:t xml:space="preserve"> </w:t>
      </w:r>
      <w:r>
        <w:t>insubordination</w:t>
      </w:r>
      <w:r>
        <w:rPr>
          <w:spacing w:val="-3"/>
        </w:rPr>
        <w:t xml:space="preserve"> </w:t>
      </w:r>
      <w:r>
        <w:t>and</w:t>
      </w:r>
      <w:r>
        <w:rPr>
          <w:spacing w:val="-3"/>
        </w:rPr>
        <w:t xml:space="preserve"> </w:t>
      </w:r>
      <w:r>
        <w:t>gross</w:t>
      </w:r>
      <w:r>
        <w:rPr>
          <w:spacing w:val="-4"/>
        </w:rPr>
        <w:t xml:space="preserve"> </w:t>
      </w:r>
      <w:r>
        <w:t>negligence,</w:t>
      </w:r>
      <w:r>
        <w:rPr>
          <w:spacing w:val="-3"/>
        </w:rPr>
        <w:t xml:space="preserve"> </w:t>
      </w:r>
      <w:r>
        <w:t>and</w:t>
      </w:r>
      <w:r>
        <w:rPr>
          <w:spacing w:val="-1"/>
        </w:rPr>
        <w:t xml:space="preserve"> </w:t>
      </w:r>
      <w:r>
        <w:t>the</w:t>
      </w:r>
      <w:r>
        <w:rPr>
          <w:spacing w:val="-3"/>
        </w:rPr>
        <w:t xml:space="preserve"> </w:t>
      </w:r>
      <w:r>
        <w:t>dismissal</w:t>
      </w:r>
      <w:r>
        <w:rPr>
          <w:spacing w:val="-3"/>
        </w:rPr>
        <w:t xml:space="preserve"> </w:t>
      </w:r>
      <w:r>
        <w:t>was</w:t>
      </w:r>
      <w:r>
        <w:rPr>
          <w:spacing w:val="-1"/>
        </w:rPr>
        <w:t xml:space="preserve"> </w:t>
      </w:r>
      <w:r>
        <w:t>proportionate.</w:t>
      </w:r>
      <w:r>
        <w:rPr>
          <w:spacing w:val="-8"/>
        </w:rPr>
        <w:t xml:space="preserve"> </w:t>
      </w:r>
      <w:r>
        <w:t>The respondent prayed for the appeal to be dismissed with costs.</w:t>
      </w:r>
    </w:p>
    <w:p w:rsidR="00C64337" w:rsidRDefault="00C64337">
      <w:pPr>
        <w:pStyle w:val="BodyText"/>
        <w:spacing w:line="360" w:lineRule="auto"/>
        <w:jc w:val="both"/>
        <w:sectPr w:rsidR="00C64337">
          <w:pgSz w:w="11910" w:h="16840"/>
          <w:pgMar w:top="1240" w:right="1417" w:bottom="1200" w:left="425" w:header="751" w:footer="1000" w:gutter="0"/>
          <w:cols w:space="720"/>
        </w:sectPr>
      </w:pPr>
    </w:p>
    <w:p w:rsidR="00C64337" w:rsidRDefault="00C64337">
      <w:pPr>
        <w:pStyle w:val="BodyText"/>
      </w:pPr>
    </w:p>
    <w:p w:rsidR="00C64337" w:rsidRDefault="00C64337">
      <w:pPr>
        <w:pStyle w:val="BodyText"/>
      </w:pPr>
    </w:p>
    <w:p w:rsidR="00C64337" w:rsidRDefault="00C64337">
      <w:pPr>
        <w:pStyle w:val="BodyText"/>
      </w:pPr>
    </w:p>
    <w:p w:rsidR="00C64337" w:rsidRDefault="00C64337">
      <w:pPr>
        <w:pStyle w:val="BodyText"/>
      </w:pPr>
    </w:p>
    <w:p w:rsidR="00C64337" w:rsidRDefault="00C64337">
      <w:pPr>
        <w:pStyle w:val="BodyText"/>
      </w:pPr>
    </w:p>
    <w:p w:rsidR="00C64337" w:rsidRDefault="00C64337">
      <w:pPr>
        <w:pStyle w:val="BodyText"/>
        <w:spacing w:before="263"/>
      </w:pPr>
    </w:p>
    <w:p w:rsidR="00C64337" w:rsidRDefault="00EA08E6">
      <w:pPr>
        <w:ind w:left="1015"/>
        <w:rPr>
          <w:b/>
          <w:sz w:val="24"/>
        </w:rPr>
      </w:pPr>
      <w:r>
        <w:rPr>
          <w:b/>
          <w:sz w:val="24"/>
        </w:rPr>
        <w:t>ISSUE</w:t>
      </w:r>
      <w:r>
        <w:rPr>
          <w:b/>
          <w:spacing w:val="-2"/>
          <w:sz w:val="24"/>
        </w:rPr>
        <w:t xml:space="preserve"> </w:t>
      </w:r>
      <w:r>
        <w:rPr>
          <w:b/>
          <w:sz w:val="24"/>
        </w:rPr>
        <w:t>FOR</w:t>
      </w:r>
      <w:r>
        <w:rPr>
          <w:b/>
          <w:spacing w:val="-2"/>
          <w:sz w:val="24"/>
        </w:rPr>
        <w:t xml:space="preserve"> DETERMINATION</w:t>
      </w:r>
    </w:p>
    <w:p w:rsidR="00C64337" w:rsidRDefault="00C64337">
      <w:pPr>
        <w:pStyle w:val="BodyText"/>
        <w:spacing w:before="24"/>
        <w:rPr>
          <w:b/>
        </w:rPr>
      </w:pPr>
    </w:p>
    <w:p w:rsidR="00C64337" w:rsidRDefault="00EA08E6">
      <w:pPr>
        <w:pStyle w:val="BodyText"/>
        <w:ind w:right="20"/>
        <w:jc w:val="right"/>
      </w:pPr>
      <w:r>
        <w:t>In</w:t>
      </w:r>
      <w:r>
        <w:rPr>
          <w:spacing w:val="-1"/>
        </w:rPr>
        <w:t xml:space="preserve"> </w:t>
      </w:r>
      <w:r>
        <w:t>light</w:t>
      </w:r>
      <w:r>
        <w:rPr>
          <w:spacing w:val="-1"/>
        </w:rPr>
        <w:t xml:space="preserve"> </w:t>
      </w:r>
      <w:r>
        <w:t>of</w:t>
      </w:r>
      <w:r>
        <w:rPr>
          <w:spacing w:val="-1"/>
        </w:rPr>
        <w:t xml:space="preserve"> </w:t>
      </w:r>
      <w:r>
        <w:t>the</w:t>
      </w:r>
      <w:r>
        <w:rPr>
          <w:spacing w:val="-3"/>
        </w:rPr>
        <w:t xml:space="preserve"> </w:t>
      </w:r>
      <w:r>
        <w:t>above, I find</w:t>
      </w:r>
      <w:r>
        <w:rPr>
          <w:spacing w:val="-1"/>
        </w:rPr>
        <w:t xml:space="preserve"> </w:t>
      </w:r>
      <w:r>
        <w:t>only</w:t>
      </w:r>
      <w:r>
        <w:rPr>
          <w:spacing w:val="-1"/>
        </w:rPr>
        <w:t xml:space="preserve"> </w:t>
      </w:r>
      <w:r>
        <w:t>one</w:t>
      </w:r>
      <w:r>
        <w:rPr>
          <w:spacing w:val="-1"/>
        </w:rPr>
        <w:t xml:space="preserve"> </w:t>
      </w:r>
      <w:r>
        <w:t>issue for</w:t>
      </w:r>
      <w:r>
        <w:rPr>
          <w:spacing w:val="-1"/>
        </w:rPr>
        <w:t xml:space="preserve"> </w:t>
      </w:r>
      <w:r>
        <w:t>this</w:t>
      </w:r>
      <w:r>
        <w:rPr>
          <w:spacing w:val="-2"/>
        </w:rPr>
        <w:t xml:space="preserve"> </w:t>
      </w:r>
      <w:r>
        <w:t>Court to</w:t>
      </w:r>
      <w:r>
        <w:rPr>
          <w:spacing w:val="-1"/>
        </w:rPr>
        <w:t xml:space="preserve"> </w:t>
      </w:r>
      <w:r>
        <w:t>determine.</w:t>
      </w:r>
      <w:r>
        <w:rPr>
          <w:spacing w:val="-5"/>
        </w:rPr>
        <w:t xml:space="preserve"> </w:t>
      </w:r>
      <w:r>
        <w:t>The issue</w:t>
      </w:r>
      <w:r>
        <w:rPr>
          <w:spacing w:val="-1"/>
        </w:rPr>
        <w:t xml:space="preserve"> </w:t>
      </w:r>
      <w:r>
        <w:t>is</w:t>
      </w:r>
      <w:r>
        <w:rPr>
          <w:spacing w:val="-2"/>
        </w:rPr>
        <w:t xml:space="preserve"> </w:t>
      </w:r>
      <w:r>
        <w:t xml:space="preserve">as </w:t>
      </w:r>
      <w:r>
        <w:rPr>
          <w:spacing w:val="-2"/>
        </w:rPr>
        <w:t>follows:</w:t>
      </w:r>
    </w:p>
    <w:p w:rsidR="00C64337" w:rsidRDefault="00C64337">
      <w:pPr>
        <w:pStyle w:val="BodyText"/>
        <w:spacing w:before="22"/>
      </w:pPr>
    </w:p>
    <w:p w:rsidR="00C64337" w:rsidRDefault="00EA08E6">
      <w:pPr>
        <w:spacing w:line="360" w:lineRule="auto"/>
        <w:ind w:left="1015" w:right="20"/>
        <w:jc w:val="both"/>
        <w:rPr>
          <w:b/>
          <w:i/>
          <w:sz w:val="24"/>
        </w:rPr>
      </w:pPr>
      <w:r>
        <w:rPr>
          <w:b/>
          <w:i/>
          <w:sz w:val="24"/>
        </w:rPr>
        <w:t>Whether or not the</w:t>
      </w:r>
      <w:r>
        <w:rPr>
          <w:b/>
          <w:i/>
          <w:spacing w:val="-1"/>
          <w:sz w:val="24"/>
        </w:rPr>
        <w:t xml:space="preserve"> </w:t>
      </w:r>
      <w:r>
        <w:rPr>
          <w:b/>
          <w:i/>
          <w:sz w:val="24"/>
        </w:rPr>
        <w:t>Appeals Committee erred</w:t>
      </w:r>
      <w:r>
        <w:rPr>
          <w:b/>
          <w:i/>
          <w:sz w:val="24"/>
        </w:rPr>
        <w:t xml:space="preserve"> in upholding the decision of the disciplinary </w:t>
      </w:r>
      <w:r>
        <w:rPr>
          <w:b/>
          <w:i/>
          <w:spacing w:val="-2"/>
          <w:sz w:val="24"/>
        </w:rPr>
        <w:t>committee.</w:t>
      </w:r>
    </w:p>
    <w:p w:rsidR="00C64337" w:rsidRDefault="00EA08E6">
      <w:pPr>
        <w:spacing w:before="159"/>
        <w:ind w:left="1015"/>
        <w:rPr>
          <w:b/>
          <w:sz w:val="24"/>
        </w:rPr>
      </w:pPr>
      <w:r>
        <w:rPr>
          <w:b/>
          <w:spacing w:val="-2"/>
          <w:sz w:val="24"/>
        </w:rPr>
        <w:t>ANALYSIS</w:t>
      </w:r>
    </w:p>
    <w:p w:rsidR="00C64337" w:rsidRDefault="00C64337">
      <w:pPr>
        <w:pStyle w:val="BodyText"/>
        <w:spacing w:before="24"/>
        <w:rPr>
          <w:b/>
        </w:rPr>
      </w:pPr>
    </w:p>
    <w:p w:rsidR="00C64337" w:rsidRDefault="00EA08E6">
      <w:pPr>
        <w:spacing w:line="360" w:lineRule="auto"/>
        <w:ind w:left="1015" w:right="27"/>
        <w:jc w:val="both"/>
        <w:rPr>
          <w:b/>
          <w:i/>
          <w:sz w:val="24"/>
        </w:rPr>
      </w:pPr>
      <w:r>
        <w:rPr>
          <w:b/>
          <w:i/>
          <w:sz w:val="24"/>
        </w:rPr>
        <w:t>Whether or not the</w:t>
      </w:r>
      <w:r>
        <w:rPr>
          <w:b/>
          <w:i/>
          <w:spacing w:val="-1"/>
          <w:sz w:val="24"/>
        </w:rPr>
        <w:t xml:space="preserve"> </w:t>
      </w:r>
      <w:r>
        <w:rPr>
          <w:b/>
          <w:i/>
          <w:sz w:val="24"/>
        </w:rPr>
        <w:t xml:space="preserve">Appeals Committee erred in upholding the decision of the disciplinary </w:t>
      </w:r>
      <w:r>
        <w:rPr>
          <w:b/>
          <w:i/>
          <w:spacing w:val="-2"/>
          <w:sz w:val="24"/>
        </w:rPr>
        <w:t>committee.</w:t>
      </w:r>
    </w:p>
    <w:p w:rsidR="00C64337" w:rsidRDefault="00EA08E6">
      <w:pPr>
        <w:pStyle w:val="BodyText"/>
        <w:spacing w:before="159" w:line="360" w:lineRule="auto"/>
        <w:ind w:left="1015" w:right="20" w:firstLine="719"/>
        <w:jc w:val="both"/>
      </w:pPr>
      <w:r>
        <w:t>The appellant argued in his heads of argument that the Appeals Committee wrongly upheld the Disciplinary Committee’s findings of insubordination and gross incompetence, claiming</w:t>
      </w:r>
      <w:r>
        <w:rPr>
          <w:spacing w:val="-15"/>
        </w:rPr>
        <w:t xml:space="preserve"> </w:t>
      </w:r>
      <w:r>
        <w:t>the</w:t>
      </w:r>
      <w:r>
        <w:rPr>
          <w:spacing w:val="-15"/>
        </w:rPr>
        <w:t xml:space="preserve"> </w:t>
      </w:r>
      <w:r>
        <w:t>evidence</w:t>
      </w:r>
      <w:r>
        <w:rPr>
          <w:spacing w:val="-15"/>
        </w:rPr>
        <w:t xml:space="preserve"> </w:t>
      </w:r>
      <w:r>
        <w:t>did</w:t>
      </w:r>
      <w:r>
        <w:rPr>
          <w:spacing w:val="-15"/>
        </w:rPr>
        <w:t xml:space="preserve"> </w:t>
      </w:r>
      <w:r>
        <w:t>not</w:t>
      </w:r>
      <w:r>
        <w:rPr>
          <w:spacing w:val="-15"/>
        </w:rPr>
        <w:t xml:space="preserve"> </w:t>
      </w:r>
      <w:r>
        <w:t>support</w:t>
      </w:r>
      <w:r>
        <w:rPr>
          <w:spacing w:val="-15"/>
        </w:rPr>
        <w:t xml:space="preserve"> </w:t>
      </w:r>
      <w:r>
        <w:t>such</w:t>
      </w:r>
      <w:r>
        <w:rPr>
          <w:spacing w:val="-15"/>
        </w:rPr>
        <w:t xml:space="preserve"> </w:t>
      </w:r>
      <w:r>
        <w:t>conclusions</w:t>
      </w:r>
      <w:r>
        <w:rPr>
          <w:spacing w:val="-15"/>
        </w:rPr>
        <w:t xml:space="preserve"> </w:t>
      </w:r>
      <w:r>
        <w:t>and</w:t>
      </w:r>
      <w:r>
        <w:rPr>
          <w:spacing w:val="-15"/>
        </w:rPr>
        <w:t xml:space="preserve"> </w:t>
      </w:r>
      <w:r>
        <w:t>that</w:t>
      </w:r>
      <w:r>
        <w:rPr>
          <w:spacing w:val="-15"/>
        </w:rPr>
        <w:t xml:space="preserve"> </w:t>
      </w:r>
      <w:r>
        <w:t>the</w:t>
      </w:r>
      <w:r>
        <w:rPr>
          <w:spacing w:val="-15"/>
        </w:rPr>
        <w:t xml:space="preserve"> </w:t>
      </w:r>
      <w:r>
        <w:t>Committee</w:t>
      </w:r>
      <w:r>
        <w:rPr>
          <w:spacing w:val="-15"/>
        </w:rPr>
        <w:t xml:space="preserve"> </w:t>
      </w:r>
      <w:r>
        <w:t>did</w:t>
      </w:r>
      <w:r>
        <w:rPr>
          <w:spacing w:val="-15"/>
        </w:rPr>
        <w:t xml:space="preserve"> </w:t>
      </w:r>
      <w:r>
        <w:t>not</w:t>
      </w:r>
      <w:r>
        <w:rPr>
          <w:spacing w:val="-15"/>
        </w:rPr>
        <w:t xml:space="preserve"> </w:t>
      </w:r>
      <w:r>
        <w:t>properly examine the alleged misconduct. The respondent countered that the Appeals Committee thoroughly reviewed the evidence, correctly assessed the appellant’s conduct, and appropriately upheld the sanctions. The key issue is whether the appellant commit</w:t>
      </w:r>
      <w:r>
        <w:t xml:space="preserve">ted </w:t>
      </w:r>
      <w:r>
        <w:rPr>
          <w:spacing w:val="-2"/>
        </w:rPr>
        <w:t>insubordination.</w:t>
      </w:r>
    </w:p>
    <w:p w:rsidR="00C64337" w:rsidRDefault="00EA08E6">
      <w:pPr>
        <w:spacing w:before="160" w:line="360" w:lineRule="auto"/>
        <w:ind w:left="1015" w:right="18"/>
        <w:jc w:val="both"/>
        <w:rPr>
          <w:sz w:val="24"/>
        </w:rPr>
      </w:pPr>
      <w:r>
        <w:rPr>
          <w:sz w:val="24"/>
        </w:rPr>
        <w:t xml:space="preserve">In the case of </w:t>
      </w:r>
      <w:r>
        <w:rPr>
          <w:i/>
          <w:sz w:val="24"/>
        </w:rPr>
        <w:t xml:space="preserve">Innscor Africa (Private) Limited </w:t>
      </w:r>
      <w:r>
        <w:rPr>
          <w:sz w:val="24"/>
        </w:rPr>
        <w:t>v T</w:t>
      </w:r>
      <w:r>
        <w:rPr>
          <w:i/>
          <w:sz w:val="24"/>
        </w:rPr>
        <w:t>errence Gwatidzo</w:t>
      </w:r>
      <w:r>
        <w:rPr>
          <w:sz w:val="24"/>
        </w:rPr>
        <w:t>, SC05-15, at p.5, the Honourable Patel J (as he then was), in defining insubordination, held as follows:</w:t>
      </w:r>
    </w:p>
    <w:p w:rsidR="00C64337" w:rsidRDefault="00EA08E6">
      <w:pPr>
        <w:pStyle w:val="BodyText"/>
        <w:spacing w:before="161" w:line="360" w:lineRule="auto"/>
        <w:ind w:left="1735" w:right="23"/>
        <w:jc w:val="both"/>
      </w:pPr>
      <w:r>
        <w:t>“In essence, wilful disobedience and insubordination, although</w:t>
      </w:r>
      <w:r>
        <w:t xml:space="preserve"> treated separately in case of authority, are two sides of the same coin. In other words, an employee will be guilty of insubordination where he or she wilfully disobeys a lawful order.”</w:t>
      </w:r>
    </w:p>
    <w:p w:rsidR="00C64337" w:rsidRDefault="00EA08E6">
      <w:pPr>
        <w:pStyle w:val="BodyText"/>
        <w:spacing w:before="160" w:line="360" w:lineRule="auto"/>
        <w:ind w:left="1015" w:right="20"/>
        <w:jc w:val="both"/>
      </w:pPr>
      <w:r>
        <w:t>In</w:t>
      </w:r>
      <w:r>
        <w:rPr>
          <w:spacing w:val="-5"/>
        </w:rPr>
        <w:t xml:space="preserve"> </w:t>
      </w:r>
      <w:r>
        <w:t>light</w:t>
      </w:r>
      <w:r>
        <w:rPr>
          <w:spacing w:val="-4"/>
        </w:rPr>
        <w:t xml:space="preserve"> </w:t>
      </w:r>
      <w:r>
        <w:t>of</w:t>
      </w:r>
      <w:r>
        <w:rPr>
          <w:spacing w:val="-6"/>
        </w:rPr>
        <w:t xml:space="preserve"> </w:t>
      </w:r>
      <w:r>
        <w:t>the</w:t>
      </w:r>
      <w:r>
        <w:rPr>
          <w:spacing w:val="-2"/>
        </w:rPr>
        <w:t xml:space="preserve"> </w:t>
      </w:r>
      <w:r>
        <w:t>above</w:t>
      </w:r>
      <w:r>
        <w:rPr>
          <w:spacing w:val="-6"/>
        </w:rPr>
        <w:t xml:space="preserve"> </w:t>
      </w:r>
      <w:r>
        <w:t>case,</w:t>
      </w:r>
      <w:r>
        <w:rPr>
          <w:spacing w:val="-5"/>
        </w:rPr>
        <w:t xml:space="preserve"> </w:t>
      </w:r>
      <w:r>
        <w:t>for</w:t>
      </w:r>
      <w:r>
        <w:rPr>
          <w:spacing w:val="-5"/>
        </w:rPr>
        <w:t xml:space="preserve"> </w:t>
      </w:r>
      <w:r>
        <w:t>one</w:t>
      </w:r>
      <w:r>
        <w:rPr>
          <w:spacing w:val="-6"/>
        </w:rPr>
        <w:t xml:space="preserve"> </w:t>
      </w:r>
      <w:r>
        <w:t>to</w:t>
      </w:r>
      <w:r>
        <w:rPr>
          <w:spacing w:val="-4"/>
        </w:rPr>
        <w:t xml:space="preserve"> </w:t>
      </w:r>
      <w:r>
        <w:t>be</w:t>
      </w:r>
      <w:r>
        <w:rPr>
          <w:spacing w:val="-3"/>
        </w:rPr>
        <w:t xml:space="preserve"> </w:t>
      </w:r>
      <w:r>
        <w:t>charged</w:t>
      </w:r>
      <w:r>
        <w:rPr>
          <w:spacing w:val="-5"/>
        </w:rPr>
        <w:t xml:space="preserve"> </w:t>
      </w:r>
      <w:r>
        <w:t>with</w:t>
      </w:r>
      <w:r>
        <w:rPr>
          <w:spacing w:val="-4"/>
        </w:rPr>
        <w:t xml:space="preserve"> </w:t>
      </w:r>
      <w:r>
        <w:t>insubordinatio</w:t>
      </w:r>
      <w:r>
        <w:t>n,</w:t>
      </w:r>
      <w:r>
        <w:rPr>
          <w:spacing w:val="-5"/>
        </w:rPr>
        <w:t xml:space="preserve"> </w:t>
      </w:r>
      <w:r>
        <w:t>wilful</w:t>
      </w:r>
      <w:r>
        <w:rPr>
          <w:spacing w:val="-7"/>
        </w:rPr>
        <w:t xml:space="preserve"> </w:t>
      </w:r>
      <w:r>
        <w:t>disobedience</w:t>
      </w:r>
      <w:r>
        <w:rPr>
          <w:spacing w:val="-6"/>
        </w:rPr>
        <w:t xml:space="preserve"> </w:t>
      </w:r>
      <w:r>
        <w:t>of</w:t>
      </w:r>
      <w:r>
        <w:rPr>
          <w:spacing w:val="-2"/>
        </w:rPr>
        <w:t xml:space="preserve"> </w:t>
      </w:r>
      <w:r>
        <w:t>a lawful</w:t>
      </w:r>
      <w:r>
        <w:rPr>
          <w:spacing w:val="-11"/>
        </w:rPr>
        <w:t xml:space="preserve"> </w:t>
      </w:r>
      <w:r>
        <w:t>order</w:t>
      </w:r>
      <w:r>
        <w:rPr>
          <w:spacing w:val="-11"/>
        </w:rPr>
        <w:t xml:space="preserve"> </w:t>
      </w:r>
      <w:r>
        <w:t>is</w:t>
      </w:r>
      <w:r>
        <w:rPr>
          <w:spacing w:val="-10"/>
        </w:rPr>
        <w:t xml:space="preserve"> </w:t>
      </w:r>
      <w:r>
        <w:t>required.</w:t>
      </w:r>
      <w:r>
        <w:rPr>
          <w:spacing w:val="-8"/>
        </w:rPr>
        <w:t xml:space="preserve"> </w:t>
      </w:r>
      <w:r>
        <w:t>Mere</w:t>
      </w:r>
      <w:r>
        <w:rPr>
          <w:spacing w:val="-12"/>
        </w:rPr>
        <w:t xml:space="preserve"> </w:t>
      </w:r>
      <w:r>
        <w:t>non-compliance,</w:t>
      </w:r>
      <w:r>
        <w:rPr>
          <w:spacing w:val="-11"/>
        </w:rPr>
        <w:t xml:space="preserve"> </w:t>
      </w:r>
      <w:r>
        <w:t>mistakes,</w:t>
      </w:r>
      <w:r>
        <w:rPr>
          <w:spacing w:val="-10"/>
        </w:rPr>
        <w:t xml:space="preserve"> </w:t>
      </w:r>
      <w:r>
        <w:t>or</w:t>
      </w:r>
      <w:r>
        <w:rPr>
          <w:spacing w:val="-11"/>
        </w:rPr>
        <w:t xml:space="preserve"> </w:t>
      </w:r>
      <w:r>
        <w:t>poor</w:t>
      </w:r>
      <w:r>
        <w:rPr>
          <w:spacing w:val="-11"/>
        </w:rPr>
        <w:t xml:space="preserve"> </w:t>
      </w:r>
      <w:r>
        <w:t>performance</w:t>
      </w:r>
      <w:r>
        <w:rPr>
          <w:spacing w:val="-12"/>
        </w:rPr>
        <w:t xml:space="preserve"> </w:t>
      </w:r>
      <w:r>
        <w:t>are</w:t>
      </w:r>
      <w:r>
        <w:rPr>
          <w:spacing w:val="-12"/>
        </w:rPr>
        <w:t xml:space="preserve"> </w:t>
      </w:r>
      <w:r>
        <w:t>insufficient. The employee’s conduct must show a deliberate and conscious refusal to obey. Wilfulness separates true insubordination from negligenc</w:t>
      </w:r>
      <w:r>
        <w:t xml:space="preserve">e or inadvertence. Further, in </w:t>
      </w:r>
      <w:r>
        <w:rPr>
          <w:i/>
        </w:rPr>
        <w:t xml:space="preserve">Matereke v CT Bowring &amp; Associates (Pvt) Ltd </w:t>
      </w:r>
      <w:r>
        <w:t>1987 (1) ZLR 206 (S) at 211G-212A, the court held:</w:t>
      </w:r>
    </w:p>
    <w:p w:rsidR="00C64337" w:rsidRDefault="00C64337">
      <w:pPr>
        <w:pStyle w:val="BodyText"/>
        <w:spacing w:before="138"/>
      </w:pPr>
    </w:p>
    <w:p w:rsidR="00C64337" w:rsidRDefault="00EA08E6">
      <w:pPr>
        <w:pStyle w:val="BodyText"/>
        <w:ind w:right="24"/>
        <w:jc w:val="right"/>
      </w:pPr>
      <w:r>
        <w:t>“a</w:t>
      </w:r>
      <w:r>
        <w:rPr>
          <w:spacing w:val="48"/>
        </w:rPr>
        <w:t xml:space="preserve"> </w:t>
      </w:r>
      <w:r>
        <w:t>deliberate</w:t>
      </w:r>
      <w:r>
        <w:rPr>
          <w:spacing w:val="53"/>
        </w:rPr>
        <w:t xml:space="preserve"> </w:t>
      </w:r>
      <w:r>
        <w:t>and</w:t>
      </w:r>
      <w:r>
        <w:rPr>
          <w:spacing w:val="51"/>
        </w:rPr>
        <w:t xml:space="preserve"> </w:t>
      </w:r>
      <w:r>
        <w:t>serious</w:t>
      </w:r>
      <w:r>
        <w:rPr>
          <w:spacing w:val="51"/>
        </w:rPr>
        <w:t xml:space="preserve"> </w:t>
      </w:r>
      <w:r>
        <w:t>refusal</w:t>
      </w:r>
      <w:r>
        <w:rPr>
          <w:spacing w:val="52"/>
        </w:rPr>
        <w:t xml:space="preserve"> </w:t>
      </w:r>
      <w:r>
        <w:t>to</w:t>
      </w:r>
      <w:r>
        <w:rPr>
          <w:spacing w:val="52"/>
        </w:rPr>
        <w:t xml:space="preserve"> </w:t>
      </w:r>
      <w:r>
        <w:t>obey.</w:t>
      </w:r>
      <w:r>
        <w:rPr>
          <w:spacing w:val="53"/>
        </w:rPr>
        <w:t xml:space="preserve"> </w:t>
      </w:r>
      <w:r>
        <w:t>Knowledge</w:t>
      </w:r>
      <w:r>
        <w:rPr>
          <w:spacing w:val="50"/>
        </w:rPr>
        <w:t xml:space="preserve"> </w:t>
      </w:r>
      <w:r>
        <w:t>and</w:t>
      </w:r>
      <w:r>
        <w:rPr>
          <w:spacing w:val="53"/>
        </w:rPr>
        <w:t xml:space="preserve"> </w:t>
      </w:r>
      <w:r>
        <w:t>deliberateness</w:t>
      </w:r>
      <w:r>
        <w:rPr>
          <w:spacing w:val="52"/>
        </w:rPr>
        <w:t xml:space="preserve"> </w:t>
      </w:r>
      <w:r>
        <w:t>must</w:t>
      </w:r>
      <w:r>
        <w:rPr>
          <w:spacing w:val="52"/>
        </w:rPr>
        <w:t xml:space="preserve"> </w:t>
      </w:r>
      <w:r>
        <w:rPr>
          <w:spacing w:val="-5"/>
        </w:rPr>
        <w:t>be</w:t>
      </w:r>
    </w:p>
    <w:p w:rsidR="00C64337" w:rsidRDefault="00C64337">
      <w:pPr>
        <w:pStyle w:val="BodyText"/>
        <w:jc w:val="right"/>
        <w:sectPr w:rsidR="00C64337">
          <w:pgSz w:w="11910" w:h="16840"/>
          <w:pgMar w:top="1240" w:right="1417" w:bottom="1200" w:left="425" w:header="751" w:footer="1000" w:gutter="0"/>
          <w:cols w:space="720"/>
        </w:sectPr>
      </w:pPr>
    </w:p>
    <w:p w:rsidR="00C64337" w:rsidRDefault="00EA08E6">
      <w:pPr>
        <w:pStyle w:val="BodyText"/>
        <w:spacing w:before="198" w:line="360" w:lineRule="auto"/>
        <w:ind w:left="1735" w:right="19"/>
        <w:jc w:val="both"/>
      </w:pPr>
      <w:r>
        <w:t>present.</w:t>
      </w:r>
      <w:r>
        <w:rPr>
          <w:spacing w:val="-12"/>
        </w:rPr>
        <w:t xml:space="preserve"> </w:t>
      </w:r>
      <w:r>
        <w:t>Disobedience</w:t>
      </w:r>
      <w:r>
        <w:rPr>
          <w:spacing w:val="-12"/>
        </w:rPr>
        <w:t xml:space="preserve"> </w:t>
      </w:r>
      <w:r>
        <w:t>must</w:t>
      </w:r>
      <w:r>
        <w:rPr>
          <w:spacing w:val="-12"/>
        </w:rPr>
        <w:t xml:space="preserve"> </w:t>
      </w:r>
      <w:r>
        <w:t>be</w:t>
      </w:r>
      <w:r>
        <w:rPr>
          <w:spacing w:val="-13"/>
        </w:rPr>
        <w:t xml:space="preserve"> </w:t>
      </w:r>
      <w:r>
        <w:t>intentional</w:t>
      </w:r>
      <w:r>
        <w:rPr>
          <w:spacing w:val="-12"/>
        </w:rPr>
        <w:t xml:space="preserve"> </w:t>
      </w:r>
      <w:r>
        <w:t>and</w:t>
      </w:r>
      <w:r>
        <w:rPr>
          <w:spacing w:val="-11"/>
        </w:rPr>
        <w:t xml:space="preserve"> </w:t>
      </w:r>
      <w:r>
        <w:t>not</w:t>
      </w:r>
      <w:r>
        <w:rPr>
          <w:spacing w:val="-10"/>
        </w:rPr>
        <w:t xml:space="preserve"> </w:t>
      </w:r>
      <w:r>
        <w:t>the</w:t>
      </w:r>
      <w:r>
        <w:rPr>
          <w:spacing w:val="-13"/>
        </w:rPr>
        <w:t xml:space="preserve"> </w:t>
      </w:r>
      <w:r>
        <w:t>result</w:t>
      </w:r>
      <w:r>
        <w:rPr>
          <w:spacing w:val="-12"/>
        </w:rPr>
        <w:t xml:space="preserve"> </w:t>
      </w:r>
      <w:r>
        <w:t>of</w:t>
      </w:r>
      <w:r>
        <w:rPr>
          <w:spacing w:val="-12"/>
        </w:rPr>
        <w:t xml:space="preserve"> </w:t>
      </w:r>
      <w:r>
        <w:t>mistake</w:t>
      </w:r>
      <w:r>
        <w:rPr>
          <w:spacing w:val="-13"/>
        </w:rPr>
        <w:t xml:space="preserve"> </w:t>
      </w:r>
      <w:r>
        <w:t>or</w:t>
      </w:r>
      <w:r>
        <w:rPr>
          <w:spacing w:val="-12"/>
        </w:rPr>
        <w:t xml:space="preserve"> </w:t>
      </w:r>
      <w:r>
        <w:t>inadvertence. It</w:t>
      </w:r>
      <w:r>
        <w:rPr>
          <w:spacing w:val="-5"/>
        </w:rPr>
        <w:t xml:space="preserve"> </w:t>
      </w:r>
      <w:r>
        <w:t>must</w:t>
      </w:r>
      <w:r>
        <w:rPr>
          <w:spacing w:val="-6"/>
        </w:rPr>
        <w:t xml:space="preserve"> </w:t>
      </w:r>
      <w:r>
        <w:t>be</w:t>
      </w:r>
      <w:r>
        <w:rPr>
          <w:spacing w:val="-8"/>
        </w:rPr>
        <w:t xml:space="preserve"> </w:t>
      </w:r>
      <w:r>
        <w:t>disobedience</w:t>
      </w:r>
      <w:r>
        <w:rPr>
          <w:spacing w:val="-6"/>
        </w:rPr>
        <w:t xml:space="preserve"> </w:t>
      </w:r>
      <w:r>
        <w:t>in</w:t>
      </w:r>
      <w:r>
        <w:rPr>
          <w:spacing w:val="-7"/>
        </w:rPr>
        <w:t xml:space="preserve"> </w:t>
      </w:r>
      <w:r>
        <w:t>a</w:t>
      </w:r>
      <w:r>
        <w:rPr>
          <w:spacing w:val="-8"/>
        </w:rPr>
        <w:t xml:space="preserve"> </w:t>
      </w:r>
      <w:r>
        <w:t>serious</w:t>
      </w:r>
      <w:r>
        <w:rPr>
          <w:spacing w:val="-7"/>
        </w:rPr>
        <w:t xml:space="preserve"> </w:t>
      </w:r>
      <w:r>
        <w:t>degree,</w:t>
      </w:r>
      <w:r>
        <w:rPr>
          <w:spacing w:val="-7"/>
        </w:rPr>
        <w:t xml:space="preserve"> </w:t>
      </w:r>
      <w:r>
        <w:t>and</w:t>
      </w:r>
      <w:r>
        <w:rPr>
          <w:spacing w:val="-5"/>
        </w:rPr>
        <w:t xml:space="preserve"> </w:t>
      </w:r>
      <w:r>
        <w:t>not</w:t>
      </w:r>
      <w:r>
        <w:rPr>
          <w:spacing w:val="-7"/>
        </w:rPr>
        <w:t xml:space="preserve"> </w:t>
      </w:r>
      <w:r>
        <w:t>trivial,</w:t>
      </w:r>
      <w:r>
        <w:rPr>
          <w:spacing w:val="-7"/>
        </w:rPr>
        <w:t xml:space="preserve"> </w:t>
      </w:r>
      <w:r>
        <w:t>not</w:t>
      </w:r>
      <w:r>
        <w:rPr>
          <w:spacing w:val="-7"/>
        </w:rPr>
        <w:t xml:space="preserve"> </w:t>
      </w:r>
      <w:r>
        <w:t>simply</w:t>
      </w:r>
      <w:r>
        <w:rPr>
          <w:spacing w:val="-7"/>
        </w:rPr>
        <w:t xml:space="preserve"> </w:t>
      </w:r>
      <w:r>
        <w:t>an</w:t>
      </w:r>
      <w:r>
        <w:rPr>
          <w:spacing w:val="-7"/>
        </w:rPr>
        <w:t xml:space="preserve"> </w:t>
      </w:r>
      <w:r>
        <w:t>unconsidered reaction in a moment of excitement. It must be such disobedience as to be likely to undermine</w:t>
      </w:r>
      <w:r>
        <w:rPr>
          <w:spacing w:val="-8"/>
        </w:rPr>
        <w:t xml:space="preserve"> </w:t>
      </w:r>
      <w:r>
        <w:t>the</w:t>
      </w:r>
      <w:r>
        <w:rPr>
          <w:spacing w:val="-6"/>
        </w:rPr>
        <w:t xml:space="preserve"> </w:t>
      </w:r>
      <w:r>
        <w:t>relationsh</w:t>
      </w:r>
      <w:r>
        <w:t>ip</w:t>
      </w:r>
      <w:r>
        <w:rPr>
          <w:spacing w:val="-7"/>
        </w:rPr>
        <w:t xml:space="preserve"> </w:t>
      </w:r>
      <w:r>
        <w:t>between</w:t>
      </w:r>
      <w:r>
        <w:rPr>
          <w:spacing w:val="-7"/>
        </w:rPr>
        <w:t xml:space="preserve"> </w:t>
      </w:r>
      <w:r>
        <w:t>the</w:t>
      </w:r>
      <w:r>
        <w:rPr>
          <w:spacing w:val="-6"/>
        </w:rPr>
        <w:t xml:space="preserve"> </w:t>
      </w:r>
      <w:r>
        <w:t>employer</w:t>
      </w:r>
      <w:r>
        <w:rPr>
          <w:spacing w:val="-6"/>
        </w:rPr>
        <w:t xml:space="preserve"> </w:t>
      </w:r>
      <w:r>
        <w:t>and</w:t>
      </w:r>
      <w:r>
        <w:rPr>
          <w:spacing w:val="-7"/>
        </w:rPr>
        <w:t xml:space="preserve"> </w:t>
      </w:r>
      <w:r>
        <w:t>employee,</w:t>
      </w:r>
      <w:r>
        <w:rPr>
          <w:spacing w:val="-5"/>
        </w:rPr>
        <w:t xml:space="preserve"> </w:t>
      </w:r>
      <w:r>
        <w:t>going</w:t>
      </w:r>
      <w:r>
        <w:rPr>
          <w:spacing w:val="-7"/>
        </w:rPr>
        <w:t xml:space="preserve"> </w:t>
      </w:r>
      <w:r>
        <w:t>to</w:t>
      </w:r>
      <w:r>
        <w:rPr>
          <w:spacing w:val="-7"/>
        </w:rPr>
        <w:t xml:space="preserve"> </w:t>
      </w:r>
      <w:r>
        <w:t>the</w:t>
      </w:r>
      <w:r>
        <w:rPr>
          <w:spacing w:val="-8"/>
        </w:rPr>
        <w:t xml:space="preserve"> </w:t>
      </w:r>
      <w:r>
        <w:t>very</w:t>
      </w:r>
      <w:r>
        <w:rPr>
          <w:spacing w:val="-8"/>
        </w:rPr>
        <w:t xml:space="preserve"> </w:t>
      </w:r>
      <w:r>
        <w:t>root of the contract of employment.”</w:t>
      </w:r>
    </w:p>
    <w:p w:rsidR="00C64337" w:rsidRDefault="00EA08E6">
      <w:pPr>
        <w:pStyle w:val="BodyText"/>
        <w:spacing w:line="360" w:lineRule="auto"/>
        <w:ind w:left="1015" w:right="20"/>
        <w:jc w:val="both"/>
      </w:pPr>
      <w:r>
        <w:t>Applying these authorities, the inquiry is whether the appellant’s conduct objectively met the threshold of wilfulness. While changing the cleaning schedule without approval may indicate non-compliance, the key question is whether it was deliberate defianc</w:t>
      </w:r>
      <w:r>
        <w:t>e or a misguided operational decision. A reading of the record shows that on 19 August 2024, the Group Managing Director instructed the appellant to report to his office. The Human Resources Manager confirmed that the message was communicated. The appellan</w:t>
      </w:r>
      <w:r>
        <w:t>t did not attend and offered</w:t>
      </w:r>
      <w:r>
        <w:rPr>
          <w:spacing w:val="-2"/>
        </w:rPr>
        <w:t xml:space="preserve"> </w:t>
      </w:r>
      <w:r>
        <w:t>no</w:t>
      </w:r>
      <w:r>
        <w:rPr>
          <w:spacing w:val="-2"/>
        </w:rPr>
        <w:t xml:space="preserve"> </w:t>
      </w:r>
      <w:r>
        <w:t>immediate explanation. In</w:t>
      </w:r>
      <w:r>
        <w:rPr>
          <w:spacing w:val="-2"/>
        </w:rPr>
        <w:t xml:space="preserve"> </w:t>
      </w:r>
      <w:r>
        <w:t>an employment</w:t>
      </w:r>
      <w:r>
        <w:rPr>
          <w:spacing w:val="-2"/>
        </w:rPr>
        <w:t xml:space="preserve"> </w:t>
      </w:r>
      <w:r>
        <w:t>relationship,</w:t>
      </w:r>
      <w:r>
        <w:rPr>
          <w:spacing w:val="-2"/>
        </w:rPr>
        <w:t xml:space="preserve"> </w:t>
      </w:r>
      <w:r>
        <w:t>reporting</w:t>
      </w:r>
      <w:r>
        <w:rPr>
          <w:spacing w:val="-2"/>
        </w:rPr>
        <w:t xml:space="preserve"> </w:t>
      </w:r>
      <w:r>
        <w:t>when</w:t>
      </w:r>
      <w:r>
        <w:rPr>
          <w:spacing w:val="-2"/>
        </w:rPr>
        <w:t xml:space="preserve"> </w:t>
      </w:r>
      <w:r>
        <w:t xml:space="preserve">summoned is a clear, lawful instruction, and failure to comply demonstrates deliberate disregard for </w:t>
      </w:r>
      <w:r>
        <w:rPr>
          <w:spacing w:val="-2"/>
        </w:rPr>
        <w:t>authority.</w:t>
      </w:r>
    </w:p>
    <w:p w:rsidR="00C64337" w:rsidRDefault="00EA08E6">
      <w:pPr>
        <w:pStyle w:val="BodyText"/>
        <w:spacing w:before="2" w:line="360" w:lineRule="auto"/>
        <w:ind w:left="1015" w:right="19" w:firstLine="719"/>
        <w:jc w:val="both"/>
      </w:pPr>
      <w:r>
        <w:t>As</w:t>
      </w:r>
      <w:r>
        <w:rPr>
          <w:spacing w:val="-13"/>
        </w:rPr>
        <w:t xml:space="preserve"> </w:t>
      </w:r>
      <w:r>
        <w:t>noted,</w:t>
      </w:r>
      <w:r>
        <w:rPr>
          <w:spacing w:val="-13"/>
        </w:rPr>
        <w:t xml:space="preserve"> </w:t>
      </w:r>
      <w:r>
        <w:t>the</w:t>
      </w:r>
      <w:r>
        <w:rPr>
          <w:spacing w:val="-14"/>
        </w:rPr>
        <w:t xml:space="preserve"> </w:t>
      </w:r>
      <w:r>
        <w:t>mere</w:t>
      </w:r>
      <w:r>
        <w:rPr>
          <w:spacing w:val="-14"/>
        </w:rPr>
        <w:t xml:space="preserve"> </w:t>
      </w:r>
      <w:r>
        <w:t>failure</w:t>
      </w:r>
      <w:r>
        <w:rPr>
          <w:spacing w:val="-15"/>
        </w:rPr>
        <w:t xml:space="preserve"> </w:t>
      </w:r>
      <w:r>
        <w:t>to</w:t>
      </w:r>
      <w:r>
        <w:rPr>
          <w:spacing w:val="-13"/>
        </w:rPr>
        <w:t xml:space="preserve"> </w:t>
      </w:r>
      <w:r>
        <w:t>clean</w:t>
      </w:r>
      <w:r>
        <w:rPr>
          <w:spacing w:val="-13"/>
        </w:rPr>
        <w:t xml:space="preserve"> </w:t>
      </w:r>
      <w:r>
        <w:t>the</w:t>
      </w:r>
      <w:r>
        <w:rPr>
          <w:spacing w:val="-14"/>
        </w:rPr>
        <w:t xml:space="preserve"> </w:t>
      </w:r>
      <w:r>
        <w:t>com</w:t>
      </w:r>
      <w:r>
        <w:t>pany</w:t>
      </w:r>
      <w:r>
        <w:rPr>
          <w:spacing w:val="-14"/>
        </w:rPr>
        <w:t xml:space="preserve"> </w:t>
      </w:r>
      <w:r>
        <w:t>premises</w:t>
      </w:r>
      <w:r>
        <w:rPr>
          <w:spacing w:val="-13"/>
        </w:rPr>
        <w:t xml:space="preserve"> </w:t>
      </w:r>
      <w:r>
        <w:t>was</w:t>
      </w:r>
      <w:r>
        <w:rPr>
          <w:spacing w:val="-13"/>
        </w:rPr>
        <w:t xml:space="preserve"> </w:t>
      </w:r>
      <w:r>
        <w:t>not,</w:t>
      </w:r>
      <w:r>
        <w:rPr>
          <w:spacing w:val="-13"/>
        </w:rPr>
        <w:t xml:space="preserve"> </w:t>
      </w:r>
      <w:r>
        <w:t>on</w:t>
      </w:r>
      <w:r>
        <w:rPr>
          <w:spacing w:val="-13"/>
        </w:rPr>
        <w:t xml:space="preserve"> </w:t>
      </w:r>
      <w:r>
        <w:t>its</w:t>
      </w:r>
      <w:r>
        <w:rPr>
          <w:spacing w:val="-13"/>
        </w:rPr>
        <w:t xml:space="preserve"> </w:t>
      </w:r>
      <w:r>
        <w:t>own,</w:t>
      </w:r>
      <w:r>
        <w:rPr>
          <w:spacing w:val="-13"/>
        </w:rPr>
        <w:t xml:space="preserve"> </w:t>
      </w:r>
      <w:r>
        <w:t>sufficient to constitute insubordination. More significantly, the appellant went further by refusing to report to the Managing Director’s office when expressly instructed to do so. This refusal to comply</w:t>
      </w:r>
      <w:r>
        <w:rPr>
          <w:spacing w:val="-1"/>
        </w:rPr>
        <w:t xml:space="preserve"> </w:t>
      </w:r>
      <w:r>
        <w:t>with</w:t>
      </w:r>
      <w:r>
        <w:rPr>
          <w:spacing w:val="-1"/>
        </w:rPr>
        <w:t xml:space="preserve"> </w:t>
      </w:r>
      <w:r>
        <w:t>a</w:t>
      </w:r>
      <w:r>
        <w:rPr>
          <w:spacing w:val="-2"/>
        </w:rPr>
        <w:t xml:space="preserve"> </w:t>
      </w:r>
      <w:r>
        <w:t>clear, law</w:t>
      </w:r>
      <w:r>
        <w:t>ful,</w:t>
      </w:r>
      <w:r>
        <w:rPr>
          <w:spacing w:val="-1"/>
        </w:rPr>
        <w:t xml:space="preserve"> </w:t>
      </w:r>
      <w:r>
        <w:t>and</w:t>
      </w:r>
      <w:r>
        <w:rPr>
          <w:spacing w:val="-1"/>
        </w:rPr>
        <w:t xml:space="preserve"> </w:t>
      </w:r>
      <w:r>
        <w:t>reasonable</w:t>
      </w:r>
      <w:r>
        <w:rPr>
          <w:spacing w:val="-2"/>
        </w:rPr>
        <w:t xml:space="preserve"> </w:t>
      </w:r>
      <w:r>
        <w:t>directive</w:t>
      </w:r>
      <w:r>
        <w:rPr>
          <w:spacing w:val="-2"/>
        </w:rPr>
        <w:t xml:space="preserve"> </w:t>
      </w:r>
      <w:r>
        <w:t>demonstrates a</w:t>
      </w:r>
      <w:r>
        <w:rPr>
          <w:spacing w:val="-2"/>
        </w:rPr>
        <w:t xml:space="preserve"> </w:t>
      </w:r>
      <w:r>
        <w:t>deliberate</w:t>
      </w:r>
      <w:r>
        <w:rPr>
          <w:spacing w:val="-2"/>
        </w:rPr>
        <w:t xml:space="preserve"> </w:t>
      </w:r>
      <w:r>
        <w:t>and</w:t>
      </w:r>
      <w:r>
        <w:rPr>
          <w:spacing w:val="-1"/>
        </w:rPr>
        <w:t xml:space="preserve"> </w:t>
      </w:r>
      <w:r>
        <w:t>conscious disregard of authority. It is this failure to report, rather than the cleaning itself, that properly grounded the finding of insubordination.</w:t>
      </w:r>
    </w:p>
    <w:p w:rsidR="00C64337" w:rsidRDefault="00EA08E6">
      <w:pPr>
        <w:pStyle w:val="BodyText"/>
        <w:spacing w:line="360" w:lineRule="auto"/>
        <w:ind w:left="1015" w:right="21"/>
        <w:jc w:val="both"/>
      </w:pPr>
      <w:r>
        <w:t>In that light, I am of the view that the app</w:t>
      </w:r>
      <w:r>
        <w:t>ellant’s conduct clearly constituted insubordination and</w:t>
      </w:r>
      <w:r>
        <w:rPr>
          <w:spacing w:val="-6"/>
        </w:rPr>
        <w:t xml:space="preserve"> </w:t>
      </w:r>
      <w:r>
        <w:t>wilful</w:t>
      </w:r>
      <w:r>
        <w:rPr>
          <w:spacing w:val="-6"/>
        </w:rPr>
        <w:t xml:space="preserve"> </w:t>
      </w:r>
      <w:r>
        <w:t>disobedience.</w:t>
      </w:r>
      <w:r>
        <w:rPr>
          <w:spacing w:val="-6"/>
        </w:rPr>
        <w:t xml:space="preserve"> </w:t>
      </w:r>
      <w:r>
        <w:t>His</w:t>
      </w:r>
      <w:r>
        <w:rPr>
          <w:spacing w:val="-6"/>
        </w:rPr>
        <w:t xml:space="preserve"> </w:t>
      </w:r>
      <w:r>
        <w:t>deliberate</w:t>
      </w:r>
      <w:r>
        <w:rPr>
          <w:spacing w:val="-6"/>
        </w:rPr>
        <w:t xml:space="preserve"> </w:t>
      </w:r>
      <w:r>
        <w:t>choice</w:t>
      </w:r>
      <w:r>
        <w:rPr>
          <w:spacing w:val="-7"/>
        </w:rPr>
        <w:t xml:space="preserve"> </w:t>
      </w:r>
      <w:r>
        <w:t>not</w:t>
      </w:r>
      <w:r>
        <w:rPr>
          <w:spacing w:val="-5"/>
        </w:rPr>
        <w:t xml:space="preserve"> </w:t>
      </w:r>
      <w:r>
        <w:t>to</w:t>
      </w:r>
      <w:r>
        <w:rPr>
          <w:spacing w:val="-5"/>
        </w:rPr>
        <w:t xml:space="preserve"> </w:t>
      </w:r>
      <w:r>
        <w:t>follow</w:t>
      </w:r>
      <w:r>
        <w:rPr>
          <w:spacing w:val="-6"/>
        </w:rPr>
        <w:t xml:space="preserve"> </w:t>
      </w:r>
      <w:r>
        <w:t>a</w:t>
      </w:r>
      <w:r>
        <w:rPr>
          <w:spacing w:val="-7"/>
        </w:rPr>
        <w:t xml:space="preserve"> </w:t>
      </w:r>
      <w:r>
        <w:t>direct</w:t>
      </w:r>
      <w:r>
        <w:rPr>
          <w:spacing w:val="-5"/>
        </w:rPr>
        <w:t xml:space="preserve"> </w:t>
      </w:r>
      <w:r>
        <w:t>order</w:t>
      </w:r>
      <w:r>
        <w:rPr>
          <w:spacing w:val="-7"/>
        </w:rPr>
        <w:t xml:space="preserve"> </w:t>
      </w:r>
      <w:r>
        <w:t>strikes</w:t>
      </w:r>
      <w:r>
        <w:rPr>
          <w:spacing w:val="-6"/>
        </w:rPr>
        <w:t xml:space="preserve"> </w:t>
      </w:r>
      <w:r>
        <w:t>at</w:t>
      </w:r>
      <w:r>
        <w:rPr>
          <w:spacing w:val="-5"/>
        </w:rPr>
        <w:t xml:space="preserve"> </w:t>
      </w:r>
      <w:r>
        <w:t>the</w:t>
      </w:r>
      <w:r>
        <w:rPr>
          <w:spacing w:val="-6"/>
        </w:rPr>
        <w:t xml:space="preserve"> </w:t>
      </w:r>
      <w:r>
        <w:t>core</w:t>
      </w:r>
      <w:r>
        <w:rPr>
          <w:spacing w:val="-8"/>
        </w:rPr>
        <w:t xml:space="preserve"> </w:t>
      </w:r>
      <w:r>
        <w:t>of the employer-employee relationship, undermining the authority of management and fulfilling the threshold for serious misconduct as established in the authorities cited above.</w:t>
      </w:r>
    </w:p>
    <w:p w:rsidR="00C64337" w:rsidRDefault="00C64337">
      <w:pPr>
        <w:pStyle w:val="BodyText"/>
        <w:spacing w:before="137"/>
      </w:pPr>
    </w:p>
    <w:p w:rsidR="00C64337" w:rsidRDefault="00EA08E6">
      <w:pPr>
        <w:pStyle w:val="BodyText"/>
        <w:spacing w:line="360" w:lineRule="auto"/>
        <w:ind w:left="1015" w:right="21" w:firstLine="719"/>
        <w:jc w:val="both"/>
      </w:pPr>
      <w:r>
        <w:t>Further, it is important to note that the appellant’s actions also constitute</w:t>
      </w:r>
      <w:r>
        <w:t xml:space="preserve"> gross incompetence.</w:t>
      </w:r>
      <w:r>
        <w:rPr>
          <w:spacing w:val="-1"/>
        </w:rPr>
        <w:t xml:space="preserve"> </w:t>
      </w:r>
      <w:r>
        <w:t>In</w:t>
      </w:r>
      <w:r>
        <w:rPr>
          <w:spacing w:val="-3"/>
        </w:rPr>
        <w:t xml:space="preserve"> </w:t>
      </w:r>
      <w:r>
        <w:rPr>
          <w:i/>
        </w:rPr>
        <w:t>Kwangwari</w:t>
      </w:r>
      <w:r>
        <w:rPr>
          <w:i/>
          <w:spacing w:val="-3"/>
        </w:rPr>
        <w:t xml:space="preserve"> </w:t>
      </w:r>
      <w:r>
        <w:rPr>
          <w:i/>
        </w:rPr>
        <w:t>v</w:t>
      </w:r>
      <w:r>
        <w:rPr>
          <w:i/>
          <w:spacing w:val="-3"/>
        </w:rPr>
        <w:t xml:space="preserve"> </w:t>
      </w:r>
      <w:r>
        <w:rPr>
          <w:i/>
        </w:rPr>
        <w:t>CBZ</w:t>
      </w:r>
      <w:r>
        <w:rPr>
          <w:i/>
          <w:spacing w:val="-1"/>
        </w:rPr>
        <w:t xml:space="preserve"> </w:t>
      </w:r>
      <w:r>
        <w:t>2003</w:t>
      </w:r>
      <w:r>
        <w:rPr>
          <w:spacing w:val="-3"/>
        </w:rPr>
        <w:t xml:space="preserve"> </w:t>
      </w:r>
      <w:r>
        <w:t>(1)</w:t>
      </w:r>
      <w:r>
        <w:rPr>
          <w:spacing w:val="-3"/>
        </w:rPr>
        <w:t xml:space="preserve"> </w:t>
      </w:r>
      <w:r>
        <w:t>ZLR</w:t>
      </w:r>
      <w:r>
        <w:rPr>
          <w:spacing w:val="-3"/>
        </w:rPr>
        <w:t xml:space="preserve"> </w:t>
      </w:r>
      <w:r>
        <w:t>551</w:t>
      </w:r>
      <w:r>
        <w:rPr>
          <w:spacing w:val="-3"/>
        </w:rPr>
        <w:t xml:space="preserve"> </w:t>
      </w:r>
      <w:r>
        <w:t>(H)</w:t>
      </w:r>
      <w:r>
        <w:rPr>
          <w:spacing w:val="-5"/>
        </w:rPr>
        <w:t xml:space="preserve"> </w:t>
      </w:r>
      <w:r>
        <w:t>at</w:t>
      </w:r>
      <w:r>
        <w:rPr>
          <w:spacing w:val="-3"/>
        </w:rPr>
        <w:t xml:space="preserve"> </w:t>
      </w:r>
      <w:r>
        <w:t>559</w:t>
      </w:r>
      <w:r>
        <w:rPr>
          <w:spacing w:val="-3"/>
        </w:rPr>
        <w:t xml:space="preserve"> </w:t>
      </w:r>
      <w:r>
        <w:t>E-G,</w:t>
      </w:r>
      <w:r>
        <w:rPr>
          <w:spacing w:val="-3"/>
        </w:rPr>
        <w:t xml:space="preserve"> </w:t>
      </w:r>
      <w:r>
        <w:t>the</w:t>
      </w:r>
      <w:r>
        <w:rPr>
          <w:spacing w:val="-4"/>
        </w:rPr>
        <w:t xml:space="preserve"> </w:t>
      </w:r>
      <w:r>
        <w:t>court</w:t>
      </w:r>
      <w:r>
        <w:rPr>
          <w:spacing w:val="-3"/>
        </w:rPr>
        <w:t xml:space="preserve"> </w:t>
      </w:r>
      <w:r>
        <w:t>held</w:t>
      </w:r>
      <w:r>
        <w:rPr>
          <w:spacing w:val="-3"/>
        </w:rPr>
        <w:t xml:space="preserve"> </w:t>
      </w:r>
      <w:r>
        <w:t>that</w:t>
      </w:r>
      <w:r>
        <w:rPr>
          <w:spacing w:val="-3"/>
        </w:rPr>
        <w:t xml:space="preserve"> </w:t>
      </w:r>
      <w:r>
        <w:t>the assessment</w:t>
      </w:r>
      <w:r>
        <w:rPr>
          <w:spacing w:val="-13"/>
        </w:rPr>
        <w:t xml:space="preserve"> </w:t>
      </w:r>
      <w:r>
        <w:t>of</w:t>
      </w:r>
      <w:r>
        <w:rPr>
          <w:spacing w:val="-13"/>
        </w:rPr>
        <w:t xml:space="preserve"> </w:t>
      </w:r>
      <w:r>
        <w:t>gross</w:t>
      </w:r>
      <w:r>
        <w:rPr>
          <w:spacing w:val="-13"/>
        </w:rPr>
        <w:t xml:space="preserve"> </w:t>
      </w:r>
      <w:r>
        <w:t>incompetence</w:t>
      </w:r>
      <w:r>
        <w:rPr>
          <w:spacing w:val="-13"/>
        </w:rPr>
        <w:t xml:space="preserve"> </w:t>
      </w:r>
      <w:r>
        <w:t>depends</w:t>
      </w:r>
      <w:r>
        <w:rPr>
          <w:spacing w:val="-13"/>
        </w:rPr>
        <w:t xml:space="preserve"> </w:t>
      </w:r>
      <w:r>
        <w:t>on</w:t>
      </w:r>
      <w:r>
        <w:rPr>
          <w:spacing w:val="-13"/>
        </w:rPr>
        <w:t xml:space="preserve"> </w:t>
      </w:r>
      <w:r>
        <w:t>whether</w:t>
      </w:r>
      <w:r>
        <w:rPr>
          <w:spacing w:val="-13"/>
        </w:rPr>
        <w:t xml:space="preserve"> </w:t>
      </w:r>
      <w:r>
        <w:t>the</w:t>
      </w:r>
      <w:r>
        <w:rPr>
          <w:spacing w:val="-13"/>
        </w:rPr>
        <w:t xml:space="preserve"> </w:t>
      </w:r>
      <w:r>
        <w:t>employee</w:t>
      </w:r>
      <w:r>
        <w:rPr>
          <w:spacing w:val="-13"/>
        </w:rPr>
        <w:t xml:space="preserve"> </w:t>
      </w:r>
      <w:r>
        <w:t>was</w:t>
      </w:r>
      <w:r>
        <w:rPr>
          <w:spacing w:val="-10"/>
        </w:rPr>
        <w:t xml:space="preserve"> </w:t>
      </w:r>
      <w:r>
        <w:t>aware</w:t>
      </w:r>
      <w:r>
        <w:rPr>
          <w:spacing w:val="-14"/>
        </w:rPr>
        <w:t xml:space="preserve"> </w:t>
      </w:r>
      <w:r>
        <w:t>of</w:t>
      </w:r>
      <w:r>
        <w:rPr>
          <w:spacing w:val="-13"/>
        </w:rPr>
        <w:t xml:space="preserve"> </w:t>
      </w:r>
      <w:r>
        <w:t>the</w:t>
      </w:r>
      <w:r>
        <w:rPr>
          <w:spacing w:val="-10"/>
        </w:rPr>
        <w:t xml:space="preserve"> </w:t>
      </w:r>
      <w:r>
        <w:t>required standard, provided with sufficient training, and given an opportunity to reform. The appellant was</w:t>
      </w:r>
      <w:r>
        <w:rPr>
          <w:spacing w:val="-10"/>
        </w:rPr>
        <w:t xml:space="preserve"> </w:t>
      </w:r>
      <w:r>
        <w:t>shown</w:t>
      </w:r>
      <w:r>
        <w:rPr>
          <w:spacing w:val="-11"/>
        </w:rPr>
        <w:t xml:space="preserve"> </w:t>
      </w:r>
      <w:r>
        <w:t>twelve</w:t>
      </w:r>
      <w:r>
        <w:rPr>
          <w:spacing w:val="-11"/>
        </w:rPr>
        <w:t xml:space="preserve"> </w:t>
      </w:r>
      <w:r>
        <w:t>unclean</w:t>
      </w:r>
      <w:r>
        <w:rPr>
          <w:spacing w:val="-11"/>
        </w:rPr>
        <w:t xml:space="preserve"> </w:t>
      </w:r>
      <w:r>
        <w:t>areas</w:t>
      </w:r>
      <w:r>
        <w:rPr>
          <w:spacing w:val="-10"/>
        </w:rPr>
        <w:t xml:space="preserve"> </w:t>
      </w:r>
      <w:r>
        <w:t>during</w:t>
      </w:r>
      <w:r>
        <w:rPr>
          <w:spacing w:val="-11"/>
        </w:rPr>
        <w:t xml:space="preserve"> </w:t>
      </w:r>
      <w:r>
        <w:t>a</w:t>
      </w:r>
      <w:r>
        <w:rPr>
          <w:spacing w:val="-12"/>
        </w:rPr>
        <w:t xml:space="preserve"> </w:t>
      </w:r>
      <w:r>
        <w:t>21</w:t>
      </w:r>
      <w:r>
        <w:rPr>
          <w:spacing w:val="-11"/>
        </w:rPr>
        <w:t xml:space="preserve"> </w:t>
      </w:r>
      <w:r>
        <w:t>June</w:t>
      </w:r>
      <w:r>
        <w:rPr>
          <w:spacing w:val="-9"/>
        </w:rPr>
        <w:t xml:space="preserve"> </w:t>
      </w:r>
      <w:r>
        <w:t>2024</w:t>
      </w:r>
      <w:r>
        <w:rPr>
          <w:spacing w:val="-11"/>
        </w:rPr>
        <w:t xml:space="preserve"> </w:t>
      </w:r>
      <w:r>
        <w:t>inspection,</w:t>
      </w:r>
      <w:r>
        <w:rPr>
          <w:spacing w:val="-11"/>
        </w:rPr>
        <w:t xml:space="preserve"> </w:t>
      </w:r>
      <w:r>
        <w:t>provided</w:t>
      </w:r>
      <w:r>
        <w:rPr>
          <w:spacing w:val="-11"/>
        </w:rPr>
        <w:t xml:space="preserve"> </w:t>
      </w:r>
      <w:r>
        <w:t>with</w:t>
      </w:r>
      <w:r>
        <w:rPr>
          <w:spacing w:val="-10"/>
        </w:rPr>
        <w:t xml:space="preserve"> </w:t>
      </w:r>
      <w:r>
        <w:t>photographs, and</w:t>
      </w:r>
      <w:r>
        <w:rPr>
          <w:spacing w:val="-10"/>
        </w:rPr>
        <w:t xml:space="preserve"> </w:t>
      </w:r>
      <w:r>
        <w:t>given</w:t>
      </w:r>
      <w:r>
        <w:rPr>
          <w:spacing w:val="-10"/>
        </w:rPr>
        <w:t xml:space="preserve"> </w:t>
      </w:r>
      <w:r>
        <w:t>the</w:t>
      </w:r>
      <w:r>
        <w:rPr>
          <w:spacing w:val="-8"/>
        </w:rPr>
        <w:t xml:space="preserve"> </w:t>
      </w:r>
      <w:r>
        <w:t>chance</w:t>
      </w:r>
      <w:r>
        <w:rPr>
          <w:spacing w:val="-11"/>
        </w:rPr>
        <w:t xml:space="preserve"> </w:t>
      </w:r>
      <w:r>
        <w:t>to</w:t>
      </w:r>
      <w:r>
        <w:rPr>
          <w:spacing w:val="-7"/>
        </w:rPr>
        <w:t xml:space="preserve"> </w:t>
      </w:r>
      <w:r>
        <w:t>address</w:t>
      </w:r>
      <w:r>
        <w:rPr>
          <w:spacing w:val="-9"/>
        </w:rPr>
        <w:t xml:space="preserve"> </w:t>
      </w:r>
      <w:r>
        <w:t>the</w:t>
      </w:r>
      <w:r>
        <w:rPr>
          <w:spacing w:val="-10"/>
        </w:rPr>
        <w:t xml:space="preserve"> </w:t>
      </w:r>
      <w:r>
        <w:t>deficiencies.</w:t>
      </w:r>
      <w:r>
        <w:rPr>
          <w:spacing w:val="-10"/>
        </w:rPr>
        <w:t xml:space="preserve"> </w:t>
      </w:r>
      <w:r>
        <w:t>However,</w:t>
      </w:r>
      <w:r>
        <w:rPr>
          <w:spacing w:val="-8"/>
        </w:rPr>
        <w:t xml:space="preserve"> </w:t>
      </w:r>
      <w:r>
        <w:t>f</w:t>
      </w:r>
      <w:r>
        <w:t>ollow-up</w:t>
      </w:r>
      <w:r>
        <w:rPr>
          <w:spacing w:val="-10"/>
        </w:rPr>
        <w:t xml:space="preserve"> </w:t>
      </w:r>
      <w:r>
        <w:t>inspections</w:t>
      </w:r>
      <w:r>
        <w:rPr>
          <w:spacing w:val="-9"/>
        </w:rPr>
        <w:t xml:space="preserve"> </w:t>
      </w:r>
      <w:r>
        <w:t>on</w:t>
      </w:r>
      <w:r>
        <w:rPr>
          <w:spacing w:val="-10"/>
        </w:rPr>
        <w:t xml:space="preserve"> </w:t>
      </w:r>
      <w:r>
        <w:t>21</w:t>
      </w:r>
      <w:r>
        <w:rPr>
          <w:spacing w:val="-10"/>
        </w:rPr>
        <w:t xml:space="preserve"> </w:t>
      </w:r>
      <w:r>
        <w:t>and</w:t>
      </w:r>
      <w:r>
        <w:rPr>
          <w:spacing w:val="-10"/>
        </w:rPr>
        <w:t xml:space="preserve"> </w:t>
      </w:r>
      <w:r>
        <w:t>23 August</w:t>
      </w:r>
      <w:r>
        <w:rPr>
          <w:spacing w:val="-7"/>
        </w:rPr>
        <w:t xml:space="preserve"> </w:t>
      </w:r>
      <w:r>
        <w:t>2024</w:t>
      </w:r>
      <w:r>
        <w:rPr>
          <w:spacing w:val="-7"/>
        </w:rPr>
        <w:t xml:space="preserve"> </w:t>
      </w:r>
      <w:r>
        <w:t>revealed</w:t>
      </w:r>
      <w:r>
        <w:rPr>
          <w:spacing w:val="-7"/>
        </w:rPr>
        <w:t xml:space="preserve"> </w:t>
      </w:r>
      <w:r>
        <w:t>persistent</w:t>
      </w:r>
      <w:r>
        <w:rPr>
          <w:spacing w:val="-7"/>
        </w:rPr>
        <w:t xml:space="preserve"> </w:t>
      </w:r>
      <w:r>
        <w:t>neglect,</w:t>
      </w:r>
      <w:r>
        <w:rPr>
          <w:spacing w:val="-5"/>
        </w:rPr>
        <w:t xml:space="preserve"> </w:t>
      </w:r>
      <w:r>
        <w:t>confirming</w:t>
      </w:r>
      <w:r>
        <w:rPr>
          <w:spacing w:val="-7"/>
        </w:rPr>
        <w:t xml:space="preserve"> </w:t>
      </w:r>
      <w:r>
        <w:t>that</w:t>
      </w:r>
      <w:r>
        <w:rPr>
          <w:spacing w:val="-7"/>
        </w:rPr>
        <w:t xml:space="preserve"> </w:t>
      </w:r>
      <w:r>
        <w:t>the</w:t>
      </w:r>
      <w:r>
        <w:rPr>
          <w:spacing w:val="-6"/>
        </w:rPr>
        <w:t xml:space="preserve"> </w:t>
      </w:r>
      <w:r>
        <w:t>appellant</w:t>
      </w:r>
      <w:r>
        <w:rPr>
          <w:spacing w:val="-5"/>
        </w:rPr>
        <w:t xml:space="preserve"> </w:t>
      </w:r>
      <w:r>
        <w:t>failed</w:t>
      </w:r>
      <w:r>
        <w:rPr>
          <w:spacing w:val="-7"/>
        </w:rPr>
        <w:t xml:space="preserve"> </w:t>
      </w:r>
      <w:r>
        <w:t>to</w:t>
      </w:r>
      <w:r>
        <w:rPr>
          <w:spacing w:val="-7"/>
        </w:rPr>
        <w:t xml:space="preserve"> </w:t>
      </w:r>
      <w:r>
        <w:t>take</w:t>
      </w:r>
      <w:r>
        <w:rPr>
          <w:spacing w:val="-7"/>
        </w:rPr>
        <w:t xml:space="preserve"> </w:t>
      </w:r>
      <w:r>
        <w:t xml:space="preserve">corrective </w:t>
      </w:r>
      <w:r>
        <w:rPr>
          <w:spacing w:val="-2"/>
        </w:rPr>
        <w:t>action.</w:t>
      </w:r>
    </w:p>
    <w:p w:rsidR="00C64337" w:rsidRDefault="00C64337">
      <w:pPr>
        <w:pStyle w:val="BodyText"/>
        <w:spacing w:line="360" w:lineRule="auto"/>
        <w:jc w:val="both"/>
        <w:sectPr w:rsidR="00C64337">
          <w:pgSz w:w="11910" w:h="16840"/>
          <w:pgMar w:top="1240" w:right="1417" w:bottom="1200" w:left="425" w:header="751" w:footer="1000" w:gutter="0"/>
          <w:cols w:space="720"/>
        </w:sectPr>
      </w:pPr>
    </w:p>
    <w:p w:rsidR="00C64337" w:rsidRDefault="00EA08E6">
      <w:pPr>
        <w:pStyle w:val="BodyText"/>
        <w:spacing w:before="198" w:line="360" w:lineRule="auto"/>
        <w:ind w:left="1015" w:right="24" w:firstLine="719"/>
        <w:jc w:val="both"/>
      </w:pPr>
      <w:r>
        <w:t>The appellant’s repeated failure to maintain hygienic standards, despite notice and opportunity to correct, demonstrates gross negligence. His own admission that conditions persisted since 2018 further underscores prolonged neglect.</w:t>
      </w:r>
    </w:p>
    <w:p w:rsidR="00C64337" w:rsidRDefault="00C64337">
      <w:pPr>
        <w:pStyle w:val="BodyText"/>
        <w:spacing w:before="138"/>
      </w:pPr>
    </w:p>
    <w:p w:rsidR="00C64337" w:rsidRDefault="00EA08E6">
      <w:pPr>
        <w:spacing w:before="1"/>
        <w:ind w:left="1015"/>
        <w:jc w:val="both"/>
        <w:rPr>
          <w:sz w:val="24"/>
        </w:rPr>
      </w:pPr>
      <w:r>
        <w:rPr>
          <w:sz w:val="24"/>
        </w:rPr>
        <w:t>In</w:t>
      </w:r>
      <w:r>
        <w:rPr>
          <w:spacing w:val="-1"/>
          <w:sz w:val="24"/>
        </w:rPr>
        <w:t xml:space="preserve"> </w:t>
      </w:r>
      <w:r>
        <w:rPr>
          <w:sz w:val="24"/>
        </w:rPr>
        <w:t>the case</w:t>
      </w:r>
      <w:r>
        <w:rPr>
          <w:spacing w:val="-2"/>
          <w:sz w:val="24"/>
        </w:rPr>
        <w:t xml:space="preserve"> </w:t>
      </w:r>
      <w:r>
        <w:rPr>
          <w:sz w:val="24"/>
        </w:rPr>
        <w:t>of</w:t>
      </w:r>
      <w:r>
        <w:rPr>
          <w:spacing w:val="-1"/>
          <w:sz w:val="24"/>
        </w:rPr>
        <w:t xml:space="preserve"> </w:t>
      </w:r>
      <w:r>
        <w:rPr>
          <w:i/>
          <w:sz w:val="24"/>
        </w:rPr>
        <w:t>Muyaka</w:t>
      </w:r>
      <w:r>
        <w:rPr>
          <w:i/>
          <w:spacing w:val="-1"/>
          <w:sz w:val="24"/>
        </w:rPr>
        <w:t xml:space="preserve"> </w:t>
      </w:r>
      <w:r>
        <w:rPr>
          <w:sz w:val="24"/>
        </w:rPr>
        <w:t>v</w:t>
      </w:r>
      <w:r>
        <w:rPr>
          <w:spacing w:val="2"/>
          <w:sz w:val="24"/>
        </w:rPr>
        <w:t xml:space="preserve"> </w:t>
      </w:r>
      <w:r>
        <w:rPr>
          <w:i/>
          <w:sz w:val="24"/>
        </w:rPr>
        <w:t>Bak</w:t>
      </w:r>
      <w:r>
        <w:rPr>
          <w:i/>
          <w:spacing w:val="-3"/>
          <w:sz w:val="24"/>
        </w:rPr>
        <w:t xml:space="preserve"> </w:t>
      </w:r>
      <w:r>
        <w:rPr>
          <w:i/>
          <w:sz w:val="24"/>
        </w:rPr>
        <w:t>Logistics (Pvt)</w:t>
      </w:r>
      <w:r>
        <w:rPr>
          <w:i/>
          <w:spacing w:val="-1"/>
          <w:sz w:val="24"/>
        </w:rPr>
        <w:t xml:space="preserve"> </w:t>
      </w:r>
      <w:r>
        <w:rPr>
          <w:i/>
          <w:sz w:val="24"/>
        </w:rPr>
        <w:t>Ltd</w:t>
      </w:r>
      <w:r>
        <w:rPr>
          <w:i/>
          <w:spacing w:val="59"/>
          <w:sz w:val="24"/>
        </w:rPr>
        <w:t xml:space="preserve"> </w:t>
      </w:r>
      <w:r>
        <w:rPr>
          <w:sz w:val="24"/>
        </w:rPr>
        <w:t>SC39-17</w:t>
      </w:r>
      <w:r>
        <w:rPr>
          <w:spacing w:val="-1"/>
          <w:sz w:val="24"/>
        </w:rPr>
        <w:t xml:space="preserve"> </w:t>
      </w:r>
      <w:r>
        <w:rPr>
          <w:sz w:val="24"/>
        </w:rPr>
        <w:t>at p</w:t>
      </w:r>
      <w:r>
        <w:rPr>
          <w:spacing w:val="58"/>
          <w:sz w:val="24"/>
        </w:rPr>
        <w:t xml:space="preserve"> </w:t>
      </w:r>
      <w:r>
        <w:rPr>
          <w:sz w:val="24"/>
        </w:rPr>
        <w:t>3,</w:t>
      </w:r>
      <w:r>
        <w:rPr>
          <w:spacing w:val="-1"/>
          <w:sz w:val="24"/>
        </w:rPr>
        <w:t xml:space="preserve"> </w:t>
      </w:r>
      <w:r>
        <w:rPr>
          <w:sz w:val="24"/>
        </w:rPr>
        <w:t>the</w:t>
      </w:r>
      <w:r>
        <w:rPr>
          <w:spacing w:val="-1"/>
          <w:sz w:val="24"/>
        </w:rPr>
        <w:t xml:space="preserve"> </w:t>
      </w:r>
      <w:r>
        <w:rPr>
          <w:sz w:val="24"/>
        </w:rPr>
        <w:t>court</w:t>
      </w:r>
      <w:r>
        <w:rPr>
          <w:spacing w:val="-1"/>
          <w:sz w:val="24"/>
        </w:rPr>
        <w:t xml:space="preserve"> </w:t>
      </w:r>
      <w:r>
        <w:rPr>
          <w:sz w:val="24"/>
        </w:rPr>
        <w:t>remarked</w:t>
      </w:r>
      <w:r>
        <w:rPr>
          <w:spacing w:val="59"/>
          <w:sz w:val="24"/>
        </w:rPr>
        <w:t xml:space="preserve"> </w:t>
      </w:r>
      <w:r>
        <w:rPr>
          <w:spacing w:val="-2"/>
          <w:sz w:val="24"/>
        </w:rPr>
        <w:t>that,</w:t>
      </w:r>
    </w:p>
    <w:p w:rsidR="00C64337" w:rsidRDefault="00EA08E6">
      <w:pPr>
        <w:pStyle w:val="BodyText"/>
        <w:spacing w:before="136"/>
        <w:ind w:left="1735" w:right="20"/>
        <w:jc w:val="both"/>
      </w:pPr>
      <w:r>
        <w:t>“It is apparent that the evidence led established that appellant was guilty of the charge of gross inefficiency in the performance of his duties.</w:t>
      </w:r>
      <w:r>
        <w:rPr>
          <w:spacing w:val="40"/>
        </w:rPr>
        <w:t xml:space="preserve"> </w:t>
      </w:r>
      <w:r>
        <w:t>It was therefore not the duty of the arbitr</w:t>
      </w:r>
      <w:r>
        <w:t>ator to interfere with such findings where there was no misdirection.</w:t>
      </w:r>
      <w:r>
        <w:rPr>
          <w:spacing w:val="40"/>
        </w:rPr>
        <w:t xml:space="preserve"> </w:t>
      </w:r>
      <w:r>
        <w:t>The arbitrator was therefore wrong in finding that appellant was unfairly dismissed where the evidence prove that appellant was grossly inefficient in performing his duties.”</w:t>
      </w:r>
    </w:p>
    <w:p w:rsidR="00C64337" w:rsidRDefault="00C64337">
      <w:pPr>
        <w:pStyle w:val="BodyText"/>
        <w:spacing w:before="1"/>
      </w:pPr>
    </w:p>
    <w:p w:rsidR="00C64337" w:rsidRDefault="00EA08E6">
      <w:pPr>
        <w:pStyle w:val="BodyText"/>
        <w:spacing w:line="360" w:lineRule="auto"/>
        <w:ind w:left="1015" w:right="21"/>
        <w:jc w:val="both"/>
      </w:pPr>
      <w:r>
        <w:t>In light o</w:t>
      </w:r>
      <w:r>
        <w:t>f the above , the appellant was repeatedly notified of the substandard state of the premises, furnished with photographic evidence, and granted ample opportunity to rectify the shortcomings. Yet, subsequent inspections revealed no meaningful improvement. T</w:t>
      </w:r>
      <w:r>
        <w:t>his persistent failure, coupled with the appellant’s own admission that the unhygienic conditions had</w:t>
      </w:r>
      <w:r>
        <w:rPr>
          <w:spacing w:val="-10"/>
        </w:rPr>
        <w:t xml:space="preserve"> </w:t>
      </w:r>
      <w:r>
        <w:t>been</w:t>
      </w:r>
      <w:r>
        <w:rPr>
          <w:spacing w:val="-8"/>
        </w:rPr>
        <w:t xml:space="preserve"> </w:t>
      </w:r>
      <w:r>
        <w:t>ongoing</w:t>
      </w:r>
      <w:r>
        <w:rPr>
          <w:spacing w:val="-9"/>
        </w:rPr>
        <w:t xml:space="preserve"> </w:t>
      </w:r>
      <w:r>
        <w:t>for</w:t>
      </w:r>
      <w:r>
        <w:rPr>
          <w:spacing w:val="-10"/>
        </w:rPr>
        <w:t xml:space="preserve"> </w:t>
      </w:r>
      <w:r>
        <w:t>several</w:t>
      </w:r>
      <w:r>
        <w:rPr>
          <w:spacing w:val="-9"/>
        </w:rPr>
        <w:t xml:space="preserve"> </w:t>
      </w:r>
      <w:r>
        <w:t>years,</w:t>
      </w:r>
      <w:r>
        <w:rPr>
          <w:spacing w:val="-10"/>
        </w:rPr>
        <w:t xml:space="preserve"> </w:t>
      </w:r>
      <w:r>
        <w:t>demonstrates</w:t>
      </w:r>
      <w:r>
        <w:rPr>
          <w:spacing w:val="-8"/>
        </w:rPr>
        <w:t xml:space="preserve"> </w:t>
      </w:r>
      <w:r>
        <w:t>a</w:t>
      </w:r>
      <w:r>
        <w:rPr>
          <w:spacing w:val="-11"/>
        </w:rPr>
        <w:t xml:space="preserve"> </w:t>
      </w:r>
      <w:r>
        <w:t>sustained</w:t>
      </w:r>
      <w:r>
        <w:rPr>
          <w:spacing w:val="-10"/>
        </w:rPr>
        <w:t xml:space="preserve"> </w:t>
      </w:r>
      <w:r>
        <w:t>pattern</w:t>
      </w:r>
      <w:r>
        <w:rPr>
          <w:spacing w:val="-10"/>
        </w:rPr>
        <w:t xml:space="preserve"> </w:t>
      </w:r>
      <w:r>
        <w:t>of</w:t>
      </w:r>
      <w:r>
        <w:rPr>
          <w:spacing w:val="-8"/>
        </w:rPr>
        <w:t xml:space="preserve"> </w:t>
      </w:r>
      <w:r>
        <w:t>gross</w:t>
      </w:r>
      <w:r>
        <w:rPr>
          <w:spacing w:val="-9"/>
        </w:rPr>
        <w:t xml:space="preserve"> </w:t>
      </w:r>
      <w:r>
        <w:t>inefficiency.</w:t>
      </w:r>
      <w:r>
        <w:rPr>
          <w:spacing w:val="-10"/>
        </w:rPr>
        <w:t xml:space="preserve"> </w:t>
      </w:r>
      <w:r>
        <w:t>The Disciplinary Authority was therefore</w:t>
      </w:r>
      <w:r>
        <w:rPr>
          <w:spacing w:val="-1"/>
        </w:rPr>
        <w:t xml:space="preserve"> </w:t>
      </w:r>
      <w:r>
        <w:t>entitled to conclude that</w:t>
      </w:r>
      <w:r>
        <w:t xml:space="preserve"> the appellant’s conduct met the </w:t>
      </w:r>
      <w:r>
        <w:rPr>
          <w:spacing w:val="-2"/>
        </w:rPr>
        <w:t>threshold</w:t>
      </w:r>
      <w:r>
        <w:rPr>
          <w:spacing w:val="-7"/>
        </w:rPr>
        <w:t xml:space="preserve"> </w:t>
      </w:r>
      <w:r>
        <w:rPr>
          <w:spacing w:val="-2"/>
        </w:rPr>
        <w:t>of</w:t>
      </w:r>
      <w:r>
        <w:rPr>
          <w:spacing w:val="-8"/>
        </w:rPr>
        <w:t xml:space="preserve"> </w:t>
      </w:r>
      <w:r>
        <w:rPr>
          <w:spacing w:val="-2"/>
        </w:rPr>
        <w:t>gross</w:t>
      </w:r>
      <w:r>
        <w:rPr>
          <w:spacing w:val="-7"/>
        </w:rPr>
        <w:t xml:space="preserve"> </w:t>
      </w:r>
      <w:r>
        <w:rPr>
          <w:spacing w:val="-2"/>
        </w:rPr>
        <w:t>incompetence,</w:t>
      </w:r>
      <w:r>
        <w:rPr>
          <w:spacing w:val="-3"/>
        </w:rPr>
        <w:t xml:space="preserve"> </w:t>
      </w:r>
      <w:r>
        <w:rPr>
          <w:spacing w:val="-2"/>
        </w:rPr>
        <w:t>and</w:t>
      </w:r>
      <w:r>
        <w:rPr>
          <w:spacing w:val="-7"/>
        </w:rPr>
        <w:t xml:space="preserve"> </w:t>
      </w:r>
      <w:r>
        <w:rPr>
          <w:spacing w:val="-2"/>
        </w:rPr>
        <w:t>there</w:t>
      </w:r>
      <w:r>
        <w:rPr>
          <w:spacing w:val="-8"/>
        </w:rPr>
        <w:t xml:space="preserve"> </w:t>
      </w:r>
      <w:r>
        <w:rPr>
          <w:spacing w:val="-2"/>
        </w:rPr>
        <w:t>was</w:t>
      </w:r>
      <w:r>
        <w:rPr>
          <w:spacing w:val="-7"/>
        </w:rPr>
        <w:t xml:space="preserve"> </w:t>
      </w:r>
      <w:r>
        <w:rPr>
          <w:spacing w:val="-2"/>
        </w:rPr>
        <w:t>no</w:t>
      </w:r>
      <w:r>
        <w:rPr>
          <w:spacing w:val="-7"/>
        </w:rPr>
        <w:t xml:space="preserve"> </w:t>
      </w:r>
      <w:r>
        <w:rPr>
          <w:spacing w:val="-2"/>
        </w:rPr>
        <w:t>basis</w:t>
      </w:r>
      <w:r>
        <w:rPr>
          <w:spacing w:val="-6"/>
        </w:rPr>
        <w:t xml:space="preserve"> </w:t>
      </w:r>
      <w:r>
        <w:rPr>
          <w:spacing w:val="-2"/>
        </w:rPr>
        <w:t>for</w:t>
      </w:r>
      <w:r>
        <w:rPr>
          <w:spacing w:val="-8"/>
        </w:rPr>
        <w:t xml:space="preserve"> </w:t>
      </w:r>
      <w:r>
        <w:rPr>
          <w:spacing w:val="-2"/>
        </w:rPr>
        <w:t>an</w:t>
      </w:r>
      <w:r>
        <w:rPr>
          <w:spacing w:val="-7"/>
        </w:rPr>
        <w:t xml:space="preserve"> </w:t>
      </w:r>
      <w:r>
        <w:rPr>
          <w:spacing w:val="-2"/>
        </w:rPr>
        <w:t>appellate</w:t>
      </w:r>
      <w:r>
        <w:rPr>
          <w:spacing w:val="-7"/>
        </w:rPr>
        <w:t xml:space="preserve"> </w:t>
      </w:r>
      <w:r>
        <w:rPr>
          <w:spacing w:val="-2"/>
        </w:rPr>
        <w:t>body</w:t>
      </w:r>
      <w:r>
        <w:rPr>
          <w:spacing w:val="-7"/>
        </w:rPr>
        <w:t xml:space="preserve"> </w:t>
      </w:r>
      <w:r>
        <w:rPr>
          <w:spacing w:val="-2"/>
        </w:rPr>
        <w:t>to</w:t>
      </w:r>
      <w:r>
        <w:rPr>
          <w:spacing w:val="-6"/>
        </w:rPr>
        <w:t xml:space="preserve"> </w:t>
      </w:r>
      <w:r>
        <w:rPr>
          <w:spacing w:val="-2"/>
        </w:rPr>
        <w:t>interfere</w:t>
      </w:r>
      <w:r>
        <w:rPr>
          <w:spacing w:val="-9"/>
        </w:rPr>
        <w:t xml:space="preserve"> </w:t>
      </w:r>
      <w:r>
        <w:rPr>
          <w:spacing w:val="-2"/>
        </w:rPr>
        <w:t xml:space="preserve">where </w:t>
      </w:r>
      <w:r>
        <w:t>the factual findings were firmly supported by clear, objective evidence.</w:t>
      </w:r>
    </w:p>
    <w:p w:rsidR="00C64337" w:rsidRDefault="00C64337">
      <w:pPr>
        <w:pStyle w:val="BodyText"/>
        <w:spacing w:before="140"/>
      </w:pPr>
    </w:p>
    <w:p w:rsidR="00C64337" w:rsidRDefault="00EA08E6">
      <w:pPr>
        <w:pStyle w:val="BodyText"/>
        <w:spacing w:line="360" w:lineRule="auto"/>
        <w:ind w:left="1015" w:right="20" w:firstLine="719"/>
        <w:jc w:val="both"/>
      </w:pPr>
      <w:r>
        <w:t>Finally,</w:t>
      </w:r>
      <w:r>
        <w:rPr>
          <w:spacing w:val="-6"/>
        </w:rPr>
        <w:t xml:space="preserve"> </w:t>
      </w:r>
      <w:r>
        <w:t>the</w:t>
      </w:r>
      <w:r>
        <w:rPr>
          <w:spacing w:val="-7"/>
        </w:rPr>
        <w:t xml:space="preserve"> </w:t>
      </w:r>
      <w:r>
        <w:t>appellant</w:t>
      </w:r>
      <w:r>
        <w:rPr>
          <w:spacing w:val="-6"/>
        </w:rPr>
        <w:t xml:space="preserve"> </w:t>
      </w:r>
      <w:r>
        <w:t>alleged</w:t>
      </w:r>
      <w:r>
        <w:rPr>
          <w:spacing w:val="-7"/>
        </w:rPr>
        <w:t xml:space="preserve"> </w:t>
      </w:r>
      <w:r>
        <w:t>that</w:t>
      </w:r>
      <w:r>
        <w:rPr>
          <w:spacing w:val="-7"/>
        </w:rPr>
        <w:t xml:space="preserve"> </w:t>
      </w:r>
      <w:r>
        <w:t>the</w:t>
      </w:r>
      <w:r>
        <w:rPr>
          <w:spacing w:val="-7"/>
        </w:rPr>
        <w:t xml:space="preserve"> </w:t>
      </w:r>
      <w:r>
        <w:t>Disciplinary</w:t>
      </w:r>
      <w:r>
        <w:rPr>
          <w:spacing w:val="-9"/>
        </w:rPr>
        <w:t xml:space="preserve"> </w:t>
      </w:r>
      <w:r>
        <w:t>Committee</w:t>
      </w:r>
      <w:r>
        <w:rPr>
          <w:spacing w:val="-8"/>
        </w:rPr>
        <w:t xml:space="preserve"> </w:t>
      </w:r>
      <w:r>
        <w:t>did</w:t>
      </w:r>
      <w:r>
        <w:rPr>
          <w:spacing w:val="-9"/>
        </w:rPr>
        <w:t xml:space="preserve"> </w:t>
      </w:r>
      <w:r>
        <w:t>not</w:t>
      </w:r>
      <w:r>
        <w:rPr>
          <w:spacing w:val="-6"/>
        </w:rPr>
        <w:t xml:space="preserve"> </w:t>
      </w:r>
      <w:r>
        <w:t>deliberate</w:t>
      </w:r>
      <w:r>
        <w:rPr>
          <w:spacing w:val="-7"/>
        </w:rPr>
        <w:t xml:space="preserve"> </w:t>
      </w:r>
      <w:r>
        <w:t>before reaching its verdict. The record on pages 25–26 and 35, clearly shows that the committee “retired</w:t>
      </w:r>
      <w:r>
        <w:rPr>
          <w:spacing w:val="-9"/>
        </w:rPr>
        <w:t xml:space="preserve"> </w:t>
      </w:r>
      <w:r>
        <w:t>to</w:t>
      </w:r>
      <w:r>
        <w:rPr>
          <w:spacing w:val="-9"/>
        </w:rPr>
        <w:t xml:space="preserve"> </w:t>
      </w:r>
      <w:r>
        <w:t>deliberate”</w:t>
      </w:r>
      <w:r>
        <w:rPr>
          <w:spacing w:val="-10"/>
        </w:rPr>
        <w:t xml:space="preserve"> </w:t>
      </w:r>
      <w:r>
        <w:t>on</w:t>
      </w:r>
      <w:r>
        <w:rPr>
          <w:spacing w:val="-9"/>
        </w:rPr>
        <w:t xml:space="preserve"> </w:t>
      </w:r>
      <w:r>
        <w:t>both</w:t>
      </w:r>
      <w:r>
        <w:rPr>
          <w:spacing w:val="-9"/>
        </w:rPr>
        <w:t xml:space="preserve"> </w:t>
      </w:r>
      <w:r>
        <w:t>the</w:t>
      </w:r>
      <w:r>
        <w:rPr>
          <w:spacing w:val="-10"/>
        </w:rPr>
        <w:t xml:space="preserve"> </w:t>
      </w:r>
      <w:r>
        <w:t>verdict</w:t>
      </w:r>
      <w:r>
        <w:rPr>
          <w:spacing w:val="-9"/>
        </w:rPr>
        <w:t xml:space="preserve"> </w:t>
      </w:r>
      <w:r>
        <w:t>and</w:t>
      </w:r>
      <w:r>
        <w:rPr>
          <w:spacing w:val="-9"/>
        </w:rPr>
        <w:t xml:space="preserve"> </w:t>
      </w:r>
      <w:r>
        <w:t>the</w:t>
      </w:r>
      <w:r>
        <w:rPr>
          <w:spacing w:val="-10"/>
        </w:rPr>
        <w:t xml:space="preserve"> </w:t>
      </w:r>
      <w:r>
        <w:t>sentence.</w:t>
      </w:r>
      <w:r>
        <w:rPr>
          <w:spacing w:val="-9"/>
        </w:rPr>
        <w:t xml:space="preserve"> </w:t>
      </w:r>
      <w:r>
        <w:t>These</w:t>
      </w:r>
      <w:r>
        <w:rPr>
          <w:spacing w:val="-10"/>
        </w:rPr>
        <w:t xml:space="preserve"> </w:t>
      </w:r>
      <w:r>
        <w:t>entries</w:t>
      </w:r>
      <w:r>
        <w:rPr>
          <w:spacing w:val="-9"/>
        </w:rPr>
        <w:t xml:space="preserve"> </w:t>
      </w:r>
      <w:r>
        <w:t>are</w:t>
      </w:r>
      <w:r>
        <w:rPr>
          <w:spacing w:val="-10"/>
        </w:rPr>
        <w:t xml:space="preserve"> </w:t>
      </w:r>
      <w:r>
        <w:t>contemporaneous and form part of the official hear</w:t>
      </w:r>
      <w:r>
        <w:t>ing bundle, reflecting proper procedural compliance. Accordingly,</w:t>
      </w:r>
      <w:r>
        <w:rPr>
          <w:spacing w:val="-12"/>
        </w:rPr>
        <w:t xml:space="preserve"> </w:t>
      </w:r>
      <w:r>
        <w:t>the</w:t>
      </w:r>
      <w:r>
        <w:rPr>
          <w:spacing w:val="-13"/>
        </w:rPr>
        <w:t xml:space="preserve"> </w:t>
      </w:r>
      <w:r>
        <w:t>appellant</w:t>
      </w:r>
      <w:r>
        <w:rPr>
          <w:spacing w:val="-12"/>
        </w:rPr>
        <w:t xml:space="preserve"> </w:t>
      </w:r>
      <w:r>
        <w:t>has</w:t>
      </w:r>
      <w:r>
        <w:rPr>
          <w:spacing w:val="-12"/>
        </w:rPr>
        <w:t xml:space="preserve"> </w:t>
      </w:r>
      <w:r>
        <w:t>to</w:t>
      </w:r>
      <w:r>
        <w:rPr>
          <w:spacing w:val="-12"/>
        </w:rPr>
        <w:t xml:space="preserve"> </w:t>
      </w:r>
      <w:r>
        <w:t>prove</w:t>
      </w:r>
      <w:r>
        <w:rPr>
          <w:spacing w:val="-12"/>
        </w:rPr>
        <w:t xml:space="preserve"> </w:t>
      </w:r>
      <w:r>
        <w:t>its</w:t>
      </w:r>
      <w:r>
        <w:rPr>
          <w:spacing w:val="-14"/>
        </w:rPr>
        <w:t xml:space="preserve"> </w:t>
      </w:r>
      <w:r>
        <w:t>allegation</w:t>
      </w:r>
      <w:r>
        <w:rPr>
          <w:spacing w:val="-12"/>
        </w:rPr>
        <w:t xml:space="preserve"> </w:t>
      </w:r>
      <w:r>
        <w:t>on</w:t>
      </w:r>
      <w:r>
        <w:rPr>
          <w:spacing w:val="-12"/>
        </w:rPr>
        <w:t xml:space="preserve"> </w:t>
      </w:r>
      <w:r>
        <w:t>that</w:t>
      </w:r>
      <w:r>
        <w:rPr>
          <w:spacing w:val="-12"/>
        </w:rPr>
        <w:t xml:space="preserve"> </w:t>
      </w:r>
      <w:r>
        <w:t>point.</w:t>
      </w:r>
      <w:r>
        <w:rPr>
          <w:spacing w:val="-14"/>
        </w:rPr>
        <w:t xml:space="preserve"> </w:t>
      </w:r>
      <w:r>
        <w:t>The</w:t>
      </w:r>
      <w:r>
        <w:rPr>
          <w:spacing w:val="-13"/>
        </w:rPr>
        <w:t xml:space="preserve"> </w:t>
      </w:r>
      <w:r>
        <w:t>case</w:t>
      </w:r>
      <w:r>
        <w:rPr>
          <w:spacing w:val="-13"/>
        </w:rPr>
        <w:t xml:space="preserve"> </w:t>
      </w:r>
      <w:r>
        <w:t>of</w:t>
      </w:r>
      <w:r>
        <w:rPr>
          <w:spacing w:val="-11"/>
        </w:rPr>
        <w:t xml:space="preserve"> </w:t>
      </w:r>
      <w:r>
        <w:rPr>
          <w:i/>
        </w:rPr>
        <w:t>Van</w:t>
      </w:r>
      <w:r>
        <w:rPr>
          <w:i/>
          <w:spacing w:val="-12"/>
        </w:rPr>
        <w:t xml:space="preserve"> </w:t>
      </w:r>
      <w:r>
        <w:rPr>
          <w:i/>
        </w:rPr>
        <w:t>Wyk</w:t>
      </w:r>
      <w:r>
        <w:rPr>
          <w:i/>
          <w:spacing w:val="-13"/>
        </w:rPr>
        <w:t xml:space="preserve"> </w:t>
      </w:r>
      <w:r>
        <w:rPr>
          <w:i/>
        </w:rPr>
        <w:t>v</w:t>
      </w:r>
      <w:r>
        <w:rPr>
          <w:i/>
          <w:spacing w:val="-13"/>
        </w:rPr>
        <w:t xml:space="preserve"> </w:t>
      </w:r>
      <w:r>
        <w:rPr>
          <w:i/>
        </w:rPr>
        <w:t>(Pvt) v</w:t>
      </w:r>
      <w:r>
        <w:rPr>
          <w:i/>
          <w:spacing w:val="-6"/>
        </w:rPr>
        <w:t xml:space="preserve"> </w:t>
      </w:r>
      <w:r>
        <w:rPr>
          <w:i/>
        </w:rPr>
        <w:t>Tarcon</w:t>
      </w:r>
      <w:r>
        <w:rPr>
          <w:i/>
          <w:spacing w:val="-2"/>
        </w:rPr>
        <w:t xml:space="preserve"> </w:t>
      </w:r>
      <w:r>
        <w:rPr>
          <w:i/>
        </w:rPr>
        <w:t>(Pvt)</w:t>
      </w:r>
      <w:r>
        <w:rPr>
          <w:i/>
          <w:spacing w:val="-3"/>
        </w:rPr>
        <w:t xml:space="preserve"> </w:t>
      </w:r>
      <w:r>
        <w:rPr>
          <w:i/>
        </w:rPr>
        <w:t>Ltd</w:t>
      </w:r>
      <w:r>
        <w:t>,</w:t>
      </w:r>
      <w:r>
        <w:rPr>
          <w:spacing w:val="-5"/>
        </w:rPr>
        <w:t xml:space="preserve"> </w:t>
      </w:r>
      <w:r>
        <w:t>SC4-14,</w:t>
      </w:r>
      <w:r>
        <w:rPr>
          <w:spacing w:val="-5"/>
        </w:rPr>
        <w:t xml:space="preserve"> </w:t>
      </w:r>
      <w:r>
        <w:t>at</w:t>
      </w:r>
      <w:r>
        <w:rPr>
          <w:spacing w:val="-4"/>
        </w:rPr>
        <w:t xml:space="preserve"> </w:t>
      </w:r>
      <w:r>
        <w:t>p</w:t>
      </w:r>
      <w:r>
        <w:rPr>
          <w:spacing w:val="-3"/>
        </w:rPr>
        <w:t xml:space="preserve"> </w:t>
      </w:r>
      <w:r>
        <w:t>5,</w:t>
      </w:r>
      <w:r>
        <w:rPr>
          <w:spacing w:val="-5"/>
        </w:rPr>
        <w:t xml:space="preserve"> </w:t>
      </w:r>
      <w:r>
        <w:t>states</w:t>
      </w:r>
      <w:r>
        <w:rPr>
          <w:spacing w:val="-2"/>
        </w:rPr>
        <w:t xml:space="preserve"> </w:t>
      </w:r>
      <w:r>
        <w:t>that</w:t>
      </w:r>
      <w:r>
        <w:rPr>
          <w:spacing w:val="-4"/>
        </w:rPr>
        <w:t xml:space="preserve"> </w:t>
      </w:r>
      <w:r>
        <w:t>he</w:t>
      </w:r>
      <w:r>
        <w:rPr>
          <w:spacing w:val="-1"/>
        </w:rPr>
        <w:t xml:space="preserve"> </w:t>
      </w:r>
      <w:r>
        <w:t>who</w:t>
      </w:r>
      <w:r>
        <w:rPr>
          <w:spacing w:val="-5"/>
        </w:rPr>
        <w:t xml:space="preserve"> </w:t>
      </w:r>
      <w:r>
        <w:t>asserts</w:t>
      </w:r>
      <w:r>
        <w:rPr>
          <w:spacing w:val="-5"/>
        </w:rPr>
        <w:t xml:space="preserve"> </w:t>
      </w:r>
      <w:r>
        <w:t>any</w:t>
      </w:r>
      <w:r>
        <w:rPr>
          <w:spacing w:val="-3"/>
        </w:rPr>
        <w:t xml:space="preserve"> </w:t>
      </w:r>
      <w:r>
        <w:t>fact</w:t>
      </w:r>
      <w:r>
        <w:rPr>
          <w:spacing w:val="-4"/>
        </w:rPr>
        <w:t xml:space="preserve"> </w:t>
      </w:r>
      <w:r>
        <w:t>must</w:t>
      </w:r>
      <w:r>
        <w:rPr>
          <w:spacing w:val="-4"/>
        </w:rPr>
        <w:t xml:space="preserve"> </w:t>
      </w:r>
      <w:r>
        <w:t>carry</w:t>
      </w:r>
      <w:r>
        <w:rPr>
          <w:spacing w:val="-6"/>
        </w:rPr>
        <w:t xml:space="preserve"> </w:t>
      </w:r>
      <w:r>
        <w:t>the</w:t>
      </w:r>
      <w:r>
        <w:rPr>
          <w:spacing w:val="-3"/>
        </w:rPr>
        <w:t xml:space="preserve"> </w:t>
      </w:r>
      <w:r>
        <w:t>burden</w:t>
      </w:r>
      <w:r>
        <w:rPr>
          <w:spacing w:val="-3"/>
        </w:rPr>
        <w:t xml:space="preserve"> </w:t>
      </w:r>
      <w:r>
        <w:t>to prove that fact. The appellant’s bare assertion, unsupported by any evidence or contemporaneous objection, cannot outweigh the clear documentary proof.</w:t>
      </w:r>
    </w:p>
    <w:p w:rsidR="00C64337" w:rsidRDefault="00C64337">
      <w:pPr>
        <w:pStyle w:val="BodyText"/>
        <w:spacing w:before="138"/>
      </w:pPr>
    </w:p>
    <w:p w:rsidR="00C64337" w:rsidRDefault="00EA08E6">
      <w:pPr>
        <w:spacing w:line="360" w:lineRule="auto"/>
        <w:ind w:left="1015" w:right="21"/>
        <w:jc w:val="both"/>
        <w:rPr>
          <w:sz w:val="24"/>
        </w:rPr>
      </w:pPr>
      <w:r>
        <w:rPr>
          <w:sz w:val="24"/>
        </w:rPr>
        <w:t xml:space="preserve">Moreover, In the case of </w:t>
      </w:r>
      <w:r>
        <w:rPr>
          <w:i/>
          <w:sz w:val="24"/>
        </w:rPr>
        <w:t xml:space="preserve">Astra Industries Limited </w:t>
      </w:r>
      <w:r>
        <w:rPr>
          <w:sz w:val="24"/>
        </w:rPr>
        <w:t>v C</w:t>
      </w:r>
      <w:r>
        <w:rPr>
          <w:i/>
          <w:sz w:val="24"/>
        </w:rPr>
        <w:t xml:space="preserve">hamburuka </w:t>
      </w:r>
      <w:r>
        <w:rPr>
          <w:sz w:val="24"/>
        </w:rPr>
        <w:t>SC27-12 at pg 2, the court remarked t</w:t>
      </w:r>
      <w:r>
        <w:rPr>
          <w:sz w:val="24"/>
        </w:rPr>
        <w:t>hat,</w:t>
      </w:r>
    </w:p>
    <w:p w:rsidR="00C64337" w:rsidRDefault="00EA08E6">
      <w:pPr>
        <w:pStyle w:val="BodyText"/>
        <w:spacing w:line="360" w:lineRule="auto"/>
        <w:ind w:left="1735" w:right="18"/>
        <w:jc w:val="both"/>
      </w:pPr>
      <w:r>
        <w:t>“The position is now settled in our law that in civil proceedings a party who makes a positive allegation bears the burden to prove such allegation. This position has been affirmed by this Court. In Book v Davidson 1988 (1) ZLR 365 (S) at 384 B-F, DUM</w:t>
      </w:r>
      <w:r>
        <w:t>BUTSHENA CJ quoted with approval the words of Potgieter AJA in Mobil Oil Southern Africa (Pvt) Ltd v Mechin 1965 (2) SA 706 AD at 711 E-G:</w:t>
      </w:r>
    </w:p>
    <w:p w:rsidR="00C64337" w:rsidRDefault="00C64337">
      <w:pPr>
        <w:pStyle w:val="BodyText"/>
        <w:spacing w:line="360" w:lineRule="auto"/>
        <w:jc w:val="both"/>
        <w:sectPr w:rsidR="00C64337">
          <w:pgSz w:w="11910" w:h="16840"/>
          <w:pgMar w:top="1240" w:right="1417" w:bottom="1200" w:left="425" w:header="751" w:footer="1000" w:gutter="0"/>
          <w:cols w:space="720"/>
        </w:sectPr>
      </w:pPr>
    </w:p>
    <w:p w:rsidR="00C64337" w:rsidRDefault="00EA08E6">
      <w:pPr>
        <w:pStyle w:val="BodyText"/>
        <w:spacing w:before="198" w:line="360" w:lineRule="auto"/>
        <w:ind w:left="1735" w:right="28"/>
        <w:jc w:val="both"/>
      </w:pPr>
      <w:r>
        <w:t>“The general principle governing the determination of the incidence of the onus is the one stated in the Corpus luris simper necessitasprobandiincumbitilli qui agit. In other words he who seeks a remedy must prove the grounds therefore.”</w:t>
      </w:r>
    </w:p>
    <w:p w:rsidR="00C64337" w:rsidRDefault="00C64337">
      <w:pPr>
        <w:pStyle w:val="BodyText"/>
        <w:spacing w:before="138"/>
      </w:pPr>
    </w:p>
    <w:p w:rsidR="00C64337" w:rsidRDefault="00EA08E6">
      <w:pPr>
        <w:pStyle w:val="BodyText"/>
        <w:spacing w:before="1" w:line="360" w:lineRule="auto"/>
        <w:ind w:left="1015" w:right="23" w:firstLine="60"/>
        <w:jc w:val="both"/>
      </w:pPr>
      <w:r>
        <w:t xml:space="preserve">A reading of the </w:t>
      </w:r>
      <w:r>
        <w:t>record confirms that the committee fully considered the evidence before issuing its findings. Considering all the issues addressed above, this Appeal lacks merit in its entirety and it ought to fail.</w:t>
      </w:r>
    </w:p>
    <w:p w:rsidR="00C64337" w:rsidRDefault="00C64337">
      <w:pPr>
        <w:pStyle w:val="BodyText"/>
        <w:spacing w:before="138"/>
      </w:pPr>
    </w:p>
    <w:p w:rsidR="00C64337" w:rsidRDefault="00EA08E6">
      <w:pPr>
        <w:ind w:left="1015"/>
        <w:rPr>
          <w:b/>
          <w:sz w:val="24"/>
        </w:rPr>
      </w:pPr>
      <w:r>
        <w:rPr>
          <w:b/>
          <w:spacing w:val="-2"/>
          <w:sz w:val="24"/>
        </w:rPr>
        <w:t>DISPOSITION</w:t>
      </w:r>
    </w:p>
    <w:p w:rsidR="00C64337" w:rsidRDefault="00EA08E6">
      <w:pPr>
        <w:pStyle w:val="BodyText"/>
        <w:spacing w:before="137" w:line="360" w:lineRule="auto"/>
        <w:ind w:left="1015" w:right="19" w:firstLine="719"/>
        <w:jc w:val="both"/>
      </w:pPr>
      <w:r>
        <w:t>In</w:t>
      </w:r>
      <w:r>
        <w:rPr>
          <w:spacing w:val="-9"/>
        </w:rPr>
        <w:t xml:space="preserve"> </w:t>
      </w:r>
      <w:r>
        <w:t>the</w:t>
      </w:r>
      <w:r>
        <w:rPr>
          <w:spacing w:val="-9"/>
        </w:rPr>
        <w:t xml:space="preserve"> </w:t>
      </w:r>
      <w:r>
        <w:t>result,</w:t>
      </w:r>
      <w:r>
        <w:rPr>
          <w:spacing w:val="-8"/>
        </w:rPr>
        <w:t xml:space="preserve"> </w:t>
      </w:r>
      <w:r>
        <w:t>and</w:t>
      </w:r>
      <w:r>
        <w:rPr>
          <w:spacing w:val="-8"/>
        </w:rPr>
        <w:t xml:space="preserve"> </w:t>
      </w:r>
      <w:r>
        <w:t>having</w:t>
      </w:r>
      <w:r>
        <w:rPr>
          <w:spacing w:val="-5"/>
        </w:rPr>
        <w:t xml:space="preserve"> </w:t>
      </w:r>
      <w:r>
        <w:t>considered</w:t>
      </w:r>
      <w:r>
        <w:rPr>
          <w:spacing w:val="-8"/>
        </w:rPr>
        <w:t xml:space="preserve"> </w:t>
      </w:r>
      <w:r>
        <w:t>the</w:t>
      </w:r>
      <w:r>
        <w:rPr>
          <w:spacing w:val="-9"/>
        </w:rPr>
        <w:t xml:space="preserve"> </w:t>
      </w:r>
      <w:r>
        <w:t>to</w:t>
      </w:r>
      <w:r>
        <w:t>tality</w:t>
      </w:r>
      <w:r>
        <w:rPr>
          <w:spacing w:val="-8"/>
        </w:rPr>
        <w:t xml:space="preserve"> </w:t>
      </w:r>
      <w:r>
        <w:t>of</w:t>
      </w:r>
      <w:r>
        <w:rPr>
          <w:spacing w:val="-7"/>
        </w:rPr>
        <w:t xml:space="preserve"> </w:t>
      </w:r>
      <w:r>
        <w:t>the</w:t>
      </w:r>
      <w:r>
        <w:rPr>
          <w:spacing w:val="-9"/>
        </w:rPr>
        <w:t xml:space="preserve"> </w:t>
      </w:r>
      <w:r>
        <w:t>evidence</w:t>
      </w:r>
      <w:r>
        <w:rPr>
          <w:spacing w:val="-7"/>
        </w:rPr>
        <w:t xml:space="preserve"> </w:t>
      </w:r>
      <w:r>
        <w:t>and</w:t>
      </w:r>
      <w:r>
        <w:rPr>
          <w:spacing w:val="-8"/>
        </w:rPr>
        <w:t xml:space="preserve"> </w:t>
      </w:r>
      <w:r>
        <w:t>the</w:t>
      </w:r>
      <w:r>
        <w:rPr>
          <w:spacing w:val="-9"/>
        </w:rPr>
        <w:t xml:space="preserve"> </w:t>
      </w:r>
      <w:r>
        <w:t>applicable</w:t>
      </w:r>
      <w:r>
        <w:rPr>
          <w:spacing w:val="-9"/>
        </w:rPr>
        <w:t xml:space="preserve"> </w:t>
      </w:r>
      <w:r>
        <w:t>legal principles, the Court finds no basis upon which to interfere with the decision of the</w:t>
      </w:r>
      <w:r>
        <w:rPr>
          <w:spacing w:val="-2"/>
        </w:rPr>
        <w:t xml:space="preserve"> </w:t>
      </w:r>
      <w:r>
        <w:t>Appeals Committee.</w:t>
      </w:r>
      <w:r>
        <w:rPr>
          <w:spacing w:val="-15"/>
        </w:rPr>
        <w:t xml:space="preserve"> </w:t>
      </w:r>
      <w:r>
        <w:t>The</w:t>
      </w:r>
      <w:r>
        <w:rPr>
          <w:spacing w:val="-12"/>
        </w:rPr>
        <w:t xml:space="preserve"> </w:t>
      </w:r>
      <w:r>
        <w:t>appellant’s</w:t>
      </w:r>
      <w:r>
        <w:rPr>
          <w:spacing w:val="-10"/>
        </w:rPr>
        <w:t xml:space="preserve"> </w:t>
      </w:r>
      <w:r>
        <w:t>failure</w:t>
      </w:r>
      <w:r>
        <w:rPr>
          <w:spacing w:val="-12"/>
        </w:rPr>
        <w:t xml:space="preserve"> </w:t>
      </w:r>
      <w:r>
        <w:t>to</w:t>
      </w:r>
      <w:r>
        <w:rPr>
          <w:spacing w:val="-10"/>
        </w:rPr>
        <w:t xml:space="preserve"> </w:t>
      </w:r>
      <w:r>
        <w:t>report</w:t>
      </w:r>
      <w:r>
        <w:rPr>
          <w:spacing w:val="-11"/>
        </w:rPr>
        <w:t xml:space="preserve"> </w:t>
      </w:r>
      <w:r>
        <w:t>to</w:t>
      </w:r>
      <w:r>
        <w:rPr>
          <w:spacing w:val="-10"/>
        </w:rPr>
        <w:t xml:space="preserve"> </w:t>
      </w:r>
      <w:r>
        <w:t>the</w:t>
      </w:r>
      <w:r>
        <w:rPr>
          <w:spacing w:val="-9"/>
        </w:rPr>
        <w:t xml:space="preserve"> </w:t>
      </w:r>
      <w:r>
        <w:t>Managing</w:t>
      </w:r>
      <w:r>
        <w:rPr>
          <w:spacing w:val="-10"/>
        </w:rPr>
        <w:t xml:space="preserve"> </w:t>
      </w:r>
      <w:r>
        <w:t>Director</w:t>
      </w:r>
      <w:r>
        <w:rPr>
          <w:spacing w:val="-11"/>
        </w:rPr>
        <w:t xml:space="preserve"> </w:t>
      </w:r>
      <w:r>
        <w:t>when</w:t>
      </w:r>
      <w:r>
        <w:rPr>
          <w:spacing w:val="-8"/>
        </w:rPr>
        <w:t xml:space="preserve"> </w:t>
      </w:r>
      <w:r>
        <w:t>instructed</w:t>
      </w:r>
      <w:r>
        <w:rPr>
          <w:spacing w:val="-11"/>
        </w:rPr>
        <w:t xml:space="preserve"> </w:t>
      </w:r>
      <w:r>
        <w:t>to</w:t>
      </w:r>
      <w:r>
        <w:rPr>
          <w:spacing w:val="-10"/>
        </w:rPr>
        <w:t xml:space="preserve"> </w:t>
      </w:r>
      <w:r>
        <w:t>do</w:t>
      </w:r>
      <w:r>
        <w:rPr>
          <w:spacing w:val="-11"/>
        </w:rPr>
        <w:t xml:space="preserve"> </w:t>
      </w:r>
      <w:r>
        <w:t>so constituted clear i</w:t>
      </w:r>
      <w:r>
        <w:t>nsubordination. The findings of gross incompetence and gross negligence were similarly supported by the evidence, particularly in light of the repeated inspections and the appellant’s failure to remedy defects despite being afforded an opportunity to do so</w:t>
      </w:r>
      <w:r>
        <w:t>. The alleged procedural irregularity relating to deliberations was not substantiated and is contradicted by the record.</w:t>
      </w:r>
    </w:p>
    <w:p w:rsidR="00C64337" w:rsidRDefault="00EA08E6">
      <w:pPr>
        <w:pStyle w:val="BodyText"/>
        <w:spacing w:before="161"/>
        <w:ind w:left="1015"/>
        <w:jc w:val="both"/>
      </w:pPr>
      <w:r>
        <w:t>Accordingly,</w:t>
      </w:r>
      <w:r>
        <w:rPr>
          <w:spacing w:val="-3"/>
        </w:rPr>
        <w:t xml:space="preserve"> </w:t>
      </w:r>
      <w:r>
        <w:t>the</w:t>
      </w:r>
      <w:r>
        <w:rPr>
          <w:spacing w:val="-3"/>
        </w:rPr>
        <w:t xml:space="preserve"> </w:t>
      </w:r>
      <w:r>
        <w:t>appeal</w:t>
      </w:r>
      <w:r>
        <w:rPr>
          <w:spacing w:val="-3"/>
        </w:rPr>
        <w:t xml:space="preserve"> </w:t>
      </w:r>
      <w:r>
        <w:t>is</w:t>
      </w:r>
      <w:r>
        <w:rPr>
          <w:spacing w:val="-3"/>
        </w:rPr>
        <w:t xml:space="preserve"> </w:t>
      </w:r>
      <w:r>
        <w:t>dismissed</w:t>
      </w:r>
      <w:r>
        <w:rPr>
          <w:spacing w:val="-3"/>
        </w:rPr>
        <w:t xml:space="preserve"> </w:t>
      </w:r>
      <w:r>
        <w:t>in</w:t>
      </w:r>
      <w:r>
        <w:rPr>
          <w:spacing w:val="-3"/>
        </w:rPr>
        <w:t xml:space="preserve"> </w:t>
      </w:r>
      <w:r>
        <w:t>its</w:t>
      </w:r>
      <w:r>
        <w:rPr>
          <w:spacing w:val="-3"/>
        </w:rPr>
        <w:t xml:space="preserve"> </w:t>
      </w:r>
      <w:r>
        <w:rPr>
          <w:spacing w:val="-2"/>
        </w:rPr>
        <w:t>entirety.</w:t>
      </w:r>
    </w:p>
    <w:p w:rsidR="00C64337" w:rsidRDefault="00C64337">
      <w:pPr>
        <w:pStyle w:val="BodyText"/>
      </w:pPr>
    </w:p>
    <w:p w:rsidR="00C64337" w:rsidRDefault="00C64337">
      <w:pPr>
        <w:pStyle w:val="BodyText"/>
      </w:pPr>
    </w:p>
    <w:p w:rsidR="00C64337" w:rsidRDefault="00C64337">
      <w:pPr>
        <w:pStyle w:val="BodyText"/>
        <w:spacing w:before="44"/>
      </w:pPr>
    </w:p>
    <w:p w:rsidR="00C64337" w:rsidRDefault="00EA08E6">
      <w:pPr>
        <w:ind w:left="1015"/>
        <w:jc w:val="both"/>
        <w:rPr>
          <w:sz w:val="24"/>
        </w:rPr>
      </w:pPr>
      <w:bookmarkStart w:id="0" w:name="_GoBack"/>
      <w:bookmarkEnd w:id="0"/>
      <w:r>
        <w:rPr>
          <w:i/>
          <w:sz w:val="24"/>
        </w:rPr>
        <w:t>Sadowera</w:t>
      </w:r>
      <w:r>
        <w:rPr>
          <w:i/>
          <w:spacing w:val="-6"/>
          <w:sz w:val="24"/>
        </w:rPr>
        <w:t xml:space="preserve"> </w:t>
      </w:r>
      <w:r>
        <w:rPr>
          <w:i/>
          <w:sz w:val="24"/>
        </w:rPr>
        <w:t>Kuwana</w:t>
      </w:r>
      <w:r>
        <w:rPr>
          <w:sz w:val="24"/>
        </w:rPr>
        <w:t>,</w:t>
      </w:r>
      <w:r>
        <w:rPr>
          <w:spacing w:val="-5"/>
          <w:sz w:val="24"/>
        </w:rPr>
        <w:t xml:space="preserve"> </w:t>
      </w:r>
      <w:r>
        <w:rPr>
          <w:sz w:val="24"/>
        </w:rPr>
        <w:t>applicant’s</w:t>
      </w:r>
      <w:r>
        <w:rPr>
          <w:spacing w:val="-6"/>
          <w:sz w:val="24"/>
        </w:rPr>
        <w:t xml:space="preserve"> </w:t>
      </w:r>
      <w:r>
        <w:rPr>
          <w:sz w:val="24"/>
        </w:rPr>
        <w:t>legal</w:t>
      </w:r>
      <w:r>
        <w:rPr>
          <w:spacing w:val="-5"/>
          <w:sz w:val="24"/>
        </w:rPr>
        <w:t xml:space="preserve"> </w:t>
      </w:r>
      <w:r>
        <w:rPr>
          <w:spacing w:val="-2"/>
          <w:sz w:val="24"/>
        </w:rPr>
        <w:t>practitioners</w:t>
      </w:r>
    </w:p>
    <w:p w:rsidR="00C64337" w:rsidRDefault="00EA08E6">
      <w:pPr>
        <w:pStyle w:val="BodyText"/>
        <w:spacing w:before="54"/>
        <w:rPr>
          <w:sz w:val="20"/>
        </w:rPr>
      </w:pPr>
      <w:r>
        <w:rPr>
          <w:noProof/>
          <w:sz w:val="20"/>
          <w:lang w:val="en-ZW" w:eastAsia="en-ZW"/>
        </w:rPr>
        <mc:AlternateContent>
          <mc:Choice Requires="wps">
            <w:drawing>
              <wp:anchor distT="0" distB="0" distL="0" distR="0" simplePos="0" relativeHeight="487588352" behindDoc="1" locked="0" layoutInCell="1" allowOverlap="1">
                <wp:simplePos x="0" y="0"/>
                <wp:positionH relativeFrom="page">
                  <wp:posOffset>282193</wp:posOffset>
                </wp:positionH>
                <wp:positionV relativeFrom="paragraph">
                  <wp:posOffset>195587</wp:posOffset>
                </wp:positionV>
                <wp:extent cx="4993005" cy="209613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93005" cy="2096135"/>
                        </a:xfrm>
                        <a:prstGeom prst="rect">
                          <a:avLst/>
                        </a:prstGeom>
                      </wps:spPr>
                      <wps:txbx>
                        <w:txbxContent>
                          <w:p w:rsidR="00C64337" w:rsidRDefault="00EA08E6">
                            <w:pPr>
                              <w:spacing w:line="266" w:lineRule="exact"/>
                              <w:ind w:right="508"/>
                              <w:jc w:val="center"/>
                              <w:rPr>
                                <w:sz w:val="24"/>
                              </w:rPr>
                            </w:pPr>
                            <w:r>
                              <w:rPr>
                                <w:i/>
                                <w:sz w:val="24"/>
                              </w:rPr>
                              <w:t>Zvimba</w:t>
                            </w:r>
                            <w:r>
                              <w:rPr>
                                <w:i/>
                                <w:spacing w:val="-5"/>
                                <w:sz w:val="24"/>
                              </w:rPr>
                              <w:t xml:space="preserve"> </w:t>
                            </w:r>
                            <w:r>
                              <w:rPr>
                                <w:i/>
                                <w:sz w:val="24"/>
                              </w:rPr>
                              <w:t>Law</w:t>
                            </w:r>
                            <w:r>
                              <w:rPr>
                                <w:i/>
                                <w:spacing w:val="-4"/>
                                <w:sz w:val="24"/>
                              </w:rPr>
                              <w:t xml:space="preserve"> </w:t>
                            </w:r>
                            <w:r>
                              <w:rPr>
                                <w:i/>
                                <w:sz w:val="24"/>
                              </w:rPr>
                              <w:t>Chambers</w:t>
                            </w:r>
                            <w:r>
                              <w:rPr>
                                <w:sz w:val="24"/>
                              </w:rPr>
                              <w:t>,</w:t>
                            </w:r>
                            <w:r>
                              <w:rPr>
                                <w:spacing w:val="-4"/>
                                <w:sz w:val="24"/>
                              </w:rPr>
                              <w:t xml:space="preserve"> </w:t>
                            </w:r>
                            <w:r>
                              <w:rPr>
                                <w:sz w:val="24"/>
                              </w:rPr>
                              <w:t>respondent’s</w:t>
                            </w:r>
                            <w:r>
                              <w:rPr>
                                <w:spacing w:val="-5"/>
                                <w:sz w:val="24"/>
                              </w:rPr>
                              <w:t xml:space="preserve"> </w:t>
                            </w:r>
                            <w:r>
                              <w:rPr>
                                <w:sz w:val="24"/>
                              </w:rPr>
                              <w:t>legal</w:t>
                            </w:r>
                            <w:r>
                              <w:rPr>
                                <w:spacing w:val="-4"/>
                                <w:sz w:val="24"/>
                              </w:rPr>
                              <w:t xml:space="preserve"> </w:t>
                            </w:r>
                            <w:r>
                              <w:rPr>
                                <w:spacing w:val="-2"/>
                                <w:sz w:val="24"/>
                              </w:rPr>
                              <w:t>practitioners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6" type="#_x0000_t202" style="position:absolute;margin-left:22.2pt;margin-top:15.4pt;width:393.15pt;height:165.0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" filled="f" stroked="f">
                <v:path arrowok="t"/>
                <v:textbox inset="0,0,0,0">
                  <w:txbxContent>
                    <w:p w:rsidR="00C64337" w:rsidRDefault="00EA08E6">
                      <w:pPr>
                        <w:spacing w:line="266" w:lineRule="exact"/>
                        <w:ind w:right="508"/>
                        <w:jc w:val="center"/>
                        <w:rPr>
                          <w:sz w:val="24"/>
                        </w:rPr>
                      </w:pPr>
                      <w:r>
                        <w:rPr>
                          <w:i/>
                          <w:sz w:val="24"/>
                        </w:rPr>
                        <w:t>Zvimba</w:t>
                      </w:r>
                      <w:r>
                        <w:rPr>
                          <w:i/>
                          <w:spacing w:val="-5"/>
                          <w:sz w:val="24"/>
                        </w:rPr>
                        <w:t xml:space="preserve"> </w:t>
                      </w:r>
                      <w:r>
                        <w:rPr>
                          <w:i/>
                          <w:sz w:val="24"/>
                        </w:rPr>
                        <w:t>Law</w:t>
                      </w:r>
                      <w:r>
                        <w:rPr>
                          <w:i/>
                          <w:spacing w:val="-4"/>
                          <w:sz w:val="24"/>
                        </w:rPr>
                        <w:t xml:space="preserve"> </w:t>
                      </w:r>
                      <w:r>
                        <w:rPr>
                          <w:i/>
                          <w:sz w:val="24"/>
                        </w:rPr>
                        <w:t>Chambers</w:t>
                      </w:r>
                      <w:r>
                        <w:rPr>
                          <w:sz w:val="24"/>
                        </w:rPr>
                        <w:t>,</w:t>
                      </w:r>
                      <w:r>
                        <w:rPr>
                          <w:spacing w:val="-4"/>
                          <w:sz w:val="24"/>
                        </w:rPr>
                        <w:t xml:space="preserve"> </w:t>
                      </w:r>
                      <w:r>
                        <w:rPr>
                          <w:sz w:val="24"/>
                        </w:rPr>
                        <w:t>respondent’s</w:t>
                      </w:r>
                      <w:r>
                        <w:rPr>
                          <w:spacing w:val="-5"/>
                          <w:sz w:val="24"/>
                        </w:rPr>
                        <w:t xml:space="preserve"> </w:t>
                      </w:r>
                      <w:r>
                        <w:rPr>
                          <w:sz w:val="24"/>
                        </w:rPr>
                        <w:t>legal</w:t>
                      </w:r>
                      <w:r>
                        <w:rPr>
                          <w:spacing w:val="-4"/>
                          <w:sz w:val="24"/>
                        </w:rPr>
                        <w:t xml:space="preserve"> </w:t>
                      </w:r>
                      <w:r>
                        <w:rPr>
                          <w:spacing w:val="-2"/>
                          <w:sz w:val="24"/>
                        </w:rPr>
                        <w:t>practitioners</w:t>
                      </w:r>
                    </w:p>
                  </w:txbxContent>
                </v:textbox>
                <w10:wrap type="topAndBottom" anchorx="page"/>
              </v:shape>
            </w:pict>
          </mc:Fallback>
        </mc:AlternateContent>
      </w:r>
    </w:p>
    <w:sectPr w:rsidR="00C64337">
      <w:headerReference w:type="default" r:id="rId10"/>
      <w:footerReference w:type="default" r:id="rId11"/>
      <w:pgSz w:w="11910" w:h="16840"/>
      <w:pgMar w:top="1240" w:right="1417" w:bottom="1200" w:left="425" w:header="751" w:footer="100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8E6" w:rsidRDefault="00EA08E6">
      <w:r>
        <w:separator/>
      </w:r>
    </w:p>
  </w:endnote>
  <w:endnote w:type="continuationSeparator" w:id="0">
    <w:p w:rsidR="00EA08E6" w:rsidRDefault="00EA0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337" w:rsidRDefault="00EA08E6">
    <w:pPr>
      <w:pStyle w:val="BodyText"/>
      <w:spacing w:line="14" w:lineRule="auto"/>
      <w:rPr>
        <w:sz w:val="20"/>
      </w:rPr>
    </w:pPr>
    <w:r>
      <w:rPr>
        <w:noProof/>
        <w:sz w:val="20"/>
        <w:lang w:val="en-ZW" w:eastAsia="en-ZW"/>
      </w:rPr>
      <mc:AlternateContent>
        <mc:Choice Requires="wps">
          <w:drawing>
            <wp:anchor distT="0" distB="0" distL="0" distR="0" simplePos="0" relativeHeight="487467008" behindDoc="1" locked="0" layoutInCell="1" allowOverlap="1">
              <wp:simplePos x="0" y="0"/>
              <wp:positionH relativeFrom="page">
                <wp:posOffset>6539230</wp:posOffset>
              </wp:positionH>
              <wp:positionV relativeFrom="page">
                <wp:posOffset>9917379</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C64337" w:rsidRDefault="00EA08E6">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noProof/>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514.9pt;margin-top:780.9pt;width:12.6pt;height:13.05pt;z-index:-158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" filled="f" stroked="f">
              <v:path arrowok="t"/>
              <v:textbox inset="0,0,0,0">
                <w:txbxContent>
                  <w:p w:rsidR="00C64337" w:rsidRDefault="00EA08E6">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noProof/>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337" w:rsidRDefault="00EA08E6">
    <w:pPr>
      <w:pStyle w:val="BodyText"/>
      <w:spacing w:line="14" w:lineRule="auto"/>
      <w:rPr>
        <w:sz w:val="20"/>
      </w:rPr>
    </w:pPr>
    <w:r>
      <w:rPr>
        <w:noProof/>
        <w:sz w:val="20"/>
        <w:lang w:val="en-ZW" w:eastAsia="en-ZW"/>
      </w:rPr>
      <mc:AlternateContent>
        <mc:Choice Requires="wps">
          <w:drawing>
            <wp:anchor distT="0" distB="0" distL="0" distR="0" simplePos="0" relativeHeight="487468032" behindDoc="1" locked="0" layoutInCell="1" allowOverlap="1">
              <wp:simplePos x="0" y="0"/>
              <wp:positionH relativeFrom="page">
                <wp:posOffset>6539230</wp:posOffset>
              </wp:positionH>
              <wp:positionV relativeFrom="page">
                <wp:posOffset>9917379</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C64337" w:rsidRDefault="00EA08E6">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53AC3">
                            <w:rPr>
                              <w:rFonts w:ascii="Calibri"/>
                              <w:noProof/>
                              <w:spacing w:val="-10"/>
                            </w:rPr>
                            <w:t>9</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9" type="#_x0000_t202" style="position:absolute;margin-left:514.9pt;margin-top:780.9pt;width:12.6pt;height:13.05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" filled="f" stroked="f">
              <v:path arrowok="t"/>
              <v:textbox inset="0,0,0,0">
                <w:txbxContent>
                  <w:p w:rsidR="00C64337" w:rsidRDefault="00EA08E6">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53AC3">
                      <w:rPr>
                        <w:rFonts w:ascii="Calibri"/>
                        <w:noProof/>
                        <w:spacing w:val="-10"/>
                      </w:rPr>
                      <w:t>9</w:t>
                    </w:r>
                    <w:r>
                      <w:rPr>
                        <w:rFonts w:ascii="Calibri"/>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337" w:rsidRDefault="00EA08E6">
    <w:pPr>
      <w:pStyle w:val="BodyText"/>
      <w:spacing w:line="14" w:lineRule="auto"/>
      <w:rPr>
        <w:sz w:val="20"/>
      </w:rPr>
    </w:pPr>
    <w:r>
      <w:rPr>
        <w:noProof/>
        <w:sz w:val="20"/>
        <w:lang w:val="en-ZW" w:eastAsia="en-ZW"/>
      </w:rPr>
      <mc:AlternateContent>
        <mc:Choice Requires="wps">
          <w:drawing>
            <wp:anchor distT="0" distB="0" distL="0" distR="0" simplePos="0" relativeHeight="487469056" behindDoc="1" locked="0" layoutInCell="1" allowOverlap="1">
              <wp:simplePos x="0" y="0"/>
              <wp:positionH relativeFrom="page">
                <wp:posOffset>6493002</wp:posOffset>
              </wp:positionH>
              <wp:positionV relativeFrom="page">
                <wp:posOffset>9917379</wp:posOffset>
              </wp:positionV>
              <wp:extent cx="16891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C64337" w:rsidRDefault="00EA08E6">
                          <w:pPr>
                            <w:spacing w:line="245" w:lineRule="exact"/>
                            <w:ind w:left="20"/>
                            <w:rPr>
                              <w:rFonts w:ascii="Calibri"/>
                            </w:rPr>
                          </w:pPr>
                          <w:r>
                            <w:rPr>
                              <w:rFonts w:ascii="Calibri"/>
                              <w:spacing w:val="-5"/>
                            </w:rPr>
                            <w:t>10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1" type="#_x0000_t202" style="position:absolute;margin-left:511.25pt;margin-top:780.9pt;width:13.3pt;height:13.05pt;z-index:-1584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" filled="f" stroked="f">
              <v:path arrowok="t"/>
              <v:textbox inset="0,0,0,0">
                <w:txbxContent>
                  <w:p w:rsidR="00C64337" w:rsidRDefault="00EA08E6">
                    <w:pPr>
                      <w:spacing w:line="245" w:lineRule="exact"/>
                      <w:ind w:left="20"/>
                      <w:rPr>
                        <w:rFonts w:ascii="Calibri"/>
                      </w:rPr>
                    </w:pPr>
                    <w:r>
                      <w:rPr>
                        <w:rFonts w:ascii="Calibri"/>
                        <w:spacing w:val="-5"/>
                      </w:rPr>
                      <w:t>10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8E6" w:rsidRDefault="00EA08E6">
      <w:r>
        <w:separator/>
      </w:r>
    </w:p>
  </w:footnote>
  <w:footnote w:type="continuationSeparator" w:id="0">
    <w:p w:rsidR="00EA08E6" w:rsidRDefault="00EA08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337" w:rsidRDefault="00EA08E6">
    <w:pPr>
      <w:pStyle w:val="BodyText"/>
      <w:spacing w:line="14" w:lineRule="auto"/>
      <w:rPr>
        <w:sz w:val="20"/>
      </w:rPr>
    </w:pPr>
    <w:r>
      <w:rPr>
        <w:noProof/>
        <w:sz w:val="20"/>
        <w:lang w:val="en-ZW" w:eastAsia="en-ZW"/>
      </w:rPr>
      <mc:AlternateContent>
        <mc:Choice Requires="wps">
          <w:drawing>
            <wp:anchor distT="0" distB="0" distL="0" distR="0" simplePos="0" relativeHeight="487467520" behindDoc="1" locked="0" layoutInCell="1" allowOverlap="1">
              <wp:simplePos x="0" y="0"/>
              <wp:positionH relativeFrom="page">
                <wp:posOffset>4916804</wp:posOffset>
              </wp:positionH>
              <wp:positionV relativeFrom="page">
                <wp:posOffset>464311</wp:posOffset>
              </wp:positionV>
              <wp:extent cx="1729739" cy="3365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739" cy="336550"/>
                      </a:xfrm>
                      <a:prstGeom prst="rect">
                        <a:avLst/>
                      </a:prstGeom>
                    </wps:spPr>
                    <wps:txbx>
                      <w:txbxContent>
                        <w:p w:rsidR="00C64337" w:rsidRDefault="00EA08E6">
                          <w:pPr>
                            <w:spacing w:line="245" w:lineRule="exact"/>
                            <w:ind w:left="20"/>
                            <w:rPr>
                              <w:rFonts w:ascii="Calibri"/>
                            </w:rPr>
                          </w:pPr>
                          <w:r>
                            <w:rPr>
                              <w:rFonts w:ascii="Calibri"/>
                              <w:color w:val="4471C4"/>
                            </w:rPr>
                            <w:t>JUDGMENT</w:t>
                          </w:r>
                          <w:r>
                            <w:rPr>
                              <w:rFonts w:ascii="Calibri"/>
                              <w:color w:val="4471C4"/>
                              <w:spacing w:val="-6"/>
                            </w:rPr>
                            <w:t xml:space="preserve"> </w:t>
                          </w:r>
                          <w:r>
                            <w:rPr>
                              <w:rFonts w:ascii="Calibri"/>
                              <w:color w:val="4471C4"/>
                            </w:rPr>
                            <w:t>NUMBER</w:t>
                          </w:r>
                          <w:r>
                            <w:rPr>
                              <w:rFonts w:ascii="Calibri"/>
                              <w:color w:val="4471C4"/>
                              <w:spacing w:val="-7"/>
                            </w:rPr>
                            <w:t xml:space="preserve"> </w:t>
                          </w:r>
                          <w:r>
                            <w:rPr>
                              <w:rFonts w:ascii="Calibri"/>
                              <w:color w:val="4471C4"/>
                              <w:spacing w:val="-2"/>
                            </w:rPr>
                            <w:t>LC/H/25</w:t>
                          </w:r>
                        </w:p>
                        <w:p w:rsidR="00C64337" w:rsidRDefault="00EA08E6">
                          <w:pPr>
                            <w:ind w:left="70"/>
                            <w:rPr>
                              <w:rFonts w:ascii="Calibri"/>
                            </w:rPr>
                          </w:pPr>
                          <w:r>
                            <w:rPr>
                              <w:rFonts w:ascii="Calibri"/>
                              <w:color w:val="4471C4"/>
                            </w:rPr>
                            <w:t>CASE</w:t>
                          </w:r>
                          <w:r>
                            <w:rPr>
                              <w:rFonts w:ascii="Calibri"/>
                              <w:color w:val="4471C4"/>
                              <w:spacing w:val="-6"/>
                            </w:rPr>
                            <w:t xml:space="preserve"> </w:t>
                          </w:r>
                          <w:r>
                            <w:rPr>
                              <w:rFonts w:ascii="Calibri"/>
                              <w:color w:val="4471C4"/>
                            </w:rPr>
                            <w:t>NUMBER</w:t>
                          </w:r>
                          <w:r>
                            <w:rPr>
                              <w:rFonts w:ascii="Calibri"/>
                              <w:color w:val="4471C4"/>
                              <w:spacing w:val="-4"/>
                            </w:rPr>
                            <w:t xml:space="preserve"> </w:t>
                          </w:r>
                          <w:r>
                            <w:rPr>
                              <w:rFonts w:ascii="Calibri"/>
                              <w:color w:val="4471C4"/>
                              <w:spacing w:val="-2"/>
                            </w:rPr>
                            <w:t>LC/H/425/25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387.15pt;margin-top:36.55pt;width:136.2pt;height:26.5pt;z-index:-158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" filled="f" stroked="f">
              <v:path arrowok="t"/>
              <v:textbox inset="0,0,0,0">
                <w:txbxContent>
                  <w:p w:rsidR="00C64337" w:rsidRDefault="00EA08E6">
                    <w:pPr>
                      <w:spacing w:line="245" w:lineRule="exact"/>
                      <w:ind w:left="20"/>
                      <w:rPr>
                        <w:rFonts w:ascii="Calibri"/>
                      </w:rPr>
                    </w:pPr>
                    <w:r>
                      <w:rPr>
                        <w:rFonts w:ascii="Calibri"/>
                        <w:color w:val="4471C4"/>
                      </w:rPr>
                      <w:t>JUDGMENT</w:t>
                    </w:r>
                    <w:r>
                      <w:rPr>
                        <w:rFonts w:ascii="Calibri"/>
                        <w:color w:val="4471C4"/>
                        <w:spacing w:val="-6"/>
                      </w:rPr>
                      <w:t xml:space="preserve"> </w:t>
                    </w:r>
                    <w:r>
                      <w:rPr>
                        <w:rFonts w:ascii="Calibri"/>
                        <w:color w:val="4471C4"/>
                      </w:rPr>
                      <w:t>NUMBER</w:t>
                    </w:r>
                    <w:r>
                      <w:rPr>
                        <w:rFonts w:ascii="Calibri"/>
                        <w:color w:val="4471C4"/>
                        <w:spacing w:val="-7"/>
                      </w:rPr>
                      <w:t xml:space="preserve"> </w:t>
                    </w:r>
                    <w:r>
                      <w:rPr>
                        <w:rFonts w:ascii="Calibri"/>
                        <w:color w:val="4471C4"/>
                        <w:spacing w:val="-2"/>
                      </w:rPr>
                      <w:t>LC/H/25</w:t>
                    </w:r>
                  </w:p>
                  <w:p w:rsidR="00C64337" w:rsidRDefault="00EA08E6">
                    <w:pPr>
                      <w:ind w:left="70"/>
                      <w:rPr>
                        <w:rFonts w:ascii="Calibri"/>
                      </w:rPr>
                    </w:pPr>
                    <w:r>
                      <w:rPr>
                        <w:rFonts w:ascii="Calibri"/>
                        <w:color w:val="4471C4"/>
                      </w:rPr>
                      <w:t>CASE</w:t>
                    </w:r>
                    <w:r>
                      <w:rPr>
                        <w:rFonts w:ascii="Calibri"/>
                        <w:color w:val="4471C4"/>
                        <w:spacing w:val="-6"/>
                      </w:rPr>
                      <w:t xml:space="preserve"> </w:t>
                    </w:r>
                    <w:r>
                      <w:rPr>
                        <w:rFonts w:ascii="Calibri"/>
                        <w:color w:val="4471C4"/>
                      </w:rPr>
                      <w:t>NUMBER</w:t>
                    </w:r>
                    <w:r>
                      <w:rPr>
                        <w:rFonts w:ascii="Calibri"/>
                        <w:color w:val="4471C4"/>
                        <w:spacing w:val="-4"/>
                      </w:rPr>
                      <w:t xml:space="preserve"> </w:t>
                    </w:r>
                    <w:r>
                      <w:rPr>
                        <w:rFonts w:ascii="Calibri"/>
                        <w:color w:val="4471C4"/>
                        <w:spacing w:val="-2"/>
                      </w:rPr>
                      <w:t>LC/H/425/25</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337" w:rsidRDefault="00EA08E6">
    <w:pPr>
      <w:pStyle w:val="BodyText"/>
      <w:spacing w:line="14" w:lineRule="auto"/>
      <w:rPr>
        <w:sz w:val="20"/>
      </w:rPr>
    </w:pPr>
    <w:r>
      <w:rPr>
        <w:noProof/>
        <w:sz w:val="20"/>
        <w:lang w:val="en-ZW" w:eastAsia="en-ZW"/>
      </w:rPr>
      <mc:AlternateContent>
        <mc:Choice Requires="wps">
          <w:drawing>
            <wp:anchor distT="0" distB="0" distL="0" distR="0" simplePos="0" relativeHeight="487468544" behindDoc="1" locked="0" layoutInCell="1" allowOverlap="1">
              <wp:simplePos x="0" y="0"/>
              <wp:positionH relativeFrom="page">
                <wp:posOffset>4916804</wp:posOffset>
              </wp:positionH>
              <wp:positionV relativeFrom="page">
                <wp:posOffset>464311</wp:posOffset>
              </wp:positionV>
              <wp:extent cx="1729739" cy="3365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739" cy="336550"/>
                      </a:xfrm>
                      <a:prstGeom prst="rect">
                        <a:avLst/>
                      </a:prstGeom>
                    </wps:spPr>
                    <wps:txbx>
                      <w:txbxContent>
                        <w:p w:rsidR="00C64337" w:rsidRDefault="00EA08E6">
                          <w:pPr>
                            <w:spacing w:line="245" w:lineRule="exact"/>
                            <w:ind w:left="20"/>
                            <w:rPr>
                              <w:rFonts w:ascii="Calibri"/>
                            </w:rPr>
                          </w:pPr>
                          <w:r>
                            <w:rPr>
                              <w:rFonts w:ascii="Calibri"/>
                              <w:color w:val="4471C4"/>
                            </w:rPr>
                            <w:t>JUDGMENT</w:t>
                          </w:r>
                          <w:r>
                            <w:rPr>
                              <w:rFonts w:ascii="Calibri"/>
                              <w:color w:val="4471C4"/>
                              <w:spacing w:val="-6"/>
                            </w:rPr>
                            <w:t xml:space="preserve"> </w:t>
                          </w:r>
                          <w:r>
                            <w:rPr>
                              <w:rFonts w:ascii="Calibri"/>
                              <w:color w:val="4471C4"/>
                            </w:rPr>
                            <w:t>NUMBER</w:t>
                          </w:r>
                          <w:r>
                            <w:rPr>
                              <w:rFonts w:ascii="Calibri"/>
                              <w:color w:val="4471C4"/>
                              <w:spacing w:val="-7"/>
                            </w:rPr>
                            <w:t xml:space="preserve"> </w:t>
                          </w:r>
                          <w:r>
                            <w:rPr>
                              <w:rFonts w:ascii="Calibri"/>
                              <w:color w:val="4471C4"/>
                              <w:spacing w:val="-2"/>
                            </w:rPr>
                            <w:t>LC/H/25</w:t>
                          </w:r>
                        </w:p>
                        <w:p w:rsidR="00C64337" w:rsidRDefault="00EA08E6">
                          <w:pPr>
                            <w:ind w:left="70"/>
                            <w:rPr>
                              <w:rFonts w:ascii="Calibri"/>
                            </w:rPr>
                          </w:pPr>
                          <w:r>
                            <w:rPr>
                              <w:rFonts w:ascii="Calibri"/>
                              <w:color w:val="4471C4"/>
                            </w:rPr>
                            <w:t>CASE</w:t>
                          </w:r>
                          <w:r>
                            <w:rPr>
                              <w:rFonts w:ascii="Calibri"/>
                              <w:color w:val="4471C4"/>
                              <w:spacing w:val="-6"/>
                            </w:rPr>
                            <w:t xml:space="preserve"> </w:t>
                          </w:r>
                          <w:r>
                            <w:rPr>
                              <w:rFonts w:ascii="Calibri"/>
                              <w:color w:val="4471C4"/>
                            </w:rPr>
                            <w:t>NUMBER</w:t>
                          </w:r>
                          <w:r>
                            <w:rPr>
                              <w:rFonts w:ascii="Calibri"/>
                              <w:color w:val="4471C4"/>
                              <w:spacing w:val="-4"/>
                            </w:rPr>
                            <w:t xml:space="preserve"> </w:t>
                          </w:r>
                          <w:r>
                            <w:rPr>
                              <w:rFonts w:ascii="Calibri"/>
                              <w:color w:val="4471C4"/>
                              <w:spacing w:val="-2"/>
                            </w:rPr>
                            <w:t>LC/H/425/25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30" type="#_x0000_t202" style="position:absolute;margin-left:387.15pt;margin-top:36.55pt;width:136.2pt;height:26.5pt;z-index:-1584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" filled="f" stroked="f">
              <v:path arrowok="t"/>
              <v:textbox inset="0,0,0,0">
                <w:txbxContent>
                  <w:p w:rsidR="00C64337" w:rsidRDefault="00EA08E6">
                    <w:pPr>
                      <w:spacing w:line="245" w:lineRule="exact"/>
                      <w:ind w:left="20"/>
                      <w:rPr>
                        <w:rFonts w:ascii="Calibri"/>
                      </w:rPr>
                    </w:pPr>
                    <w:r>
                      <w:rPr>
                        <w:rFonts w:ascii="Calibri"/>
                        <w:color w:val="4471C4"/>
                      </w:rPr>
                      <w:t>JUDGMENT</w:t>
                    </w:r>
                    <w:r>
                      <w:rPr>
                        <w:rFonts w:ascii="Calibri"/>
                        <w:color w:val="4471C4"/>
                        <w:spacing w:val="-6"/>
                      </w:rPr>
                      <w:t xml:space="preserve"> </w:t>
                    </w:r>
                    <w:r>
                      <w:rPr>
                        <w:rFonts w:ascii="Calibri"/>
                        <w:color w:val="4471C4"/>
                      </w:rPr>
                      <w:t>NUMBER</w:t>
                    </w:r>
                    <w:r>
                      <w:rPr>
                        <w:rFonts w:ascii="Calibri"/>
                        <w:color w:val="4471C4"/>
                        <w:spacing w:val="-7"/>
                      </w:rPr>
                      <w:t xml:space="preserve"> </w:t>
                    </w:r>
                    <w:r>
                      <w:rPr>
                        <w:rFonts w:ascii="Calibri"/>
                        <w:color w:val="4471C4"/>
                        <w:spacing w:val="-2"/>
                      </w:rPr>
                      <w:t>LC/H/25</w:t>
                    </w:r>
                  </w:p>
                  <w:p w:rsidR="00C64337" w:rsidRDefault="00EA08E6">
                    <w:pPr>
                      <w:ind w:left="70"/>
                      <w:rPr>
                        <w:rFonts w:ascii="Calibri"/>
                      </w:rPr>
                    </w:pPr>
                    <w:r>
                      <w:rPr>
                        <w:rFonts w:ascii="Calibri"/>
                        <w:color w:val="4471C4"/>
                      </w:rPr>
                      <w:t>CASE</w:t>
                    </w:r>
                    <w:r>
                      <w:rPr>
                        <w:rFonts w:ascii="Calibri"/>
                        <w:color w:val="4471C4"/>
                        <w:spacing w:val="-6"/>
                      </w:rPr>
                      <w:t xml:space="preserve"> </w:t>
                    </w:r>
                    <w:r>
                      <w:rPr>
                        <w:rFonts w:ascii="Calibri"/>
                        <w:color w:val="4471C4"/>
                      </w:rPr>
                      <w:t>NUMBER</w:t>
                    </w:r>
                    <w:r>
                      <w:rPr>
                        <w:rFonts w:ascii="Calibri"/>
                        <w:color w:val="4471C4"/>
                        <w:spacing w:val="-4"/>
                      </w:rPr>
                      <w:t xml:space="preserve"> </w:t>
                    </w:r>
                    <w:r>
                      <w:rPr>
                        <w:rFonts w:ascii="Calibri"/>
                        <w:color w:val="4471C4"/>
                        <w:spacing w:val="-2"/>
                      </w:rPr>
                      <w:t>LC/H/425/25</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3004F7"/>
    <w:multiLevelType w:val="hybridMultilevel"/>
    <w:tmpl w:val="73063668"/>
    <w:lvl w:ilvl="0" w:tplc="94FAE344">
      <w:start w:val="1"/>
      <w:numFmt w:val="decimal"/>
      <w:lvlText w:val="%1."/>
      <w:lvlJc w:val="left"/>
      <w:pPr>
        <w:ind w:left="1735" w:hanging="41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37C54A0">
      <w:numFmt w:val="bullet"/>
      <w:lvlText w:val="•"/>
      <w:lvlJc w:val="left"/>
      <w:pPr>
        <w:ind w:left="2572" w:hanging="416"/>
      </w:pPr>
      <w:rPr>
        <w:rFonts w:hint="default"/>
        <w:lang w:val="en-US" w:eastAsia="en-US" w:bidi="ar-SA"/>
      </w:rPr>
    </w:lvl>
    <w:lvl w:ilvl="2" w:tplc="15F47B96">
      <w:numFmt w:val="bullet"/>
      <w:lvlText w:val="•"/>
      <w:lvlJc w:val="left"/>
      <w:pPr>
        <w:ind w:left="3404" w:hanging="416"/>
      </w:pPr>
      <w:rPr>
        <w:rFonts w:hint="default"/>
        <w:lang w:val="en-US" w:eastAsia="en-US" w:bidi="ar-SA"/>
      </w:rPr>
    </w:lvl>
    <w:lvl w:ilvl="3" w:tplc="9E303AFC">
      <w:numFmt w:val="bullet"/>
      <w:lvlText w:val="•"/>
      <w:lvlJc w:val="left"/>
      <w:pPr>
        <w:ind w:left="4237" w:hanging="416"/>
      </w:pPr>
      <w:rPr>
        <w:rFonts w:hint="default"/>
        <w:lang w:val="en-US" w:eastAsia="en-US" w:bidi="ar-SA"/>
      </w:rPr>
    </w:lvl>
    <w:lvl w:ilvl="4" w:tplc="269A4154">
      <w:numFmt w:val="bullet"/>
      <w:lvlText w:val="•"/>
      <w:lvlJc w:val="left"/>
      <w:pPr>
        <w:ind w:left="5069" w:hanging="416"/>
      </w:pPr>
      <w:rPr>
        <w:rFonts w:hint="default"/>
        <w:lang w:val="en-US" w:eastAsia="en-US" w:bidi="ar-SA"/>
      </w:rPr>
    </w:lvl>
    <w:lvl w:ilvl="5" w:tplc="99969BDA">
      <w:numFmt w:val="bullet"/>
      <w:lvlText w:val="•"/>
      <w:lvlJc w:val="left"/>
      <w:pPr>
        <w:ind w:left="5902" w:hanging="416"/>
      </w:pPr>
      <w:rPr>
        <w:rFonts w:hint="default"/>
        <w:lang w:val="en-US" w:eastAsia="en-US" w:bidi="ar-SA"/>
      </w:rPr>
    </w:lvl>
    <w:lvl w:ilvl="6" w:tplc="9E78DE48">
      <w:numFmt w:val="bullet"/>
      <w:lvlText w:val="•"/>
      <w:lvlJc w:val="left"/>
      <w:pPr>
        <w:ind w:left="6734" w:hanging="416"/>
      </w:pPr>
      <w:rPr>
        <w:rFonts w:hint="default"/>
        <w:lang w:val="en-US" w:eastAsia="en-US" w:bidi="ar-SA"/>
      </w:rPr>
    </w:lvl>
    <w:lvl w:ilvl="7" w:tplc="FF8C4600">
      <w:numFmt w:val="bullet"/>
      <w:lvlText w:val="•"/>
      <w:lvlJc w:val="left"/>
      <w:pPr>
        <w:ind w:left="7567" w:hanging="416"/>
      </w:pPr>
      <w:rPr>
        <w:rFonts w:hint="default"/>
        <w:lang w:val="en-US" w:eastAsia="en-US" w:bidi="ar-SA"/>
      </w:rPr>
    </w:lvl>
    <w:lvl w:ilvl="8" w:tplc="CC241F6A">
      <w:numFmt w:val="bullet"/>
      <w:lvlText w:val="•"/>
      <w:lvlJc w:val="left"/>
      <w:pPr>
        <w:ind w:left="8399" w:hanging="416"/>
      </w:pPr>
      <w:rPr>
        <w:rFonts w:hint="default"/>
        <w:lang w:val="en-US" w:eastAsia="en-US" w:bidi="ar-SA"/>
      </w:rPr>
    </w:lvl>
  </w:abstractNum>
  <w:abstractNum w:abstractNumId="1">
    <w:nsid w:val="4B5D6C23"/>
    <w:multiLevelType w:val="hybridMultilevel"/>
    <w:tmpl w:val="80BAD75E"/>
    <w:lvl w:ilvl="0" w:tplc="D3224556">
      <w:start w:val="1"/>
      <w:numFmt w:val="lowerLetter"/>
      <w:lvlText w:val="(%1)"/>
      <w:lvlJc w:val="left"/>
      <w:pPr>
        <w:ind w:left="1400" w:hanging="325"/>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7108D3A2">
      <w:numFmt w:val="bullet"/>
      <w:lvlText w:val="•"/>
      <w:lvlJc w:val="left"/>
      <w:pPr>
        <w:ind w:left="2266" w:hanging="325"/>
      </w:pPr>
      <w:rPr>
        <w:rFonts w:hint="default"/>
        <w:lang w:val="en-US" w:eastAsia="en-US" w:bidi="ar-SA"/>
      </w:rPr>
    </w:lvl>
    <w:lvl w:ilvl="2" w:tplc="B008C32A">
      <w:numFmt w:val="bullet"/>
      <w:lvlText w:val="•"/>
      <w:lvlJc w:val="left"/>
      <w:pPr>
        <w:ind w:left="3132" w:hanging="325"/>
      </w:pPr>
      <w:rPr>
        <w:rFonts w:hint="default"/>
        <w:lang w:val="en-US" w:eastAsia="en-US" w:bidi="ar-SA"/>
      </w:rPr>
    </w:lvl>
    <w:lvl w:ilvl="3" w:tplc="A55C418E">
      <w:numFmt w:val="bullet"/>
      <w:lvlText w:val="•"/>
      <w:lvlJc w:val="left"/>
      <w:pPr>
        <w:ind w:left="3999" w:hanging="325"/>
      </w:pPr>
      <w:rPr>
        <w:rFonts w:hint="default"/>
        <w:lang w:val="en-US" w:eastAsia="en-US" w:bidi="ar-SA"/>
      </w:rPr>
    </w:lvl>
    <w:lvl w:ilvl="4" w:tplc="67CC619A">
      <w:numFmt w:val="bullet"/>
      <w:lvlText w:val="•"/>
      <w:lvlJc w:val="left"/>
      <w:pPr>
        <w:ind w:left="4865" w:hanging="325"/>
      </w:pPr>
      <w:rPr>
        <w:rFonts w:hint="default"/>
        <w:lang w:val="en-US" w:eastAsia="en-US" w:bidi="ar-SA"/>
      </w:rPr>
    </w:lvl>
    <w:lvl w:ilvl="5" w:tplc="F02C873C">
      <w:numFmt w:val="bullet"/>
      <w:lvlText w:val="•"/>
      <w:lvlJc w:val="left"/>
      <w:pPr>
        <w:ind w:left="5732" w:hanging="325"/>
      </w:pPr>
      <w:rPr>
        <w:rFonts w:hint="default"/>
        <w:lang w:val="en-US" w:eastAsia="en-US" w:bidi="ar-SA"/>
      </w:rPr>
    </w:lvl>
    <w:lvl w:ilvl="6" w:tplc="7180B4E0">
      <w:numFmt w:val="bullet"/>
      <w:lvlText w:val="•"/>
      <w:lvlJc w:val="left"/>
      <w:pPr>
        <w:ind w:left="6598" w:hanging="325"/>
      </w:pPr>
      <w:rPr>
        <w:rFonts w:hint="default"/>
        <w:lang w:val="en-US" w:eastAsia="en-US" w:bidi="ar-SA"/>
      </w:rPr>
    </w:lvl>
    <w:lvl w:ilvl="7" w:tplc="A484C93C">
      <w:numFmt w:val="bullet"/>
      <w:lvlText w:val="•"/>
      <w:lvlJc w:val="left"/>
      <w:pPr>
        <w:ind w:left="7465" w:hanging="325"/>
      </w:pPr>
      <w:rPr>
        <w:rFonts w:hint="default"/>
        <w:lang w:val="en-US" w:eastAsia="en-US" w:bidi="ar-SA"/>
      </w:rPr>
    </w:lvl>
    <w:lvl w:ilvl="8" w:tplc="879C029C">
      <w:numFmt w:val="bullet"/>
      <w:lvlText w:val="•"/>
      <w:lvlJc w:val="left"/>
      <w:pPr>
        <w:ind w:left="8331" w:hanging="325"/>
      </w:pPr>
      <w:rPr>
        <w:rFonts w:hint="default"/>
        <w:lang w:val="en-US" w:eastAsia="en-US" w:bidi="ar-SA"/>
      </w:rPr>
    </w:lvl>
  </w:abstractNum>
  <w:abstractNum w:abstractNumId="2">
    <w:nsid w:val="68BB0A70"/>
    <w:multiLevelType w:val="hybridMultilevel"/>
    <w:tmpl w:val="5824F9EC"/>
    <w:lvl w:ilvl="0" w:tplc="5DF4C9F0">
      <w:start w:val="1"/>
      <w:numFmt w:val="lowerLetter"/>
      <w:lvlText w:val="%1)"/>
      <w:lvlJc w:val="left"/>
      <w:pPr>
        <w:ind w:left="1735"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98B4970A">
      <w:numFmt w:val="bullet"/>
      <w:lvlText w:val="•"/>
      <w:lvlJc w:val="left"/>
      <w:pPr>
        <w:ind w:left="2572" w:hanging="360"/>
      </w:pPr>
      <w:rPr>
        <w:rFonts w:hint="default"/>
        <w:lang w:val="en-US" w:eastAsia="en-US" w:bidi="ar-SA"/>
      </w:rPr>
    </w:lvl>
    <w:lvl w:ilvl="2" w:tplc="F7F4123A">
      <w:numFmt w:val="bullet"/>
      <w:lvlText w:val="•"/>
      <w:lvlJc w:val="left"/>
      <w:pPr>
        <w:ind w:left="3404" w:hanging="360"/>
      </w:pPr>
      <w:rPr>
        <w:rFonts w:hint="default"/>
        <w:lang w:val="en-US" w:eastAsia="en-US" w:bidi="ar-SA"/>
      </w:rPr>
    </w:lvl>
    <w:lvl w:ilvl="3" w:tplc="7BB8A38E">
      <w:numFmt w:val="bullet"/>
      <w:lvlText w:val="•"/>
      <w:lvlJc w:val="left"/>
      <w:pPr>
        <w:ind w:left="4237" w:hanging="360"/>
      </w:pPr>
      <w:rPr>
        <w:rFonts w:hint="default"/>
        <w:lang w:val="en-US" w:eastAsia="en-US" w:bidi="ar-SA"/>
      </w:rPr>
    </w:lvl>
    <w:lvl w:ilvl="4" w:tplc="F124A49C">
      <w:numFmt w:val="bullet"/>
      <w:lvlText w:val="•"/>
      <w:lvlJc w:val="left"/>
      <w:pPr>
        <w:ind w:left="5069" w:hanging="360"/>
      </w:pPr>
      <w:rPr>
        <w:rFonts w:hint="default"/>
        <w:lang w:val="en-US" w:eastAsia="en-US" w:bidi="ar-SA"/>
      </w:rPr>
    </w:lvl>
    <w:lvl w:ilvl="5" w:tplc="7C3CB150">
      <w:numFmt w:val="bullet"/>
      <w:lvlText w:val="•"/>
      <w:lvlJc w:val="left"/>
      <w:pPr>
        <w:ind w:left="5902" w:hanging="360"/>
      </w:pPr>
      <w:rPr>
        <w:rFonts w:hint="default"/>
        <w:lang w:val="en-US" w:eastAsia="en-US" w:bidi="ar-SA"/>
      </w:rPr>
    </w:lvl>
    <w:lvl w:ilvl="6" w:tplc="FB8A94C2">
      <w:numFmt w:val="bullet"/>
      <w:lvlText w:val="•"/>
      <w:lvlJc w:val="left"/>
      <w:pPr>
        <w:ind w:left="6734" w:hanging="360"/>
      </w:pPr>
      <w:rPr>
        <w:rFonts w:hint="default"/>
        <w:lang w:val="en-US" w:eastAsia="en-US" w:bidi="ar-SA"/>
      </w:rPr>
    </w:lvl>
    <w:lvl w:ilvl="7" w:tplc="5BAE7974">
      <w:numFmt w:val="bullet"/>
      <w:lvlText w:val="•"/>
      <w:lvlJc w:val="left"/>
      <w:pPr>
        <w:ind w:left="7567" w:hanging="360"/>
      </w:pPr>
      <w:rPr>
        <w:rFonts w:hint="default"/>
        <w:lang w:val="en-US" w:eastAsia="en-US" w:bidi="ar-SA"/>
      </w:rPr>
    </w:lvl>
    <w:lvl w:ilvl="8" w:tplc="E696B5F2">
      <w:numFmt w:val="bullet"/>
      <w:lvlText w:val="•"/>
      <w:lvlJc w:val="left"/>
      <w:pPr>
        <w:ind w:left="8399" w:hanging="360"/>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C64337"/>
    <w:rsid w:val="00C53AC3"/>
    <w:rsid w:val="00C64337"/>
    <w:rsid w:val="00EA08E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7C1010-C07A-4871-9040-034F0DC85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735"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3180</Words>
  <Characters>18126</Characters>
  <Application>Microsoft Office Word</Application>
  <DocSecurity>0</DocSecurity>
  <Lines>151</Lines>
  <Paragraphs>42</Paragraphs>
  <ScaleCrop>false</ScaleCrop>
  <Company/>
  <LinksUpToDate>false</LinksUpToDate>
  <CharactersWithSpaces>21264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LC/H/25</dc:title>
  <dc:creator>Tanatswa Muchenje</dc:creator>
  <cp:lastModifiedBy>JSC</cp:lastModifiedBy>
  <cp:revision>3</cp:revision>
  <dcterms:created xsi:type="dcterms:W3CDTF">2026-06-03T09:01:00Z</dcterms:created>
  <dcterms:modified xsi:type="dcterms:W3CDTF">2026-06-03T09:11:00Z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2026-03-31T00:00:00Z</vt:filetime>
  </property>
  <property fmtid="{D5CDD505-2E9C-101B-9397-08002B2CF9AE}" pid="3" name="Creator">
    <vt:lpwstr>Microsoft® Word LTSC</vt:lpwstr>
  </property>
  <property fmtid="{D5CDD505-2E9C-101B-9397-08002B2CF9AE}" pid="4" name="LastSaved">
    <vt:filetime>2026-06-03T00:00:00Z</vt:filetime>
  </property>
  <property fmtid="{D5CDD505-2E9C-101B-9397-08002B2CF9AE}" pid="5" name="Producer">
    <vt:lpwstr>䵩捲潳潦璮⁗潲搠䱔千㬠浯摩晩敤⁵獩湧⁩呥硴′⸱⸷⁢礠ㅔ㍘吀</vt:lpwstr>
  </property>
</Properties>
</file>