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7BEA68" w14:textId="77777777" w:rsidR="00CD38CE" w:rsidRPr="005C64E9" w:rsidRDefault="00CD38CE" w:rsidP="005C64E9">
      <w:pPr>
        <w:pStyle w:val="NoSpacing"/>
        <w:jc w:val="both"/>
        <w:rPr>
          <w:rFonts w:ascii="Times New Roman" w:hAnsi="Times New Roman" w:cs="Times New Roman"/>
          <w:sz w:val="24"/>
          <w:szCs w:val="24"/>
        </w:rPr>
      </w:pPr>
      <w:bookmarkStart w:id="0" w:name="_GoBack"/>
      <w:bookmarkEnd w:id="0"/>
      <w:r w:rsidRPr="005C64E9">
        <w:rPr>
          <w:rFonts w:ascii="Times New Roman" w:hAnsi="Times New Roman" w:cs="Times New Roman"/>
          <w:sz w:val="24"/>
          <w:szCs w:val="24"/>
        </w:rPr>
        <w:t>KINGSLEY CHANETSA</w:t>
      </w:r>
    </w:p>
    <w:p w14:paraId="54DC603C" w14:textId="08192EF7" w:rsidR="00CD38CE" w:rsidRPr="005C64E9" w:rsidRDefault="005C64E9"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versus</w:t>
      </w:r>
      <w:proofErr w:type="gramEnd"/>
    </w:p>
    <w:p w14:paraId="2564D070" w14:textId="77777777" w:rsidR="00CD38CE" w:rsidRPr="005C64E9" w:rsidRDefault="00CD38CE"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OFFICER IN CHARGE, VEHICLE THEFT SQUAD.</w:t>
      </w:r>
      <w:proofErr w:type="gramEnd"/>
      <w:r w:rsidRPr="005C64E9">
        <w:rPr>
          <w:rFonts w:ascii="Times New Roman" w:hAnsi="Times New Roman" w:cs="Times New Roman"/>
          <w:sz w:val="24"/>
          <w:szCs w:val="24"/>
        </w:rPr>
        <w:t xml:space="preserve"> ZIMBABWE REPUBLIC POLICE</w:t>
      </w:r>
    </w:p>
    <w:p w14:paraId="279D2F15" w14:textId="08B0E59C" w:rsidR="00CD38CE" w:rsidRPr="005C64E9" w:rsidRDefault="005C64E9"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and</w:t>
      </w:r>
      <w:proofErr w:type="gramEnd"/>
    </w:p>
    <w:p w14:paraId="5423FCAA" w14:textId="77777777"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COMMISSIONER GENERAL OF POLICE N.O</w:t>
      </w:r>
    </w:p>
    <w:p w14:paraId="03A0DCE7" w14:textId="0ED4546B" w:rsidR="00CD38CE" w:rsidRPr="005C64E9" w:rsidRDefault="005C64E9"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and</w:t>
      </w:r>
      <w:proofErr w:type="gramEnd"/>
    </w:p>
    <w:p w14:paraId="4D4746E9" w14:textId="77777777"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MINISTER OF HOME AFFAIRS AND CULTURAL HERITAGE N.O</w:t>
      </w:r>
    </w:p>
    <w:p w14:paraId="42782CF0" w14:textId="3FE35EF6" w:rsidR="00CD38CE" w:rsidRPr="005C64E9" w:rsidRDefault="005C64E9"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and</w:t>
      </w:r>
      <w:proofErr w:type="gramEnd"/>
    </w:p>
    <w:p w14:paraId="1760DA4B" w14:textId="77777777"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PEACEMAKER MAKUVE</w:t>
      </w:r>
    </w:p>
    <w:p w14:paraId="79A32052" w14:textId="336FC87A" w:rsidR="00CD38CE" w:rsidRPr="005C64E9" w:rsidRDefault="005C64E9" w:rsidP="005C64E9">
      <w:pPr>
        <w:pStyle w:val="NoSpacing"/>
        <w:jc w:val="both"/>
        <w:rPr>
          <w:rFonts w:ascii="Times New Roman" w:hAnsi="Times New Roman" w:cs="Times New Roman"/>
          <w:sz w:val="24"/>
          <w:szCs w:val="24"/>
        </w:rPr>
      </w:pPr>
      <w:proofErr w:type="gramStart"/>
      <w:r w:rsidRPr="005C64E9">
        <w:rPr>
          <w:rFonts w:ascii="Times New Roman" w:hAnsi="Times New Roman" w:cs="Times New Roman"/>
          <w:sz w:val="24"/>
          <w:szCs w:val="24"/>
        </w:rPr>
        <w:t>and</w:t>
      </w:r>
      <w:proofErr w:type="gramEnd"/>
    </w:p>
    <w:p w14:paraId="021BE905" w14:textId="7C4FC78E" w:rsidR="00CD38CE"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BRIGHT TATENDA CHITUNGO</w:t>
      </w:r>
    </w:p>
    <w:p w14:paraId="1BA79AE2" w14:textId="285C4347" w:rsidR="005C64E9" w:rsidRDefault="005C64E9" w:rsidP="005C64E9">
      <w:pPr>
        <w:pStyle w:val="NoSpacing"/>
        <w:jc w:val="both"/>
        <w:rPr>
          <w:rFonts w:ascii="Times New Roman" w:hAnsi="Times New Roman" w:cs="Times New Roman"/>
          <w:sz w:val="24"/>
          <w:szCs w:val="24"/>
        </w:rPr>
      </w:pPr>
    </w:p>
    <w:p w14:paraId="768DD18F" w14:textId="77777777" w:rsidR="005C64E9" w:rsidRPr="005C64E9" w:rsidRDefault="005C64E9" w:rsidP="005C64E9">
      <w:pPr>
        <w:pStyle w:val="NoSpacing"/>
        <w:jc w:val="both"/>
        <w:rPr>
          <w:rFonts w:ascii="Times New Roman" w:hAnsi="Times New Roman" w:cs="Times New Roman"/>
          <w:sz w:val="24"/>
          <w:szCs w:val="24"/>
        </w:rPr>
      </w:pPr>
    </w:p>
    <w:p w14:paraId="03C728C8" w14:textId="77777777"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HIGH COURT OF ZIMBABWE</w:t>
      </w:r>
    </w:p>
    <w:p w14:paraId="0A742A79" w14:textId="77777777" w:rsidR="00CD38CE" w:rsidRPr="005C64E9" w:rsidRDefault="00CD38CE" w:rsidP="005C64E9">
      <w:pPr>
        <w:pStyle w:val="NoSpacing"/>
        <w:jc w:val="both"/>
        <w:rPr>
          <w:rFonts w:ascii="Times New Roman" w:hAnsi="Times New Roman" w:cs="Times New Roman"/>
          <w:b/>
          <w:bCs/>
          <w:sz w:val="24"/>
          <w:szCs w:val="24"/>
        </w:rPr>
      </w:pPr>
      <w:r w:rsidRPr="005C64E9">
        <w:rPr>
          <w:rFonts w:ascii="Times New Roman" w:hAnsi="Times New Roman" w:cs="Times New Roman"/>
          <w:b/>
          <w:bCs/>
          <w:sz w:val="24"/>
          <w:szCs w:val="24"/>
        </w:rPr>
        <w:t>MAMBARA J</w:t>
      </w:r>
    </w:p>
    <w:p w14:paraId="258E15B4" w14:textId="74E54EBE" w:rsidR="00CD38CE" w:rsidRDefault="00272B35" w:rsidP="005C64E9">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19 January, 25 February </w:t>
      </w:r>
      <w:r w:rsidR="00CD38CE" w:rsidRPr="005C64E9">
        <w:rPr>
          <w:rFonts w:ascii="Times New Roman" w:hAnsi="Times New Roman" w:cs="Times New Roman"/>
          <w:sz w:val="24"/>
          <w:szCs w:val="24"/>
        </w:rPr>
        <w:t xml:space="preserve">and </w:t>
      </w:r>
      <w:r>
        <w:rPr>
          <w:rFonts w:ascii="Times New Roman" w:hAnsi="Times New Roman" w:cs="Times New Roman"/>
          <w:sz w:val="24"/>
          <w:szCs w:val="24"/>
        </w:rPr>
        <w:t>15 May 2026</w:t>
      </w:r>
    </w:p>
    <w:p w14:paraId="61D6804A" w14:textId="76369539" w:rsidR="005C64E9" w:rsidRDefault="005C64E9" w:rsidP="005C64E9">
      <w:pPr>
        <w:pStyle w:val="NoSpacing"/>
        <w:jc w:val="both"/>
        <w:rPr>
          <w:rFonts w:ascii="Times New Roman" w:hAnsi="Times New Roman" w:cs="Times New Roman"/>
          <w:sz w:val="24"/>
          <w:szCs w:val="24"/>
        </w:rPr>
      </w:pPr>
    </w:p>
    <w:p w14:paraId="2707AE62" w14:textId="77777777" w:rsidR="005C64E9" w:rsidRPr="005C64E9" w:rsidRDefault="005C64E9" w:rsidP="005C64E9">
      <w:pPr>
        <w:pStyle w:val="NoSpacing"/>
        <w:jc w:val="both"/>
        <w:rPr>
          <w:rFonts w:ascii="Times New Roman" w:hAnsi="Times New Roman" w:cs="Times New Roman"/>
          <w:sz w:val="24"/>
          <w:szCs w:val="24"/>
        </w:rPr>
      </w:pPr>
    </w:p>
    <w:p w14:paraId="56E355FC" w14:textId="7252C371" w:rsidR="00CD38CE" w:rsidRDefault="00CD38CE" w:rsidP="005C64E9">
      <w:pPr>
        <w:pStyle w:val="NoSpacing"/>
        <w:jc w:val="both"/>
        <w:rPr>
          <w:rFonts w:ascii="Times New Roman" w:hAnsi="Times New Roman" w:cs="Times New Roman"/>
          <w:b/>
          <w:bCs/>
          <w:sz w:val="24"/>
          <w:szCs w:val="24"/>
        </w:rPr>
      </w:pPr>
      <w:r w:rsidRPr="005C64E9">
        <w:rPr>
          <w:rFonts w:ascii="Times New Roman" w:hAnsi="Times New Roman" w:cs="Times New Roman"/>
          <w:b/>
          <w:bCs/>
          <w:sz w:val="24"/>
          <w:szCs w:val="24"/>
        </w:rPr>
        <w:t>Civil Trial</w:t>
      </w:r>
    </w:p>
    <w:p w14:paraId="6C20C4C1" w14:textId="206464C5" w:rsidR="005C64E9" w:rsidRDefault="005C64E9" w:rsidP="005C64E9">
      <w:pPr>
        <w:pStyle w:val="NoSpacing"/>
        <w:jc w:val="both"/>
        <w:rPr>
          <w:rFonts w:ascii="Times New Roman" w:hAnsi="Times New Roman" w:cs="Times New Roman"/>
          <w:b/>
          <w:bCs/>
          <w:sz w:val="24"/>
          <w:szCs w:val="24"/>
        </w:rPr>
      </w:pPr>
    </w:p>
    <w:p w14:paraId="467A99A1" w14:textId="77777777" w:rsidR="005C64E9" w:rsidRPr="005C64E9" w:rsidRDefault="005C64E9" w:rsidP="005C64E9">
      <w:pPr>
        <w:pStyle w:val="NoSpacing"/>
        <w:jc w:val="both"/>
        <w:rPr>
          <w:rFonts w:ascii="Times New Roman" w:hAnsi="Times New Roman" w:cs="Times New Roman"/>
          <w:b/>
          <w:bCs/>
          <w:sz w:val="24"/>
          <w:szCs w:val="24"/>
        </w:rPr>
      </w:pPr>
    </w:p>
    <w:p w14:paraId="6A669550" w14:textId="77777777"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 xml:space="preserve">H. </w:t>
      </w:r>
      <w:proofErr w:type="spellStart"/>
      <w:r w:rsidRPr="005C64E9">
        <w:rPr>
          <w:rFonts w:ascii="Times New Roman" w:hAnsi="Times New Roman" w:cs="Times New Roman"/>
          <w:sz w:val="24"/>
          <w:szCs w:val="24"/>
        </w:rPr>
        <w:t>Chitima</w:t>
      </w:r>
      <w:proofErr w:type="spellEnd"/>
      <w:r w:rsidRPr="005C64E9">
        <w:rPr>
          <w:rFonts w:ascii="Times New Roman" w:hAnsi="Times New Roman" w:cs="Times New Roman"/>
          <w:sz w:val="24"/>
          <w:szCs w:val="24"/>
        </w:rPr>
        <w:t>, for the plaintiff</w:t>
      </w:r>
    </w:p>
    <w:p w14:paraId="7C7B060F" w14:textId="1795623F" w:rsidR="00CD38CE" w:rsidRPr="005C64E9"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i/>
          <w:iCs/>
          <w:sz w:val="24"/>
          <w:szCs w:val="24"/>
        </w:rPr>
        <w:t xml:space="preserve">T.L. </w:t>
      </w:r>
      <w:proofErr w:type="spellStart"/>
      <w:r w:rsidRPr="005C64E9">
        <w:rPr>
          <w:rFonts w:ascii="Times New Roman" w:hAnsi="Times New Roman" w:cs="Times New Roman"/>
          <w:i/>
          <w:iCs/>
          <w:sz w:val="24"/>
          <w:szCs w:val="24"/>
        </w:rPr>
        <w:t>Mapuranga</w:t>
      </w:r>
      <w:proofErr w:type="spellEnd"/>
      <w:r w:rsidRPr="005C64E9">
        <w:rPr>
          <w:rFonts w:ascii="Times New Roman" w:hAnsi="Times New Roman" w:cs="Times New Roman"/>
          <w:sz w:val="24"/>
          <w:szCs w:val="24"/>
        </w:rPr>
        <w:t xml:space="preserve"> with him </w:t>
      </w:r>
      <w:r w:rsidRPr="005C64E9">
        <w:rPr>
          <w:rFonts w:ascii="Times New Roman" w:hAnsi="Times New Roman" w:cs="Times New Roman"/>
          <w:i/>
          <w:iCs/>
          <w:sz w:val="24"/>
          <w:szCs w:val="24"/>
        </w:rPr>
        <w:t xml:space="preserve">P.E. </w:t>
      </w:r>
      <w:proofErr w:type="spellStart"/>
      <w:r w:rsidRPr="005C64E9">
        <w:rPr>
          <w:rFonts w:ascii="Times New Roman" w:hAnsi="Times New Roman" w:cs="Times New Roman"/>
          <w:i/>
          <w:iCs/>
          <w:sz w:val="24"/>
          <w:szCs w:val="24"/>
        </w:rPr>
        <w:t>Chivhenge</w:t>
      </w:r>
      <w:proofErr w:type="spellEnd"/>
      <w:r w:rsidRPr="005C64E9">
        <w:rPr>
          <w:rFonts w:ascii="Times New Roman" w:hAnsi="Times New Roman" w:cs="Times New Roman"/>
          <w:sz w:val="24"/>
          <w:szCs w:val="24"/>
        </w:rPr>
        <w:t xml:space="preserve">, for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w:t>
      </w:r>
    </w:p>
    <w:p w14:paraId="7F2457F6" w14:textId="366B572E" w:rsidR="00D719B0"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 xml:space="preserve">No appearance for </w:t>
      </w:r>
      <w:r w:rsidR="005C64E9">
        <w:rPr>
          <w:rFonts w:ascii="Times New Roman" w:hAnsi="Times New Roman" w:cs="Times New Roman"/>
          <w:sz w:val="24"/>
          <w:szCs w:val="24"/>
        </w:rPr>
        <w:t>first</w:t>
      </w:r>
      <w:r w:rsidRPr="005C64E9">
        <w:rPr>
          <w:rFonts w:ascii="Times New Roman" w:hAnsi="Times New Roman" w:cs="Times New Roman"/>
          <w:sz w:val="24"/>
          <w:szCs w:val="24"/>
        </w:rPr>
        <w:t xml:space="preserve">, </w:t>
      </w:r>
      <w:r w:rsidR="005C64E9">
        <w:rPr>
          <w:rFonts w:ascii="Times New Roman" w:hAnsi="Times New Roman" w:cs="Times New Roman"/>
          <w:sz w:val="24"/>
          <w:szCs w:val="24"/>
        </w:rPr>
        <w:t>second</w:t>
      </w:r>
      <w:r w:rsidRPr="005C64E9">
        <w:rPr>
          <w:rFonts w:ascii="Times New Roman" w:hAnsi="Times New Roman" w:cs="Times New Roman"/>
          <w:sz w:val="24"/>
          <w:szCs w:val="24"/>
        </w:rPr>
        <w:t xml:space="preserve">, </w:t>
      </w:r>
      <w:r w:rsidR="005C64E9">
        <w:rPr>
          <w:rFonts w:ascii="Times New Roman" w:hAnsi="Times New Roman" w:cs="Times New Roman"/>
          <w:sz w:val="24"/>
          <w:szCs w:val="24"/>
        </w:rPr>
        <w:t>third</w:t>
      </w:r>
      <w:r w:rsidRPr="005C64E9">
        <w:rPr>
          <w:rFonts w:ascii="Times New Roman" w:hAnsi="Times New Roman" w:cs="Times New Roman"/>
          <w:sz w:val="24"/>
          <w:szCs w:val="24"/>
        </w:rPr>
        <w:t xml:space="preserve"> and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w:t>
      </w:r>
    </w:p>
    <w:p w14:paraId="69BBA9ED" w14:textId="48011ACD" w:rsidR="005C64E9" w:rsidRDefault="005C64E9" w:rsidP="005C64E9">
      <w:pPr>
        <w:pStyle w:val="NoSpacing"/>
        <w:jc w:val="both"/>
        <w:rPr>
          <w:rFonts w:ascii="Times New Roman" w:hAnsi="Times New Roman" w:cs="Times New Roman"/>
          <w:sz w:val="24"/>
          <w:szCs w:val="24"/>
        </w:rPr>
      </w:pPr>
    </w:p>
    <w:p w14:paraId="6D6E0908" w14:textId="77777777" w:rsidR="005C64E9" w:rsidRPr="005C64E9" w:rsidRDefault="005C64E9" w:rsidP="005C64E9">
      <w:pPr>
        <w:pStyle w:val="NoSpacing"/>
        <w:jc w:val="both"/>
        <w:rPr>
          <w:rFonts w:ascii="Times New Roman" w:hAnsi="Times New Roman" w:cs="Times New Roman"/>
          <w:sz w:val="24"/>
          <w:szCs w:val="24"/>
        </w:rPr>
      </w:pPr>
    </w:p>
    <w:p w14:paraId="2483B083" w14:textId="37563ADD" w:rsidR="00CD38CE" w:rsidRDefault="00CD38CE" w:rsidP="005C64E9">
      <w:pPr>
        <w:pStyle w:val="NoSpacing"/>
        <w:jc w:val="both"/>
        <w:rPr>
          <w:rFonts w:ascii="Times New Roman" w:hAnsi="Times New Roman" w:cs="Times New Roman"/>
          <w:sz w:val="24"/>
          <w:szCs w:val="24"/>
        </w:rPr>
      </w:pPr>
      <w:r w:rsidRPr="005C64E9">
        <w:rPr>
          <w:rFonts w:ascii="Times New Roman" w:hAnsi="Times New Roman" w:cs="Times New Roman"/>
          <w:sz w:val="24"/>
          <w:szCs w:val="24"/>
        </w:rPr>
        <w:t>MAMBARA J:</w:t>
      </w:r>
    </w:p>
    <w:p w14:paraId="021CFA05" w14:textId="77777777" w:rsidR="005C64E9" w:rsidRPr="005C64E9" w:rsidRDefault="005C64E9" w:rsidP="005C64E9">
      <w:pPr>
        <w:pStyle w:val="NoSpacing"/>
        <w:jc w:val="both"/>
        <w:rPr>
          <w:rFonts w:ascii="Times New Roman" w:hAnsi="Times New Roman" w:cs="Times New Roman"/>
          <w:sz w:val="24"/>
          <w:szCs w:val="24"/>
        </w:rPr>
      </w:pPr>
    </w:p>
    <w:p w14:paraId="304F6B29" w14:textId="618415A2" w:rsidR="00D719B0" w:rsidRPr="005C64E9" w:rsidRDefault="00D719B0" w:rsidP="005C64E9">
      <w:pPr>
        <w:pStyle w:val="NoSpacing"/>
        <w:jc w:val="both"/>
        <w:rPr>
          <w:rFonts w:ascii="Times New Roman" w:hAnsi="Times New Roman" w:cs="Times New Roman"/>
          <w:b/>
          <w:sz w:val="24"/>
          <w:szCs w:val="24"/>
        </w:rPr>
      </w:pPr>
      <w:r w:rsidRPr="005C64E9">
        <w:rPr>
          <w:rFonts w:ascii="Times New Roman" w:hAnsi="Times New Roman" w:cs="Times New Roman"/>
          <w:b/>
          <w:sz w:val="24"/>
          <w:szCs w:val="24"/>
        </w:rPr>
        <w:t>Background and relief sought</w:t>
      </w:r>
    </w:p>
    <w:p w14:paraId="233EC4FD" w14:textId="77777777" w:rsidR="005C64E9" w:rsidRPr="005C64E9" w:rsidRDefault="005C64E9" w:rsidP="005C64E9">
      <w:pPr>
        <w:pStyle w:val="NoSpacing"/>
        <w:jc w:val="both"/>
        <w:rPr>
          <w:rFonts w:ascii="Times New Roman" w:hAnsi="Times New Roman" w:cs="Times New Roman"/>
          <w:b/>
          <w:sz w:val="24"/>
          <w:szCs w:val="24"/>
        </w:rPr>
      </w:pPr>
    </w:p>
    <w:p w14:paraId="23EFF714" w14:textId="41D929D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 The plaintiff’s claim is for a </w:t>
      </w:r>
      <w:proofErr w:type="spellStart"/>
      <w:r w:rsidRPr="005C64E9">
        <w:rPr>
          <w:rFonts w:ascii="Times New Roman" w:hAnsi="Times New Roman" w:cs="Times New Roman"/>
          <w:sz w:val="24"/>
          <w:szCs w:val="24"/>
        </w:rPr>
        <w:t>declaratur</w:t>
      </w:r>
      <w:proofErr w:type="spellEnd"/>
      <w:r w:rsidRPr="005C64E9">
        <w:rPr>
          <w:rFonts w:ascii="Times New Roman" w:hAnsi="Times New Roman" w:cs="Times New Roman"/>
          <w:sz w:val="24"/>
          <w:szCs w:val="24"/>
        </w:rPr>
        <w:t xml:space="preserve"> that he is the lawful and rightful owner and holder of ownership rights in a black 2014 Mercedes Benz, registration number AGG 2117, engine number 274M163024823G, chassis number WDD2050402F066784, and for an order directing the </w:t>
      </w:r>
      <w:r w:rsidR="005C64E9">
        <w:rPr>
          <w:rFonts w:ascii="Times New Roman" w:hAnsi="Times New Roman" w:cs="Times New Roman"/>
          <w:sz w:val="24"/>
          <w:szCs w:val="24"/>
        </w:rPr>
        <w:t>first</w:t>
      </w:r>
      <w:r w:rsidRPr="005C64E9">
        <w:rPr>
          <w:rFonts w:ascii="Times New Roman" w:hAnsi="Times New Roman" w:cs="Times New Roman"/>
          <w:sz w:val="24"/>
          <w:szCs w:val="24"/>
        </w:rPr>
        <w:t xml:space="preserve"> defendant, or officers acting under him, to release that motor vehicle to him. The cause of action is founded on an alleged sale and delivery of the motor vehicle by Bright </w:t>
      </w:r>
      <w:proofErr w:type="spellStart"/>
      <w:r w:rsidRPr="005C64E9">
        <w:rPr>
          <w:rFonts w:ascii="Times New Roman" w:hAnsi="Times New Roman" w:cs="Times New Roman"/>
          <w:sz w:val="24"/>
          <w:szCs w:val="24"/>
        </w:rPr>
        <w:t>Tatenda</w:t>
      </w:r>
      <w:proofErr w:type="spellEnd"/>
      <w:r w:rsidRPr="005C64E9">
        <w:rPr>
          <w:rFonts w:ascii="Times New Roman" w:hAnsi="Times New Roman" w:cs="Times New Roman"/>
          <w:sz w:val="24"/>
          <w:szCs w:val="24"/>
        </w:rPr>
        <w:t xml:space="preserve"> </w:t>
      </w:r>
      <w:proofErr w:type="spellStart"/>
      <w:r w:rsidRPr="005C64E9">
        <w:rPr>
          <w:rFonts w:ascii="Times New Roman" w:hAnsi="Times New Roman" w:cs="Times New Roman"/>
          <w:sz w:val="24"/>
          <w:szCs w:val="24"/>
        </w:rPr>
        <w:t>Chitungo</w:t>
      </w:r>
      <w:proofErr w:type="spellEnd"/>
      <w:r w:rsidRPr="005C64E9">
        <w:rPr>
          <w:rFonts w:ascii="Times New Roman" w:hAnsi="Times New Roman" w:cs="Times New Roman"/>
          <w:sz w:val="24"/>
          <w:szCs w:val="24"/>
        </w:rPr>
        <w:t xml:space="preserve">,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whom the plaintiff says had actual authority, alternatively ostensible authority, from Peacemaker </w:t>
      </w:r>
      <w:proofErr w:type="spellStart"/>
      <w:r w:rsidRPr="005C64E9">
        <w:rPr>
          <w:rFonts w:ascii="Times New Roman" w:hAnsi="Times New Roman" w:cs="Times New Roman"/>
          <w:sz w:val="24"/>
          <w:szCs w:val="24"/>
        </w:rPr>
        <w:t>Makuve</w:t>
      </w:r>
      <w:proofErr w:type="spellEnd"/>
      <w:r w:rsidRPr="005C64E9">
        <w:rPr>
          <w:rFonts w:ascii="Times New Roman" w:hAnsi="Times New Roman" w:cs="Times New Roman"/>
          <w:sz w:val="24"/>
          <w:szCs w:val="24"/>
        </w:rPr>
        <w:t xml:space="preserve">,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to sell the vehicle.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resists the claim and counterclaims for the release of the vehicle to her.</w:t>
      </w:r>
    </w:p>
    <w:p w14:paraId="7387A495" w14:textId="65BC1B98"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 The brief factual background is that, on or about 26 February 2024, the plaintiff bought the motor vehicle for US$18 000 from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At that time the vehicle was registered in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name. The plaintiff’s case is that before the sale was </w:t>
      </w:r>
      <w:r w:rsidRPr="005C64E9">
        <w:rPr>
          <w:rFonts w:ascii="Times New Roman" w:hAnsi="Times New Roman" w:cs="Times New Roman"/>
          <w:sz w:val="24"/>
          <w:szCs w:val="24"/>
        </w:rPr>
        <w:lastRenderedPageBreak/>
        <w:t xml:space="preserve">concluded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produced the vehicle and its documents, arranged telephonic confirmation from the person represented to be the owner, and thereafter delivered the vehicle, its keys and registration book after payment of the purchase price.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denies having authorised a sale. She says she merely asked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to look for a buyer, that no sale was concluded with her authority, and that the vehicle was stolen from her. Following her complaint of theft of trust property against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the police seized the vehicle and it has remained detained at </w:t>
      </w:r>
      <w:proofErr w:type="spellStart"/>
      <w:r w:rsidRPr="005C64E9">
        <w:rPr>
          <w:rFonts w:ascii="Times New Roman" w:hAnsi="Times New Roman" w:cs="Times New Roman"/>
          <w:sz w:val="24"/>
          <w:szCs w:val="24"/>
        </w:rPr>
        <w:t>Southerton</w:t>
      </w:r>
      <w:proofErr w:type="spellEnd"/>
      <w:r w:rsidRPr="005C64E9">
        <w:rPr>
          <w:rFonts w:ascii="Times New Roman" w:hAnsi="Times New Roman" w:cs="Times New Roman"/>
          <w:sz w:val="24"/>
          <w:szCs w:val="24"/>
        </w:rPr>
        <w:t xml:space="preserve"> Vehicle Theft Squad.</w:t>
      </w:r>
    </w:p>
    <w:p w14:paraId="35C1D7B3" w14:textId="77777777"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The case as pleaded</w:t>
      </w:r>
    </w:p>
    <w:p w14:paraId="687CB355" w14:textId="7BCAC682"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[3] The pleadings and the joint pre-trial minute narrowed the dispute to three issues: whether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had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mandate to sell the motor vehicle; whether there was a valid agreement of sale of the motor vehicle between the plaintiff and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through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and who, as between the plaintiff and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is entitled to ownership and possession of the vehicle. </w:t>
      </w:r>
    </w:p>
    <w:p w14:paraId="790EBB60" w14:textId="283F86FD" w:rsidR="00D719B0" w:rsidRPr="005C64E9" w:rsidRDefault="005C64E9"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 </w:t>
      </w:r>
      <w:r w:rsidR="00D719B0" w:rsidRPr="005C64E9">
        <w:rPr>
          <w:rFonts w:ascii="Times New Roman" w:hAnsi="Times New Roman" w:cs="Times New Roman"/>
          <w:sz w:val="24"/>
          <w:szCs w:val="24"/>
        </w:rPr>
        <w:t xml:space="preserve">[4] The plaintiff’s pleaded case was that he bought the vehicle through the </w:t>
      </w:r>
      <w:r>
        <w:rPr>
          <w:rFonts w:ascii="Times New Roman" w:hAnsi="Times New Roman" w:cs="Times New Roman"/>
          <w:sz w:val="24"/>
          <w:szCs w:val="24"/>
        </w:rPr>
        <w:t>fifth</w:t>
      </w:r>
      <w:r w:rsidR="00D719B0" w:rsidRPr="005C64E9">
        <w:rPr>
          <w:rFonts w:ascii="Times New Roman" w:hAnsi="Times New Roman" w:cs="Times New Roman"/>
          <w:sz w:val="24"/>
          <w:szCs w:val="24"/>
        </w:rPr>
        <w:t xml:space="preserve"> defendant, who had been clothed by the </w:t>
      </w:r>
      <w:r>
        <w:rPr>
          <w:rFonts w:ascii="Times New Roman" w:hAnsi="Times New Roman" w:cs="Times New Roman"/>
          <w:sz w:val="24"/>
          <w:szCs w:val="24"/>
        </w:rPr>
        <w:t>fourth</w:t>
      </w:r>
      <w:r w:rsidR="00D719B0" w:rsidRPr="005C64E9">
        <w:rPr>
          <w:rFonts w:ascii="Times New Roman" w:hAnsi="Times New Roman" w:cs="Times New Roman"/>
          <w:sz w:val="24"/>
          <w:szCs w:val="24"/>
        </w:rPr>
        <w:t xml:space="preserve"> defendant with authority to sell it, alternatively with such outward indicia of authority as estopped her from denying the sale. The </w:t>
      </w:r>
      <w:r>
        <w:rPr>
          <w:rFonts w:ascii="Times New Roman" w:hAnsi="Times New Roman" w:cs="Times New Roman"/>
          <w:sz w:val="24"/>
          <w:szCs w:val="24"/>
        </w:rPr>
        <w:t>fourth</w:t>
      </w:r>
      <w:r w:rsidR="00D719B0" w:rsidRPr="005C64E9">
        <w:rPr>
          <w:rFonts w:ascii="Times New Roman" w:hAnsi="Times New Roman" w:cs="Times New Roman"/>
          <w:sz w:val="24"/>
          <w:szCs w:val="24"/>
        </w:rPr>
        <w:t xml:space="preserve"> defendant’s pleaded case was that she never sold the vehicle to the plaintiff, never authorised the </w:t>
      </w:r>
      <w:r>
        <w:rPr>
          <w:rFonts w:ascii="Times New Roman" w:hAnsi="Times New Roman" w:cs="Times New Roman"/>
          <w:sz w:val="24"/>
          <w:szCs w:val="24"/>
        </w:rPr>
        <w:t>fifth</w:t>
      </w:r>
      <w:r w:rsidR="00D719B0" w:rsidRPr="005C64E9">
        <w:rPr>
          <w:rFonts w:ascii="Times New Roman" w:hAnsi="Times New Roman" w:cs="Times New Roman"/>
          <w:sz w:val="24"/>
          <w:szCs w:val="24"/>
        </w:rPr>
        <w:t xml:space="preserve"> defendant to do so, never received the purchase price, and remained the true owner entitled to vindicate the vehicle. The </w:t>
      </w:r>
      <w:r>
        <w:rPr>
          <w:rFonts w:ascii="Times New Roman" w:hAnsi="Times New Roman" w:cs="Times New Roman"/>
          <w:sz w:val="24"/>
          <w:szCs w:val="24"/>
        </w:rPr>
        <w:t>first</w:t>
      </w:r>
      <w:r w:rsidR="00D719B0" w:rsidRPr="005C64E9">
        <w:rPr>
          <w:rFonts w:ascii="Times New Roman" w:hAnsi="Times New Roman" w:cs="Times New Roman"/>
          <w:sz w:val="24"/>
          <w:szCs w:val="24"/>
        </w:rPr>
        <w:t xml:space="preserve"> to </w:t>
      </w:r>
      <w:r>
        <w:rPr>
          <w:rFonts w:ascii="Times New Roman" w:hAnsi="Times New Roman" w:cs="Times New Roman"/>
          <w:sz w:val="24"/>
          <w:szCs w:val="24"/>
        </w:rPr>
        <w:t>third</w:t>
      </w:r>
      <w:r w:rsidR="00D719B0" w:rsidRPr="005C64E9">
        <w:rPr>
          <w:rFonts w:ascii="Times New Roman" w:hAnsi="Times New Roman" w:cs="Times New Roman"/>
          <w:sz w:val="24"/>
          <w:szCs w:val="24"/>
        </w:rPr>
        <w:t xml:space="preserve"> defendants’ role was confined to their continued detention of the vehicle pending the unresolved criminal complaint against the </w:t>
      </w:r>
      <w:r>
        <w:rPr>
          <w:rFonts w:ascii="Times New Roman" w:hAnsi="Times New Roman" w:cs="Times New Roman"/>
          <w:sz w:val="24"/>
          <w:szCs w:val="24"/>
        </w:rPr>
        <w:t>fifth</w:t>
      </w:r>
      <w:r w:rsidR="00D719B0" w:rsidRPr="005C64E9">
        <w:rPr>
          <w:rFonts w:ascii="Times New Roman" w:hAnsi="Times New Roman" w:cs="Times New Roman"/>
          <w:sz w:val="24"/>
          <w:szCs w:val="24"/>
        </w:rPr>
        <w:t xml:space="preserve"> defendant. </w:t>
      </w:r>
    </w:p>
    <w:p w14:paraId="453749FC" w14:textId="77777777"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The plaintiff’s case</w:t>
      </w:r>
    </w:p>
    <w:p w14:paraId="2116F642" w14:textId="265685C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[5] The plaintiff, Kingsley </w:t>
      </w:r>
      <w:proofErr w:type="spellStart"/>
      <w:r w:rsidRPr="005C64E9">
        <w:rPr>
          <w:rFonts w:ascii="Times New Roman" w:hAnsi="Times New Roman" w:cs="Times New Roman"/>
          <w:sz w:val="24"/>
          <w:szCs w:val="24"/>
        </w:rPr>
        <w:t>Chanetsa</w:t>
      </w:r>
      <w:proofErr w:type="spellEnd"/>
      <w:r w:rsidRPr="005C64E9">
        <w:rPr>
          <w:rFonts w:ascii="Times New Roman" w:hAnsi="Times New Roman" w:cs="Times New Roman"/>
          <w:sz w:val="24"/>
          <w:szCs w:val="24"/>
        </w:rPr>
        <w:t xml:space="preserve">, testified that he is a motor vehicle trader of about ten years’ standing. On 26 February 2024 his brother David advised him that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had a vehicle for sale. When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arrived with the vehicle, the plaintiff recognised him as a person connected to the motor trade.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told him that the vehicle belonged to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and that he had been given the task of selling it. Before committing himself, the plaintiff caused checks to be done with the Vehicle Theft Squad and satisfied himself that the vehicle had not been reported stolen. </w:t>
      </w:r>
    </w:p>
    <w:p w14:paraId="477B12C6" w14:textId="523F6EA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[6] The plaintiff further testified that he insisted on confirmation of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 mandate. The original registration book in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name was produced.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then telephoned the owner. The conversation was conducted on the plaintiff’s </w:t>
      </w:r>
      <w:r w:rsidRPr="005C64E9">
        <w:rPr>
          <w:rFonts w:ascii="Times New Roman" w:hAnsi="Times New Roman" w:cs="Times New Roman"/>
          <w:sz w:val="24"/>
          <w:szCs w:val="24"/>
        </w:rPr>
        <w:lastRenderedPageBreak/>
        <w:t xml:space="preserve">brother’s phone on loudspeaker. During that process an image of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national identity document was forwarded to David </w:t>
      </w:r>
      <w:proofErr w:type="spellStart"/>
      <w:r w:rsidRPr="005C64E9">
        <w:rPr>
          <w:rFonts w:ascii="Times New Roman" w:hAnsi="Times New Roman" w:cs="Times New Roman"/>
          <w:sz w:val="24"/>
          <w:szCs w:val="24"/>
        </w:rPr>
        <w:t>Chanetsa’s</w:t>
      </w:r>
      <w:proofErr w:type="spellEnd"/>
      <w:r w:rsidRPr="005C64E9">
        <w:rPr>
          <w:rFonts w:ascii="Times New Roman" w:hAnsi="Times New Roman" w:cs="Times New Roman"/>
          <w:sz w:val="24"/>
          <w:szCs w:val="24"/>
        </w:rPr>
        <w:t xml:space="preserve"> WhatsApp. Satisfied by that combination of circumstances, the plaintiff proceeded with the transaction. The agreed price was US$18 000. He paid in cash, and after payment he received the motor vehicle, keys, registration book and a copy of the agreement of sale. The affidavit-form agreement of sale was admitted as exhibit P2,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ID copy as exhibit P1, and the relevant police statements as exhibits P3 and P4. </w:t>
      </w:r>
    </w:p>
    <w:p w14:paraId="3587903F" w14:textId="70C2D05C"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[7] The plaintiff said that </w:t>
      </w:r>
      <w:r w:rsidR="00F02F05" w:rsidRPr="005C64E9">
        <w:rPr>
          <w:rFonts w:ascii="Times New Roman" w:hAnsi="Times New Roman" w:cs="Times New Roman"/>
          <w:sz w:val="24"/>
          <w:szCs w:val="24"/>
        </w:rPr>
        <w:t>two- or three-days</w:t>
      </w:r>
      <w:r w:rsidRPr="005C64E9">
        <w:rPr>
          <w:rFonts w:ascii="Times New Roman" w:hAnsi="Times New Roman" w:cs="Times New Roman"/>
          <w:sz w:val="24"/>
          <w:szCs w:val="24"/>
        </w:rPr>
        <w:t xml:space="preserve"> later difficulties began. William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contacted his brother to say that he wanted to collect the vehicle. According to the plaintiff,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indicated that he had been instructed by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to surrender the vehicle into the possession of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so that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could sell it. The plaintiff also relied on the fact that both </w:t>
      </w:r>
      <w:proofErr w:type="spellStart"/>
      <w:r w:rsidRPr="005C64E9">
        <w:rPr>
          <w:rFonts w:ascii="Times New Roman" w:hAnsi="Times New Roman" w:cs="Times New Roman"/>
          <w:sz w:val="24"/>
          <w:szCs w:val="24"/>
        </w:rPr>
        <w:t>Makore’s</w:t>
      </w:r>
      <w:proofErr w:type="spellEnd"/>
      <w:r w:rsidRPr="005C64E9">
        <w:rPr>
          <w:rFonts w:ascii="Times New Roman" w:hAnsi="Times New Roman" w:cs="Times New Roman"/>
          <w:sz w:val="24"/>
          <w:szCs w:val="24"/>
        </w:rPr>
        <w:t xml:space="preserve"> police statement and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police statement, as summarised in the record, pointed to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having received the vehicle and its papers in circumstances connected with its sale. The criminal complaint laid against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was one of theft of trust property. The vehicle was eventually impounded and has remained at the </w:t>
      </w:r>
      <w:proofErr w:type="spellStart"/>
      <w:r w:rsidRPr="005C64E9">
        <w:rPr>
          <w:rFonts w:ascii="Times New Roman" w:hAnsi="Times New Roman" w:cs="Times New Roman"/>
          <w:sz w:val="24"/>
          <w:szCs w:val="24"/>
        </w:rPr>
        <w:t>Southerton</w:t>
      </w:r>
      <w:proofErr w:type="spellEnd"/>
      <w:r w:rsidRPr="005C64E9">
        <w:rPr>
          <w:rFonts w:ascii="Times New Roman" w:hAnsi="Times New Roman" w:cs="Times New Roman"/>
          <w:sz w:val="24"/>
          <w:szCs w:val="24"/>
        </w:rPr>
        <w:t xml:space="preserve"> Vehicle Theft Squad yard. </w:t>
      </w:r>
    </w:p>
    <w:p w14:paraId="4A856B34" w14:textId="3044A2D2"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[8] David </w:t>
      </w:r>
      <w:proofErr w:type="spellStart"/>
      <w:r w:rsidRPr="005C64E9">
        <w:rPr>
          <w:rFonts w:ascii="Times New Roman" w:hAnsi="Times New Roman" w:cs="Times New Roman"/>
          <w:sz w:val="24"/>
          <w:szCs w:val="24"/>
        </w:rPr>
        <w:t>Chanetsa</w:t>
      </w:r>
      <w:proofErr w:type="spellEnd"/>
      <w:r w:rsidRPr="005C64E9">
        <w:rPr>
          <w:rFonts w:ascii="Times New Roman" w:hAnsi="Times New Roman" w:cs="Times New Roman"/>
          <w:sz w:val="24"/>
          <w:szCs w:val="24"/>
        </w:rPr>
        <w:t xml:space="preserve"> materially corroborated the plaintiff. He testified that when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brought the vehicle, the parties inspected the documents, which included the original registration book and the previous agreement of sale. Because the vehicle was not in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 name, David insisted on speaking to the owner. He then spoke to a woman on what appeared to be a South African number, who confirmed ownership, while an image of her ID was simultaneously forwarded to his phone. David accepted that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said the purchase price was not to be discussed directly with the owner because his commission depended on the margin. Later, when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called to demand return of the vehicle, David refused to surrender it except to the police, and the vehicle was thereafter seized by the police. David remained steadfast under cross-examination and corroborated the plaintiff in material respects. </w:t>
      </w:r>
    </w:p>
    <w:p w14:paraId="7B6E8AB2" w14:textId="2D79AF00"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 xml:space="preserve">The </w:t>
      </w:r>
      <w:r w:rsidR="005C64E9">
        <w:rPr>
          <w:rFonts w:ascii="Times New Roman" w:hAnsi="Times New Roman" w:cs="Times New Roman"/>
          <w:b/>
          <w:sz w:val="24"/>
          <w:szCs w:val="24"/>
        </w:rPr>
        <w:t>fourth</w:t>
      </w:r>
      <w:r w:rsidRPr="005C64E9">
        <w:rPr>
          <w:rFonts w:ascii="Times New Roman" w:hAnsi="Times New Roman" w:cs="Times New Roman"/>
          <w:b/>
          <w:sz w:val="24"/>
          <w:szCs w:val="24"/>
        </w:rPr>
        <w:t xml:space="preserve"> defendant’s case</w:t>
      </w:r>
    </w:p>
    <w:p w14:paraId="55F4819B" w14:textId="0E9A91C8"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[9]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Peacemaker </w:t>
      </w:r>
      <w:proofErr w:type="spellStart"/>
      <w:r w:rsidRPr="005C64E9">
        <w:rPr>
          <w:rFonts w:ascii="Times New Roman" w:hAnsi="Times New Roman" w:cs="Times New Roman"/>
          <w:sz w:val="24"/>
          <w:szCs w:val="24"/>
        </w:rPr>
        <w:t>Nyevero</w:t>
      </w:r>
      <w:proofErr w:type="spellEnd"/>
      <w:r w:rsidRPr="005C64E9">
        <w:rPr>
          <w:rFonts w:ascii="Times New Roman" w:hAnsi="Times New Roman" w:cs="Times New Roman"/>
          <w:sz w:val="24"/>
          <w:szCs w:val="24"/>
        </w:rPr>
        <w:t xml:space="preserve"> </w:t>
      </w:r>
      <w:proofErr w:type="spellStart"/>
      <w:r w:rsidRPr="005C64E9">
        <w:rPr>
          <w:rFonts w:ascii="Times New Roman" w:hAnsi="Times New Roman" w:cs="Times New Roman"/>
          <w:sz w:val="24"/>
          <w:szCs w:val="24"/>
        </w:rPr>
        <w:t>Makuve</w:t>
      </w:r>
      <w:proofErr w:type="spellEnd"/>
      <w:r w:rsidRPr="005C64E9">
        <w:rPr>
          <w:rFonts w:ascii="Times New Roman" w:hAnsi="Times New Roman" w:cs="Times New Roman"/>
          <w:sz w:val="24"/>
          <w:szCs w:val="24"/>
        </w:rPr>
        <w:t xml:space="preserve">, testified that she bought the vehicle from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in June or July 2023 through Wheels and Auto garage, and in that connection sent him an image of her identity document to assist with a change of ownership. She said that because she was now working outside Zimbabwe and feared deterioration of the </w:t>
      </w:r>
      <w:r w:rsidRPr="005C64E9">
        <w:rPr>
          <w:rFonts w:ascii="Times New Roman" w:hAnsi="Times New Roman" w:cs="Times New Roman"/>
          <w:sz w:val="24"/>
          <w:szCs w:val="24"/>
        </w:rPr>
        <w:lastRenderedPageBreak/>
        <w:t xml:space="preserve">vehicle from non-use, she later contacted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and told him that she wanted to sell it. Her version was that his task was only to look for a buyer and advise her; once a buyer was found she intended personally to conclude the sale, with payment and receipting to be done through her legal practitioners. </w:t>
      </w:r>
    </w:p>
    <w:p w14:paraId="1022BE94" w14:textId="2E215D7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[10] She nonetheless accepted significant facts. She accepted that because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knew the vehicle, she used him for purposes of the intended sale. She accepted that on previous occasions she allowed him to take the vehicle out and show it to would-be purchasers. She accepted that on 26 February 2024, while she was out of the country, she instructed her tenant, William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to release the vehicle to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who wished to show it to a potential buyer. She also accepted in cross-examination that she trusted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because he worked at a car sale, that the original registration book was always kept in the vehicle, and that she had indeed previously sent him her ID image. </w:t>
      </w:r>
    </w:p>
    <w:p w14:paraId="35F77B3E" w14:textId="6B5DBEE8"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[11]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denied ever authorising a sale at US$18 000. She denied speaking to the plaintiff or David on the day of the sale. She described the affidavit-form agreement of sale between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and plaintiff as fake, and insisted that the vehicle had been stolen. Yet under cross-examination she made further concessions of consequence. She accepted that she had left the motor vehicle together with the registration book in the hands of her tenant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that she had instructed </w:t>
      </w:r>
      <w:proofErr w:type="spellStart"/>
      <w:r w:rsidRPr="005C64E9">
        <w:rPr>
          <w:rFonts w:ascii="Times New Roman" w:hAnsi="Times New Roman" w:cs="Times New Roman"/>
          <w:sz w:val="24"/>
          <w:szCs w:val="24"/>
        </w:rPr>
        <w:t>Makore</w:t>
      </w:r>
      <w:proofErr w:type="spellEnd"/>
      <w:r w:rsidRPr="005C64E9">
        <w:rPr>
          <w:rFonts w:ascii="Times New Roman" w:hAnsi="Times New Roman" w:cs="Times New Roman"/>
          <w:sz w:val="24"/>
          <w:szCs w:val="24"/>
        </w:rPr>
        <w:t xml:space="preserve"> to allow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to drive it out, that it was foreseeable that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could have kept and later used a copy of the previous agreement of sale, and that if a person was allowed to drive out the car with the registration book that person could sell the vehicle without recourse to her. She agreed that, on her previous dealings with him, she had been casual with her instructions to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t>
      </w:r>
    </w:p>
    <w:p w14:paraId="723FC57F" w14:textId="77777777"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The governing principles</w:t>
      </w:r>
    </w:p>
    <w:p w14:paraId="1E10EEC7" w14:textId="41AE03F4"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[12] The court is bound to decide the dispute placed before it by the parties, and here that dispute is the crystallised issue of mandate, sale and entitlement to the vehicle as recorded in the pre-trial minute. </w:t>
      </w:r>
    </w:p>
    <w:p w14:paraId="7946E49C" w14:textId="2C2E9067"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[13] The general common-law position is clear. Ownership is jealously protected, and in a vindicatory claim the owner ordinarily need only prove ownership and possession by another. Zimbabwean and South African authorities alike emphasise that principle. But the same authorities also recognise the innocent possessor’s answer: estoppel or ostensible authority, where the owner’s own conduct made it reasonable for a third party to believe that the </w:t>
      </w:r>
      <w:r w:rsidRPr="005C64E9">
        <w:rPr>
          <w:rFonts w:ascii="Times New Roman" w:hAnsi="Times New Roman" w:cs="Times New Roman"/>
          <w:sz w:val="24"/>
          <w:szCs w:val="24"/>
        </w:rPr>
        <w:lastRenderedPageBreak/>
        <w:t xml:space="preserve">intermediary had authority to deal with the property. </w:t>
      </w:r>
      <w:proofErr w:type="spellStart"/>
      <w:r w:rsidRPr="001F2FB6">
        <w:rPr>
          <w:rFonts w:ascii="Times New Roman" w:hAnsi="Times New Roman" w:cs="Times New Roman"/>
          <w:i/>
          <w:sz w:val="24"/>
          <w:szCs w:val="24"/>
        </w:rPr>
        <w:t>Mashave</w:t>
      </w:r>
      <w:proofErr w:type="spellEnd"/>
      <w:r w:rsidRPr="001F2FB6">
        <w:rPr>
          <w:rFonts w:ascii="Times New Roman" w:hAnsi="Times New Roman" w:cs="Times New Roman"/>
          <w:i/>
          <w:sz w:val="24"/>
          <w:szCs w:val="24"/>
        </w:rPr>
        <w:t xml:space="preserve"> </w:t>
      </w:r>
      <w:r w:rsidRPr="005C64E9">
        <w:rPr>
          <w:rFonts w:ascii="Times New Roman" w:hAnsi="Times New Roman" w:cs="Times New Roman"/>
          <w:sz w:val="24"/>
          <w:szCs w:val="24"/>
        </w:rPr>
        <w:t xml:space="preserve">v </w:t>
      </w:r>
      <w:r w:rsidRPr="001F2FB6">
        <w:rPr>
          <w:rFonts w:ascii="Times New Roman" w:hAnsi="Times New Roman" w:cs="Times New Roman"/>
          <w:i/>
          <w:sz w:val="24"/>
          <w:szCs w:val="24"/>
        </w:rPr>
        <w:t>Standard Bank of South Africa</w:t>
      </w:r>
      <w:r w:rsidRPr="005C64E9">
        <w:rPr>
          <w:rFonts w:ascii="Times New Roman" w:hAnsi="Times New Roman" w:cs="Times New Roman"/>
          <w:sz w:val="24"/>
          <w:szCs w:val="24"/>
        </w:rPr>
        <w:t xml:space="preserve"> Ltd 1998 (1) ZLR 436 (S) at 438C makes the point squarely that the innocent purchaser’s only defence is estoppel, while </w:t>
      </w:r>
      <w:r w:rsidRPr="001F2FB6">
        <w:rPr>
          <w:rFonts w:ascii="Times New Roman" w:hAnsi="Times New Roman" w:cs="Times New Roman"/>
          <w:i/>
          <w:sz w:val="24"/>
          <w:szCs w:val="24"/>
        </w:rPr>
        <w:t>Andrew Phillips (Pvt) Ltd</w:t>
      </w:r>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GDR Pneumatics (Pvt) Ltd</w:t>
      </w:r>
      <w:r w:rsidRPr="005C64E9">
        <w:rPr>
          <w:rFonts w:ascii="Times New Roman" w:hAnsi="Times New Roman" w:cs="Times New Roman"/>
          <w:sz w:val="24"/>
          <w:szCs w:val="24"/>
        </w:rPr>
        <w:t xml:space="preserve"> 1986 (2) ZLR 65 (SC) at 67 identifies the familiar elements of representation, misleading effect and induced conduct. </w:t>
      </w:r>
    </w:p>
    <w:p w14:paraId="08F8833F" w14:textId="7096A869"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[14] Zimbabwean authority is particularly helpful in cases of this kind. In </w:t>
      </w:r>
      <w:r w:rsidRPr="001F2FB6">
        <w:rPr>
          <w:rFonts w:ascii="Times New Roman" w:hAnsi="Times New Roman" w:cs="Times New Roman"/>
          <w:i/>
          <w:sz w:val="24"/>
          <w:szCs w:val="24"/>
        </w:rPr>
        <w:t>River Ranch Ltd</w:t>
      </w:r>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Delta Corporation Ltd</w:t>
      </w:r>
      <w:r w:rsidRPr="005C64E9">
        <w:rPr>
          <w:rFonts w:ascii="Times New Roman" w:hAnsi="Times New Roman" w:cs="Times New Roman"/>
          <w:sz w:val="24"/>
          <w:szCs w:val="24"/>
        </w:rPr>
        <w:t xml:space="preserve"> HH 1/10 the court accepted that a principal whose agent disposes of entrusted property without authority may recover it from third parties unless estopped by having given the agent ostensible authority to deal with it. In </w:t>
      </w:r>
      <w:proofErr w:type="spellStart"/>
      <w:r w:rsidRPr="001F2FB6">
        <w:rPr>
          <w:rFonts w:ascii="Times New Roman" w:hAnsi="Times New Roman" w:cs="Times New Roman"/>
          <w:i/>
          <w:sz w:val="24"/>
          <w:szCs w:val="24"/>
        </w:rPr>
        <w:t>Gwafa</w:t>
      </w:r>
      <w:proofErr w:type="spellEnd"/>
      <w:r w:rsidRPr="001F2FB6">
        <w:rPr>
          <w:rFonts w:ascii="Times New Roman" w:hAnsi="Times New Roman" w:cs="Times New Roman"/>
          <w:i/>
          <w:sz w:val="24"/>
          <w:szCs w:val="24"/>
        </w:rPr>
        <w:t xml:space="preserve"> </w:t>
      </w:r>
      <w:r w:rsidRPr="005C64E9">
        <w:rPr>
          <w:rFonts w:ascii="Times New Roman" w:hAnsi="Times New Roman" w:cs="Times New Roman"/>
          <w:sz w:val="24"/>
          <w:szCs w:val="24"/>
        </w:rPr>
        <w:t xml:space="preserve">v </w:t>
      </w:r>
      <w:r w:rsidRPr="001F2FB6">
        <w:rPr>
          <w:rFonts w:ascii="Times New Roman" w:hAnsi="Times New Roman" w:cs="Times New Roman"/>
          <w:i/>
          <w:sz w:val="24"/>
          <w:szCs w:val="24"/>
        </w:rPr>
        <w:t>SEDCO &amp; Anor</w:t>
      </w:r>
      <w:r w:rsidRPr="005C64E9">
        <w:rPr>
          <w:rFonts w:ascii="Times New Roman" w:hAnsi="Times New Roman" w:cs="Times New Roman"/>
          <w:sz w:val="24"/>
          <w:szCs w:val="24"/>
        </w:rPr>
        <w:t xml:space="preserve"> 1999 (2) ZLR 261 (S), drawing on </w:t>
      </w:r>
      <w:r w:rsidRPr="001F2FB6">
        <w:rPr>
          <w:rFonts w:ascii="Times New Roman" w:hAnsi="Times New Roman" w:cs="Times New Roman"/>
          <w:i/>
          <w:sz w:val="24"/>
          <w:szCs w:val="24"/>
        </w:rPr>
        <w:t>Stewart</w:t>
      </w:r>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Zagreb Properties (Pvt) Ltd</w:t>
      </w:r>
      <w:r w:rsidRPr="005C64E9">
        <w:rPr>
          <w:rFonts w:ascii="Times New Roman" w:hAnsi="Times New Roman" w:cs="Times New Roman"/>
          <w:sz w:val="24"/>
          <w:szCs w:val="24"/>
        </w:rPr>
        <w:t xml:space="preserve"> 1971 1 RLR 180 (RA); 1971 (2) SA 346 (RA) and </w:t>
      </w:r>
      <w:r w:rsidRPr="001F2FB6">
        <w:rPr>
          <w:rFonts w:ascii="Times New Roman" w:hAnsi="Times New Roman" w:cs="Times New Roman"/>
          <w:i/>
          <w:sz w:val="24"/>
          <w:szCs w:val="24"/>
        </w:rPr>
        <w:t>Reed NO</w:t>
      </w:r>
      <w:r w:rsidRPr="005C64E9">
        <w:rPr>
          <w:rFonts w:ascii="Times New Roman" w:hAnsi="Times New Roman" w:cs="Times New Roman"/>
          <w:sz w:val="24"/>
          <w:szCs w:val="24"/>
        </w:rPr>
        <w:t xml:space="preserve"> v </w:t>
      </w:r>
      <w:proofErr w:type="spellStart"/>
      <w:r w:rsidRPr="001F2FB6">
        <w:rPr>
          <w:rFonts w:ascii="Times New Roman" w:hAnsi="Times New Roman" w:cs="Times New Roman"/>
          <w:i/>
          <w:sz w:val="24"/>
          <w:szCs w:val="24"/>
        </w:rPr>
        <w:t>Sager’s</w:t>
      </w:r>
      <w:proofErr w:type="spellEnd"/>
      <w:r w:rsidRPr="001F2FB6">
        <w:rPr>
          <w:rFonts w:ascii="Times New Roman" w:hAnsi="Times New Roman" w:cs="Times New Roman"/>
          <w:i/>
          <w:sz w:val="24"/>
          <w:szCs w:val="24"/>
        </w:rPr>
        <w:t xml:space="preserve"> Motors (Pvt) Ltd</w:t>
      </w:r>
      <w:r w:rsidRPr="005C64E9">
        <w:rPr>
          <w:rFonts w:ascii="Times New Roman" w:hAnsi="Times New Roman" w:cs="Times New Roman"/>
          <w:sz w:val="24"/>
          <w:szCs w:val="24"/>
        </w:rPr>
        <w:t xml:space="preserve"> 1970 (1) SA 521 (RA), the principle is put in practical form: if a principal places a servant or agent in a capacity in which persons generally recognised in that capacity have authority to do certain acts, those acts bind the principal as being within the agent’s apparent authority. Whether the act falls within that apparent authority is essentially a question of fact. </w:t>
      </w:r>
    </w:p>
    <w:p w14:paraId="7C0613F2" w14:textId="7DA3F12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[15] The broader commonwealth and South African jurisprudence is consistent. </w:t>
      </w:r>
      <w:proofErr w:type="spellStart"/>
      <w:r w:rsidRPr="001F2FB6">
        <w:rPr>
          <w:rFonts w:ascii="Times New Roman" w:hAnsi="Times New Roman" w:cs="Times New Roman"/>
          <w:i/>
          <w:sz w:val="24"/>
          <w:szCs w:val="24"/>
        </w:rPr>
        <w:t>Monzali</w:t>
      </w:r>
      <w:proofErr w:type="spellEnd"/>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Smith</w:t>
      </w:r>
      <w:r w:rsidRPr="005C64E9">
        <w:rPr>
          <w:rFonts w:ascii="Times New Roman" w:hAnsi="Times New Roman" w:cs="Times New Roman"/>
          <w:sz w:val="24"/>
          <w:szCs w:val="24"/>
        </w:rPr>
        <w:t xml:space="preserve"> [1929] AD 382 at 385 states that where a person, by words or conduct, represents or permits it to be represented that another has authority to act on his behalf, he is bound to one who deals with that other person on the faith of that representation. </w:t>
      </w:r>
      <w:proofErr w:type="spellStart"/>
      <w:r w:rsidRPr="001F2FB6">
        <w:rPr>
          <w:rFonts w:ascii="Times New Roman" w:hAnsi="Times New Roman" w:cs="Times New Roman"/>
          <w:i/>
          <w:sz w:val="24"/>
          <w:szCs w:val="24"/>
        </w:rPr>
        <w:t>Hely</w:t>
      </w:r>
      <w:proofErr w:type="spellEnd"/>
      <w:r w:rsidRPr="001F2FB6">
        <w:rPr>
          <w:rFonts w:ascii="Times New Roman" w:hAnsi="Times New Roman" w:cs="Times New Roman"/>
          <w:i/>
          <w:sz w:val="24"/>
          <w:szCs w:val="24"/>
        </w:rPr>
        <w:t>-Hutchinson</w:t>
      </w:r>
      <w:r w:rsidRPr="005C64E9">
        <w:rPr>
          <w:rFonts w:ascii="Times New Roman" w:hAnsi="Times New Roman" w:cs="Times New Roman"/>
          <w:sz w:val="24"/>
          <w:szCs w:val="24"/>
        </w:rPr>
        <w:t xml:space="preserve"> v </w:t>
      </w:r>
      <w:proofErr w:type="spellStart"/>
      <w:r w:rsidRPr="001F2FB6">
        <w:rPr>
          <w:rFonts w:ascii="Times New Roman" w:hAnsi="Times New Roman" w:cs="Times New Roman"/>
          <w:i/>
          <w:sz w:val="24"/>
          <w:szCs w:val="24"/>
        </w:rPr>
        <w:t>Brayhead</w:t>
      </w:r>
      <w:proofErr w:type="spellEnd"/>
      <w:r w:rsidRPr="001F2FB6">
        <w:rPr>
          <w:rFonts w:ascii="Times New Roman" w:hAnsi="Times New Roman" w:cs="Times New Roman"/>
          <w:i/>
          <w:sz w:val="24"/>
          <w:szCs w:val="24"/>
        </w:rPr>
        <w:t xml:space="preserve"> Ltd and Another</w:t>
      </w:r>
      <w:r w:rsidRPr="005C64E9">
        <w:rPr>
          <w:rFonts w:ascii="Times New Roman" w:hAnsi="Times New Roman" w:cs="Times New Roman"/>
          <w:sz w:val="24"/>
          <w:szCs w:val="24"/>
        </w:rPr>
        <w:t xml:space="preserve"> [1968] 1 QB 549 famously defines ostensible or apparent authority as the authority of an agent as it appears to others. </w:t>
      </w:r>
      <w:r w:rsidRPr="001F2FB6">
        <w:rPr>
          <w:rFonts w:ascii="Times New Roman" w:hAnsi="Times New Roman" w:cs="Times New Roman"/>
          <w:i/>
          <w:sz w:val="24"/>
          <w:szCs w:val="24"/>
        </w:rPr>
        <w:t>NBS Bank Ltd</w:t>
      </w:r>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Cape Produce Company</w:t>
      </w:r>
      <w:r w:rsidRPr="005C64E9">
        <w:rPr>
          <w:rFonts w:ascii="Times New Roman" w:hAnsi="Times New Roman" w:cs="Times New Roman"/>
          <w:sz w:val="24"/>
          <w:szCs w:val="24"/>
        </w:rPr>
        <w:t xml:space="preserve"> </w:t>
      </w:r>
      <w:r w:rsidRPr="001F2FB6">
        <w:rPr>
          <w:rFonts w:ascii="Times New Roman" w:hAnsi="Times New Roman" w:cs="Times New Roman"/>
          <w:i/>
          <w:sz w:val="24"/>
          <w:szCs w:val="24"/>
        </w:rPr>
        <w:t>(Pty) Ltd and Others</w:t>
      </w:r>
      <w:r w:rsidRPr="005C64E9">
        <w:rPr>
          <w:rFonts w:ascii="Times New Roman" w:hAnsi="Times New Roman" w:cs="Times New Roman"/>
          <w:sz w:val="24"/>
          <w:szCs w:val="24"/>
        </w:rPr>
        <w:t xml:space="preserve"> 2002 (1) SA 396 (SCA); [2002] 2 All SA 262 (A), and Northern Metropolitan Local Council v Company Unique Finance 2012 (5) SA 323 (SCA); [2012] 3 All SA 498 (SCA), identify the elements of representation by the principal, reasonable reliance, and prejudice. </w:t>
      </w:r>
      <w:proofErr w:type="spellStart"/>
      <w:r w:rsidRPr="001F2FB6">
        <w:rPr>
          <w:rFonts w:ascii="Times New Roman" w:hAnsi="Times New Roman" w:cs="Times New Roman"/>
          <w:i/>
          <w:sz w:val="24"/>
          <w:szCs w:val="24"/>
        </w:rPr>
        <w:t>Makate</w:t>
      </w:r>
      <w:proofErr w:type="spellEnd"/>
      <w:r w:rsidRPr="005C64E9">
        <w:rPr>
          <w:rFonts w:ascii="Times New Roman" w:hAnsi="Times New Roman" w:cs="Times New Roman"/>
          <w:sz w:val="24"/>
          <w:szCs w:val="24"/>
        </w:rPr>
        <w:t xml:space="preserve"> v </w:t>
      </w:r>
      <w:r w:rsidRPr="001F2FB6">
        <w:rPr>
          <w:rFonts w:ascii="Times New Roman" w:hAnsi="Times New Roman" w:cs="Times New Roman"/>
          <w:i/>
          <w:sz w:val="24"/>
          <w:szCs w:val="24"/>
        </w:rPr>
        <w:t>Vodacom (Pty) Ltd</w:t>
      </w:r>
      <w:r w:rsidRPr="005C64E9">
        <w:rPr>
          <w:rFonts w:ascii="Times New Roman" w:hAnsi="Times New Roman" w:cs="Times New Roman"/>
          <w:sz w:val="24"/>
          <w:szCs w:val="24"/>
        </w:rPr>
        <w:t xml:space="preserve"> [2016] ZACC 13; 2016 (6) BCLR 709 (CC); 2016 (4) SA 121 (CC) explains the relationship between these concepts: estoppel is not itself a form of authority, but where the principal’s conduct misleads the third party into believing the agent had authority, the principal is precluded from denying that authority. </w:t>
      </w:r>
    </w:p>
    <w:p w14:paraId="55371717" w14:textId="33C2805C"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[16] The authorities cited by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do not detract from those principles. </w:t>
      </w:r>
      <w:r w:rsidRPr="00BC57F2">
        <w:rPr>
          <w:rFonts w:ascii="Times New Roman" w:hAnsi="Times New Roman" w:cs="Times New Roman"/>
          <w:i/>
          <w:sz w:val="24"/>
          <w:szCs w:val="24"/>
        </w:rPr>
        <w:t>Electrolux (Pty) Ltd</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Khota</w:t>
      </w:r>
      <w:proofErr w:type="spellEnd"/>
      <w:r w:rsidRPr="00BC57F2">
        <w:rPr>
          <w:rFonts w:ascii="Times New Roman" w:hAnsi="Times New Roman" w:cs="Times New Roman"/>
          <w:i/>
          <w:sz w:val="24"/>
          <w:szCs w:val="24"/>
        </w:rPr>
        <w:t xml:space="preserve"> and Anor</w:t>
      </w:r>
      <w:r w:rsidRPr="005C64E9">
        <w:rPr>
          <w:rFonts w:ascii="Times New Roman" w:hAnsi="Times New Roman" w:cs="Times New Roman"/>
          <w:sz w:val="24"/>
          <w:szCs w:val="24"/>
        </w:rPr>
        <w:t xml:space="preserve"> 1961 (4) SA 244 (W) at 247-248 warns, correctly, that mere possession by a trader is not enough; there must be some additional circumstance, </w:t>
      </w:r>
      <w:r w:rsidRPr="005C64E9">
        <w:rPr>
          <w:rFonts w:ascii="Times New Roman" w:hAnsi="Times New Roman" w:cs="Times New Roman"/>
          <w:sz w:val="24"/>
          <w:szCs w:val="24"/>
        </w:rPr>
        <w:lastRenderedPageBreak/>
        <w:t xml:space="preserve">sometimes described as the “scenic apparatus”, supplied by the owner, which proclaims dominium or jus </w:t>
      </w:r>
      <w:proofErr w:type="spellStart"/>
      <w:r w:rsidRPr="005C64E9">
        <w:rPr>
          <w:rFonts w:ascii="Times New Roman" w:hAnsi="Times New Roman" w:cs="Times New Roman"/>
          <w:sz w:val="24"/>
          <w:szCs w:val="24"/>
        </w:rPr>
        <w:t>disponendi</w:t>
      </w:r>
      <w:proofErr w:type="spellEnd"/>
      <w:r w:rsidRPr="005C64E9">
        <w:rPr>
          <w:rFonts w:ascii="Times New Roman" w:hAnsi="Times New Roman" w:cs="Times New Roman"/>
          <w:sz w:val="24"/>
          <w:szCs w:val="24"/>
        </w:rPr>
        <w:t xml:space="preserve">. That caution does not help a party who has herself supplied the additional circumstances. Equally, private limitations on an agent’s authority do not avail against an innocent third party unless communicated to that third party. That principle appears from </w:t>
      </w:r>
      <w:proofErr w:type="spellStart"/>
      <w:r w:rsidRPr="00BC57F2">
        <w:rPr>
          <w:rFonts w:ascii="Times New Roman" w:hAnsi="Times New Roman" w:cs="Times New Roman"/>
          <w:i/>
          <w:sz w:val="24"/>
          <w:szCs w:val="24"/>
        </w:rPr>
        <w:t>Hlobo</w:t>
      </w:r>
      <w:proofErr w:type="spellEnd"/>
      <w:r w:rsidRPr="005C64E9">
        <w:rPr>
          <w:rFonts w:ascii="Times New Roman" w:hAnsi="Times New Roman" w:cs="Times New Roman"/>
          <w:sz w:val="24"/>
          <w:szCs w:val="24"/>
        </w:rPr>
        <w:t xml:space="preserve"> v </w:t>
      </w:r>
      <w:r w:rsidRPr="00BC57F2">
        <w:rPr>
          <w:rFonts w:ascii="Times New Roman" w:hAnsi="Times New Roman" w:cs="Times New Roman"/>
          <w:i/>
          <w:sz w:val="24"/>
          <w:szCs w:val="24"/>
        </w:rPr>
        <w:t>Multilateral Motor Vehicle Accidents Fund</w:t>
      </w:r>
      <w:r w:rsidRPr="005C64E9">
        <w:rPr>
          <w:rFonts w:ascii="Times New Roman" w:hAnsi="Times New Roman" w:cs="Times New Roman"/>
          <w:sz w:val="24"/>
          <w:szCs w:val="24"/>
        </w:rPr>
        <w:t xml:space="preserve"> 2001 (2) SA 59 (SCA) at 65D and </w:t>
      </w:r>
      <w:r w:rsidRPr="00BC57F2">
        <w:rPr>
          <w:rFonts w:ascii="Times New Roman" w:hAnsi="Times New Roman" w:cs="Times New Roman"/>
          <w:i/>
          <w:sz w:val="24"/>
          <w:szCs w:val="24"/>
        </w:rPr>
        <w:t xml:space="preserve">Maye </w:t>
      </w:r>
      <w:proofErr w:type="spellStart"/>
      <w:r w:rsidRPr="00BC57F2">
        <w:rPr>
          <w:rFonts w:ascii="Times New Roman" w:hAnsi="Times New Roman" w:cs="Times New Roman"/>
          <w:i/>
          <w:sz w:val="24"/>
          <w:szCs w:val="24"/>
        </w:rPr>
        <w:t>Serobe</w:t>
      </w:r>
      <w:proofErr w:type="spellEnd"/>
      <w:r w:rsidRPr="00BC57F2">
        <w:rPr>
          <w:rFonts w:ascii="Times New Roman" w:hAnsi="Times New Roman" w:cs="Times New Roman"/>
          <w:i/>
          <w:sz w:val="24"/>
          <w:szCs w:val="24"/>
        </w:rPr>
        <w:t xml:space="preserve"> (Pty) Ltd</w:t>
      </w:r>
      <w:r w:rsidRPr="005C64E9">
        <w:rPr>
          <w:rFonts w:ascii="Times New Roman" w:hAnsi="Times New Roman" w:cs="Times New Roman"/>
          <w:sz w:val="24"/>
          <w:szCs w:val="24"/>
        </w:rPr>
        <w:t xml:space="preserve"> v </w:t>
      </w:r>
      <w:r w:rsidRPr="00BC57F2">
        <w:rPr>
          <w:rFonts w:ascii="Times New Roman" w:hAnsi="Times New Roman" w:cs="Times New Roman"/>
          <w:i/>
          <w:sz w:val="24"/>
          <w:szCs w:val="24"/>
        </w:rPr>
        <w:t>LEWUSA obo Members and Others</w:t>
      </w:r>
      <w:r w:rsidRPr="005C64E9">
        <w:rPr>
          <w:rFonts w:ascii="Times New Roman" w:hAnsi="Times New Roman" w:cs="Times New Roman"/>
          <w:sz w:val="24"/>
          <w:szCs w:val="24"/>
        </w:rPr>
        <w:t xml:space="preserve"> (J 2377/12) [2015] ZALCJHB 116. </w:t>
      </w:r>
    </w:p>
    <w:p w14:paraId="5C1B5B2F" w14:textId="7450C289"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[17] I also accept the proposition, relied on by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in submissions, that estoppel ordinarily operates as a shield and not as an independent sword. The point appears from </w:t>
      </w:r>
      <w:r w:rsidRPr="00BC57F2">
        <w:rPr>
          <w:rFonts w:ascii="Times New Roman" w:hAnsi="Times New Roman" w:cs="Times New Roman"/>
          <w:i/>
          <w:sz w:val="24"/>
          <w:szCs w:val="24"/>
        </w:rPr>
        <w:t>Great Zimbabwe University</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Vengesayi</w:t>
      </w:r>
      <w:proofErr w:type="spellEnd"/>
      <w:r w:rsidRPr="00BC57F2">
        <w:rPr>
          <w:rFonts w:ascii="Times New Roman" w:hAnsi="Times New Roman" w:cs="Times New Roman"/>
          <w:i/>
          <w:sz w:val="24"/>
          <w:szCs w:val="24"/>
        </w:rPr>
        <w:t xml:space="preserve"> Architects</w:t>
      </w:r>
      <w:r w:rsidRPr="005C64E9">
        <w:rPr>
          <w:rFonts w:ascii="Times New Roman" w:hAnsi="Times New Roman" w:cs="Times New Roman"/>
          <w:sz w:val="24"/>
          <w:szCs w:val="24"/>
        </w:rPr>
        <w:t xml:space="preserve"> SC 10/23, </w:t>
      </w:r>
      <w:proofErr w:type="spellStart"/>
      <w:r w:rsidRPr="00BC57F2">
        <w:rPr>
          <w:rFonts w:ascii="Times New Roman" w:hAnsi="Times New Roman" w:cs="Times New Roman"/>
          <w:i/>
          <w:sz w:val="24"/>
          <w:szCs w:val="24"/>
        </w:rPr>
        <w:t>Willowvale</w:t>
      </w:r>
      <w:proofErr w:type="spellEnd"/>
      <w:r w:rsidRPr="00BC57F2">
        <w:rPr>
          <w:rFonts w:ascii="Times New Roman" w:hAnsi="Times New Roman" w:cs="Times New Roman"/>
          <w:i/>
          <w:sz w:val="24"/>
          <w:szCs w:val="24"/>
        </w:rPr>
        <w:t xml:space="preserve"> Mazda Motor</w:t>
      </w:r>
      <w:r w:rsidRPr="005C64E9">
        <w:rPr>
          <w:rFonts w:ascii="Times New Roman" w:hAnsi="Times New Roman" w:cs="Times New Roman"/>
          <w:sz w:val="24"/>
          <w:szCs w:val="24"/>
        </w:rPr>
        <w:t xml:space="preserve"> </w:t>
      </w:r>
      <w:r w:rsidRPr="00BC57F2">
        <w:rPr>
          <w:rFonts w:ascii="Times New Roman" w:hAnsi="Times New Roman" w:cs="Times New Roman"/>
          <w:i/>
          <w:sz w:val="24"/>
          <w:szCs w:val="24"/>
        </w:rPr>
        <w:t>Industries (Pvt) Ltd</w:t>
      </w:r>
      <w:r w:rsidRPr="005C64E9">
        <w:rPr>
          <w:rFonts w:ascii="Times New Roman" w:hAnsi="Times New Roman" w:cs="Times New Roman"/>
          <w:sz w:val="24"/>
          <w:szCs w:val="24"/>
        </w:rPr>
        <w:t xml:space="preserve"> v </w:t>
      </w:r>
      <w:r w:rsidRPr="00BC57F2">
        <w:rPr>
          <w:rFonts w:ascii="Times New Roman" w:hAnsi="Times New Roman" w:cs="Times New Roman"/>
          <w:i/>
          <w:sz w:val="24"/>
          <w:szCs w:val="24"/>
        </w:rPr>
        <w:t>Sunshine Rent-a-Car</w:t>
      </w:r>
      <w:r w:rsidRPr="005C64E9">
        <w:rPr>
          <w:rFonts w:ascii="Times New Roman" w:hAnsi="Times New Roman" w:cs="Times New Roman"/>
          <w:sz w:val="24"/>
          <w:szCs w:val="24"/>
        </w:rPr>
        <w:t xml:space="preserve"> 1996 (1) ZLR 415 (S), Guarantee Investment Corporation Ltd v Shaw 1953 (4) SA 479 (SR), </w:t>
      </w:r>
      <w:r w:rsidRPr="00BC57F2">
        <w:rPr>
          <w:rFonts w:ascii="Times New Roman" w:hAnsi="Times New Roman" w:cs="Times New Roman"/>
          <w:i/>
          <w:sz w:val="24"/>
          <w:szCs w:val="24"/>
        </w:rPr>
        <w:t xml:space="preserve">Rosen </w:t>
      </w:r>
      <w:r w:rsidRPr="005C64E9">
        <w:rPr>
          <w:rFonts w:ascii="Times New Roman" w:hAnsi="Times New Roman" w:cs="Times New Roman"/>
          <w:sz w:val="24"/>
          <w:szCs w:val="24"/>
        </w:rPr>
        <w:t xml:space="preserve">v </w:t>
      </w:r>
      <w:r w:rsidRPr="00BC57F2">
        <w:rPr>
          <w:rFonts w:ascii="Times New Roman" w:hAnsi="Times New Roman" w:cs="Times New Roman"/>
          <w:i/>
          <w:sz w:val="24"/>
          <w:szCs w:val="24"/>
        </w:rPr>
        <w:t>Barclays National Bank Ltd</w:t>
      </w:r>
      <w:r w:rsidRPr="005C64E9">
        <w:rPr>
          <w:rFonts w:ascii="Times New Roman" w:hAnsi="Times New Roman" w:cs="Times New Roman"/>
          <w:sz w:val="24"/>
          <w:szCs w:val="24"/>
        </w:rPr>
        <w:t xml:space="preserve"> 1984 (3) SA 974 (W) at 983G-I, </w:t>
      </w:r>
      <w:r w:rsidRPr="00BC57F2">
        <w:rPr>
          <w:rFonts w:ascii="Times New Roman" w:hAnsi="Times New Roman" w:cs="Times New Roman"/>
          <w:i/>
          <w:sz w:val="24"/>
          <w:szCs w:val="24"/>
        </w:rPr>
        <w:t>Union Government</w:t>
      </w:r>
      <w:r w:rsidRPr="005C64E9">
        <w:rPr>
          <w:rFonts w:ascii="Times New Roman" w:hAnsi="Times New Roman" w:cs="Times New Roman"/>
          <w:sz w:val="24"/>
          <w:szCs w:val="24"/>
        </w:rPr>
        <w:t xml:space="preserve"> v </w:t>
      </w:r>
      <w:r w:rsidRPr="00BC57F2">
        <w:rPr>
          <w:rFonts w:ascii="Times New Roman" w:hAnsi="Times New Roman" w:cs="Times New Roman"/>
          <w:i/>
          <w:sz w:val="24"/>
          <w:szCs w:val="24"/>
        </w:rPr>
        <w:t>National Bank of SA Ltd</w:t>
      </w:r>
      <w:r w:rsidRPr="005C64E9">
        <w:rPr>
          <w:rFonts w:ascii="Times New Roman" w:hAnsi="Times New Roman" w:cs="Times New Roman"/>
          <w:sz w:val="24"/>
          <w:szCs w:val="24"/>
        </w:rPr>
        <w:t xml:space="preserve"> 1921 AD 121 at 128, Mann v </w:t>
      </w:r>
      <w:r w:rsidRPr="00BC57F2">
        <w:rPr>
          <w:rFonts w:ascii="Times New Roman" w:hAnsi="Times New Roman" w:cs="Times New Roman"/>
          <w:i/>
          <w:sz w:val="24"/>
          <w:szCs w:val="24"/>
        </w:rPr>
        <w:t>Sydney Hunt Motors (Pty) Ltd</w:t>
      </w:r>
      <w:r w:rsidRPr="005C64E9">
        <w:rPr>
          <w:rFonts w:ascii="Times New Roman" w:hAnsi="Times New Roman" w:cs="Times New Roman"/>
          <w:sz w:val="24"/>
          <w:szCs w:val="24"/>
        </w:rPr>
        <w:t xml:space="preserve"> 1958 (2) SA 102 (GW) and </w:t>
      </w:r>
      <w:r w:rsidRPr="00BC57F2">
        <w:rPr>
          <w:rFonts w:ascii="Times New Roman" w:hAnsi="Times New Roman" w:cs="Times New Roman"/>
          <w:i/>
          <w:sz w:val="24"/>
          <w:szCs w:val="24"/>
        </w:rPr>
        <w:t>Adriatic Insurance Co</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O’Mant</w:t>
      </w:r>
      <w:proofErr w:type="spellEnd"/>
      <w:r w:rsidRPr="00BC57F2">
        <w:rPr>
          <w:rFonts w:ascii="Times New Roman" w:hAnsi="Times New Roman" w:cs="Times New Roman"/>
          <w:i/>
          <w:sz w:val="24"/>
          <w:szCs w:val="24"/>
        </w:rPr>
        <w:t xml:space="preserve"> </w:t>
      </w:r>
      <w:r w:rsidRPr="005C64E9">
        <w:rPr>
          <w:rFonts w:ascii="Times New Roman" w:hAnsi="Times New Roman" w:cs="Times New Roman"/>
          <w:sz w:val="24"/>
          <w:szCs w:val="24"/>
        </w:rPr>
        <w:t xml:space="preserve">1964 (3) SA 292 (SR). But that does not defeat this suit. The plaintiff’s claim is not an abstract cause of action based solely on estoppel. It is a claim to ownership and possession founded upon a sale and delivery </w:t>
      </w:r>
      <w:proofErr w:type="gramStart"/>
      <w:r w:rsidRPr="005C64E9">
        <w:rPr>
          <w:rFonts w:ascii="Times New Roman" w:hAnsi="Times New Roman" w:cs="Times New Roman"/>
          <w:sz w:val="24"/>
          <w:szCs w:val="24"/>
        </w:rPr>
        <w:t>effected</w:t>
      </w:r>
      <w:proofErr w:type="gramEnd"/>
      <w:r w:rsidRPr="005C64E9">
        <w:rPr>
          <w:rFonts w:ascii="Times New Roman" w:hAnsi="Times New Roman" w:cs="Times New Roman"/>
          <w:sz w:val="24"/>
          <w:szCs w:val="24"/>
        </w:rPr>
        <w:t xml:space="preserve"> by a person whom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clothed with ostensible authority. Estoppel here operates in the conventional way: it prevents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from denying the authority that her own conduct made to appear. In any event, the issue of ostensible authority was expressly raised in the pleadings, ventilated at trial, and crystallised in the pre-trial minute. No prejudice arises from the form in which the point was pleaded. </w:t>
      </w:r>
    </w:p>
    <w:p w14:paraId="4EA32167" w14:textId="21517C1A"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[18] Finally, registration is not conclusive of ownership of a motor vehicle. </w:t>
      </w:r>
      <w:proofErr w:type="spellStart"/>
      <w:r w:rsidRPr="00BC57F2">
        <w:rPr>
          <w:rFonts w:ascii="Times New Roman" w:hAnsi="Times New Roman" w:cs="Times New Roman"/>
          <w:i/>
          <w:sz w:val="24"/>
          <w:szCs w:val="24"/>
        </w:rPr>
        <w:t>Akojee</w:t>
      </w:r>
      <w:proofErr w:type="spellEnd"/>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Sibanyoni</w:t>
      </w:r>
      <w:proofErr w:type="spellEnd"/>
      <w:r w:rsidRPr="00BC57F2">
        <w:rPr>
          <w:rFonts w:ascii="Times New Roman" w:hAnsi="Times New Roman" w:cs="Times New Roman"/>
          <w:i/>
          <w:sz w:val="24"/>
          <w:szCs w:val="24"/>
        </w:rPr>
        <w:t xml:space="preserve"> </w:t>
      </w:r>
      <w:r w:rsidRPr="005C64E9">
        <w:rPr>
          <w:rFonts w:ascii="Times New Roman" w:hAnsi="Times New Roman" w:cs="Times New Roman"/>
          <w:sz w:val="24"/>
          <w:szCs w:val="24"/>
        </w:rPr>
        <w:t xml:space="preserve">and Another 1976 (3) SA 440 (W) stands for the proposition that transfer of ownership of a motor vehicle is governed by the common law and that registration in a person’s name is not a pre-requisite to the passing of ownership.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reliance on the registration book as if it were dispositive is therefore misplaced. </w:t>
      </w:r>
    </w:p>
    <w:p w14:paraId="63454A9A" w14:textId="77777777"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Analysis and application</w:t>
      </w:r>
    </w:p>
    <w:p w14:paraId="251B56BA" w14:textId="54FEF98D"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[19] In my view the plaintiff proved his case on a balance of probabilities. I do not find it necessary to decide whether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gave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express authority to conclude a sale at the precise price of US$18 000. The decisive point is that she unquestionably created the appearance that he had authority to sell. She had previously </w:t>
      </w:r>
      <w:r w:rsidRPr="005C64E9">
        <w:rPr>
          <w:rFonts w:ascii="Times New Roman" w:hAnsi="Times New Roman" w:cs="Times New Roman"/>
          <w:sz w:val="24"/>
          <w:szCs w:val="24"/>
        </w:rPr>
        <w:lastRenderedPageBreak/>
        <w:t xml:space="preserve">bought the same vehicle from him. She chose him as the person to handle the intended disposal of the vehicle because he knew it. She let him take it out on more than one occasion to show prospective purchasers. On the crucial day she instructed her tenant to release the vehicle to him while she was abroad. The original registration book was in the vehicle. He had access to the prior sale papers and to the image of her identity document originally sent by her. Those were not the trappings of a mere messenger. They were the very indicia by which a reasonable purchaser would conclude that he had authority to conclude a sale. </w:t>
      </w:r>
    </w:p>
    <w:p w14:paraId="24F65DDB" w14:textId="5101AD0C"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[20] The plaintiff and David acted with caution rather than rashness. They inspected the vehicle’s papers, demanded to speak to the owner, received what they understood to be confirmation of ownership and authority, obtained an image of the owner’s ID, and checked with the Vehicle Theft Squad that the vehicle was not listed as stolen before the deal was closed. The law does not require a purchaser in those circumstances to unravel the undisclosed private arrangement between principal and agent. Once the outward manifestations of authority were supplied by the principal, the purchaser was entitled to rely on them. </w:t>
      </w:r>
    </w:p>
    <w:p w14:paraId="4BDFE6A1" w14:textId="43E379A6"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[21] I reject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attempt at trial to reduce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 role to that of a mere finder of purchasers. That version does not sit with </w:t>
      </w:r>
      <w:proofErr w:type="gramStart"/>
      <w:r w:rsidRPr="005C64E9">
        <w:rPr>
          <w:rFonts w:ascii="Times New Roman" w:hAnsi="Times New Roman" w:cs="Times New Roman"/>
          <w:sz w:val="24"/>
          <w:szCs w:val="24"/>
        </w:rPr>
        <w:t>her own</w:t>
      </w:r>
      <w:proofErr w:type="gramEnd"/>
      <w:r w:rsidRPr="005C64E9">
        <w:rPr>
          <w:rFonts w:ascii="Times New Roman" w:hAnsi="Times New Roman" w:cs="Times New Roman"/>
          <w:sz w:val="24"/>
          <w:szCs w:val="24"/>
        </w:rPr>
        <w:t xml:space="preserve"> concessions. She conceded trust. She conceded release of the vehicle. She conceded the presence of the registration book. She conceded foreseeability that the earlier sale papers could be used. She conceded that a person allowed to drive the car out with the registration book could sell it without recourse to her. Those concessions demolish the foundation of her case. They establish both the representation by conduct and the objective reasonableness of the plaintiff’s reliance. </w:t>
      </w:r>
    </w:p>
    <w:p w14:paraId="321B0304" w14:textId="3C056ACF"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[22] Nor am I persuaded by the reserve-price point, notwithstanding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reliance on </w:t>
      </w:r>
      <w:r w:rsidRPr="00BC57F2">
        <w:rPr>
          <w:rFonts w:ascii="Times New Roman" w:hAnsi="Times New Roman" w:cs="Times New Roman"/>
          <w:i/>
          <w:sz w:val="24"/>
          <w:szCs w:val="24"/>
        </w:rPr>
        <w:t>Property Shop (Pvt) Ltd</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Dombo</w:t>
      </w:r>
      <w:proofErr w:type="spellEnd"/>
      <w:r w:rsidRPr="005C64E9">
        <w:rPr>
          <w:rFonts w:ascii="Times New Roman" w:hAnsi="Times New Roman" w:cs="Times New Roman"/>
          <w:sz w:val="24"/>
          <w:szCs w:val="24"/>
        </w:rPr>
        <w:t xml:space="preserve"> HH 472/24. The evidence and submissions disclosed shifting figures. More fundamentally, any minimum price remained a matter between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and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 unless and until communicated to the plaintiff by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herself. A principal cannot defeat an innocent third party by relying, after the fact, on undisclosed private instructions. If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meant that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had no authority whatever to conclude a sale below a specified price, it was incumbent upon her to structure her dealings and communications in a manner that made that limitation clear to outsiders. She did not do so. </w:t>
      </w:r>
    </w:p>
    <w:p w14:paraId="60A51B9B" w14:textId="2F33957E"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lastRenderedPageBreak/>
        <w:t xml:space="preserve">[23]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invocation of ruthless vindication authorities such as </w:t>
      </w:r>
      <w:r w:rsidRPr="00BC57F2">
        <w:rPr>
          <w:rFonts w:ascii="Times New Roman" w:hAnsi="Times New Roman" w:cs="Times New Roman"/>
          <w:i/>
          <w:sz w:val="24"/>
          <w:szCs w:val="24"/>
        </w:rPr>
        <w:t>Nzara</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Kashumba</w:t>
      </w:r>
      <w:proofErr w:type="spellEnd"/>
      <w:r w:rsidRPr="005C64E9">
        <w:rPr>
          <w:rFonts w:ascii="Times New Roman" w:hAnsi="Times New Roman" w:cs="Times New Roman"/>
          <w:sz w:val="24"/>
          <w:szCs w:val="24"/>
        </w:rPr>
        <w:t xml:space="preserve"> SC 18/18 and </w:t>
      </w:r>
      <w:r w:rsidRPr="00BC57F2">
        <w:rPr>
          <w:rFonts w:ascii="Times New Roman" w:hAnsi="Times New Roman" w:cs="Times New Roman"/>
          <w:i/>
          <w:sz w:val="24"/>
          <w:szCs w:val="24"/>
        </w:rPr>
        <w:t>Oakland Nominees Ltd</w:t>
      </w:r>
      <w:r w:rsidRPr="005C64E9">
        <w:rPr>
          <w:rFonts w:ascii="Times New Roman" w:hAnsi="Times New Roman" w:cs="Times New Roman"/>
          <w:sz w:val="24"/>
          <w:szCs w:val="24"/>
        </w:rPr>
        <w:t xml:space="preserve"> v </w:t>
      </w:r>
      <w:proofErr w:type="spellStart"/>
      <w:r w:rsidRPr="00BC57F2">
        <w:rPr>
          <w:rFonts w:ascii="Times New Roman" w:hAnsi="Times New Roman" w:cs="Times New Roman"/>
          <w:i/>
          <w:sz w:val="24"/>
          <w:szCs w:val="24"/>
        </w:rPr>
        <w:t>Gelria</w:t>
      </w:r>
      <w:proofErr w:type="spellEnd"/>
      <w:r w:rsidRPr="00BC57F2">
        <w:rPr>
          <w:rFonts w:ascii="Times New Roman" w:hAnsi="Times New Roman" w:cs="Times New Roman"/>
          <w:i/>
          <w:sz w:val="24"/>
          <w:szCs w:val="24"/>
        </w:rPr>
        <w:t xml:space="preserve"> Mining &amp; Investment Ltd</w:t>
      </w:r>
      <w:r w:rsidRPr="005C64E9">
        <w:rPr>
          <w:rFonts w:ascii="Times New Roman" w:hAnsi="Times New Roman" w:cs="Times New Roman"/>
          <w:sz w:val="24"/>
          <w:szCs w:val="24"/>
        </w:rPr>
        <w:t xml:space="preserve"> 1976 (1) SA 441 (A) at 452 is therefore incomplete. Those cases proclaim, and rightly so, the strength of ownership. But they do not abolish the recognised exception where the owner’s own conduct has misled an innocent third party. Here the plaintiff does not rest on naked possession. He rests on purchase for value, delivery, and a sale concluded by a person whom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clothed with ostensible authority. As between the plaintiff and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the better right lies with the plaintiff.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recourse lies against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who abused her trust and absconded, not against the purchaser whom her own conduct enabled him to deceive. </w:t>
      </w:r>
    </w:p>
    <w:p w14:paraId="539A8584" w14:textId="7845035B"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[24] The continued detention of the vehicle by the police was explicable while the competing civil claims were unresolved and the criminal complaint remained in limbo because of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defendant’s disappearance. </w:t>
      </w:r>
      <w:proofErr w:type="gramStart"/>
      <w:r w:rsidRPr="005C64E9">
        <w:rPr>
          <w:rFonts w:ascii="Times New Roman" w:hAnsi="Times New Roman" w:cs="Times New Roman"/>
          <w:sz w:val="24"/>
          <w:szCs w:val="24"/>
        </w:rPr>
        <w:t>But that position cannot continue indefinitely once this court has determined the civil entitlement to possession.</w:t>
      </w:r>
      <w:proofErr w:type="gramEnd"/>
      <w:r w:rsidRPr="005C64E9">
        <w:rPr>
          <w:rFonts w:ascii="Times New Roman" w:hAnsi="Times New Roman" w:cs="Times New Roman"/>
          <w:sz w:val="24"/>
          <w:szCs w:val="24"/>
        </w:rPr>
        <w:t xml:space="preserve"> The plaintiff is the party entitled to the motor vehicle as against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The consequential order for release should therefore follow. </w:t>
      </w:r>
    </w:p>
    <w:p w14:paraId="44323715" w14:textId="032EF29D"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[25] As to costs, the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was the substantive opponent and she has failed both in resisting the claim in convention and in pursuing her counterclaim. I do not, however, consider punitive costs against her to be warranted. The </w:t>
      </w:r>
      <w:r w:rsidR="005C64E9">
        <w:rPr>
          <w:rFonts w:ascii="Times New Roman" w:hAnsi="Times New Roman" w:cs="Times New Roman"/>
          <w:sz w:val="24"/>
          <w:szCs w:val="24"/>
        </w:rPr>
        <w:t>fifth</w:t>
      </w:r>
      <w:r w:rsidRPr="005C64E9">
        <w:rPr>
          <w:rFonts w:ascii="Times New Roman" w:hAnsi="Times New Roman" w:cs="Times New Roman"/>
          <w:sz w:val="24"/>
          <w:szCs w:val="24"/>
        </w:rPr>
        <w:t xml:space="preserve"> defendant was the author of the fraud but did not appear. In the exercise of the court’s discretion, ordinary costs against the unsuccessful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will meet the justice of the case. </w:t>
      </w:r>
    </w:p>
    <w:p w14:paraId="55780987" w14:textId="77777777" w:rsidR="00D719B0" w:rsidRPr="005C64E9" w:rsidRDefault="00D719B0" w:rsidP="005C64E9">
      <w:pPr>
        <w:pStyle w:val="NoSpacing"/>
        <w:spacing w:line="360" w:lineRule="auto"/>
        <w:jc w:val="both"/>
        <w:rPr>
          <w:rFonts w:ascii="Times New Roman" w:hAnsi="Times New Roman" w:cs="Times New Roman"/>
          <w:b/>
          <w:sz w:val="24"/>
          <w:szCs w:val="24"/>
        </w:rPr>
      </w:pPr>
      <w:r w:rsidRPr="005C64E9">
        <w:rPr>
          <w:rFonts w:ascii="Times New Roman" w:hAnsi="Times New Roman" w:cs="Times New Roman"/>
          <w:b/>
          <w:sz w:val="24"/>
          <w:szCs w:val="24"/>
        </w:rPr>
        <w:t>Order</w:t>
      </w:r>
    </w:p>
    <w:p w14:paraId="51C3F11D" w14:textId="46D2E889"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[26] In the result, judgment is entered for the plaintiff.</w:t>
      </w:r>
    </w:p>
    <w:p w14:paraId="2C5CEB94" w14:textId="0CE5E175"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[27] It is ordered that—</w:t>
      </w:r>
    </w:p>
    <w:p w14:paraId="6A477D6A" w14:textId="26794DD0"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(a) the plaintiff, KINGSLEY CHANETSA, be and is hereby declared the lawful and rightful owner and holder of ownership rights to the motor vehicle described as a black 2014 Mercedes Benz, registration number AGG 2117, engine number 274M163024823G, chassis number WDD2050402F066784;</w:t>
      </w:r>
    </w:p>
    <w:p w14:paraId="37497D12" w14:textId="3F49A38A"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(b) the </w:t>
      </w:r>
      <w:r w:rsidR="005C64E9">
        <w:rPr>
          <w:rFonts w:ascii="Times New Roman" w:hAnsi="Times New Roman" w:cs="Times New Roman"/>
          <w:sz w:val="24"/>
          <w:szCs w:val="24"/>
        </w:rPr>
        <w:t>first</w:t>
      </w:r>
      <w:r w:rsidRPr="005C64E9">
        <w:rPr>
          <w:rFonts w:ascii="Times New Roman" w:hAnsi="Times New Roman" w:cs="Times New Roman"/>
          <w:sz w:val="24"/>
          <w:szCs w:val="24"/>
        </w:rPr>
        <w:t xml:space="preserve"> defendant, being the Officer in Charge, Vehicle Theft Squad, Zimbabwe Republic Police, </w:t>
      </w:r>
      <w:proofErr w:type="spellStart"/>
      <w:r w:rsidRPr="005C64E9">
        <w:rPr>
          <w:rFonts w:ascii="Times New Roman" w:hAnsi="Times New Roman" w:cs="Times New Roman"/>
          <w:sz w:val="24"/>
          <w:szCs w:val="24"/>
        </w:rPr>
        <w:t>Southerton</w:t>
      </w:r>
      <w:proofErr w:type="spellEnd"/>
      <w:r w:rsidRPr="005C64E9">
        <w:rPr>
          <w:rFonts w:ascii="Times New Roman" w:hAnsi="Times New Roman" w:cs="Times New Roman"/>
          <w:sz w:val="24"/>
          <w:szCs w:val="24"/>
        </w:rPr>
        <w:t xml:space="preserve"> N.O, and any subordinate officers or agents acting on his instructions or under his supervision, shall release the said motor vehicle to the plaintiff within five days of service of this order;</w:t>
      </w:r>
    </w:p>
    <w:p w14:paraId="2A492A23" w14:textId="70ACC6AF" w:rsidR="00D719B0" w:rsidRPr="005C64E9"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lastRenderedPageBreak/>
        <w:t xml:space="preserve">(c) </w:t>
      </w:r>
      <w:proofErr w:type="gramStart"/>
      <w:r w:rsidRPr="005C64E9">
        <w:rPr>
          <w:rFonts w:ascii="Times New Roman" w:hAnsi="Times New Roman" w:cs="Times New Roman"/>
          <w:sz w:val="24"/>
          <w:szCs w:val="24"/>
        </w:rPr>
        <w:t>the</w:t>
      </w:r>
      <w:proofErr w:type="gramEnd"/>
      <w:r w:rsidRPr="005C64E9">
        <w:rPr>
          <w:rFonts w:ascii="Times New Roman" w:hAnsi="Times New Roman" w:cs="Times New Roman"/>
          <w:sz w:val="24"/>
          <w:szCs w:val="24"/>
        </w:rPr>
        <w:t xml:space="preserv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defendant’s counterclaim be and is hereby dismissed;</w:t>
      </w:r>
    </w:p>
    <w:p w14:paraId="53E2530F" w14:textId="0A7C51A1" w:rsidR="00D719B0" w:rsidRDefault="00D719B0" w:rsidP="005C64E9">
      <w:pPr>
        <w:pStyle w:val="NoSpacing"/>
        <w:spacing w:line="360" w:lineRule="auto"/>
        <w:jc w:val="both"/>
        <w:rPr>
          <w:rFonts w:ascii="Times New Roman" w:hAnsi="Times New Roman" w:cs="Times New Roman"/>
          <w:sz w:val="24"/>
          <w:szCs w:val="24"/>
        </w:rPr>
      </w:pPr>
      <w:r w:rsidRPr="005C64E9">
        <w:rPr>
          <w:rFonts w:ascii="Times New Roman" w:hAnsi="Times New Roman" w:cs="Times New Roman"/>
          <w:sz w:val="24"/>
          <w:szCs w:val="24"/>
        </w:rPr>
        <w:t xml:space="preserve">(d) </w:t>
      </w:r>
      <w:proofErr w:type="gramStart"/>
      <w:r w:rsidRPr="005C64E9">
        <w:rPr>
          <w:rFonts w:ascii="Times New Roman" w:hAnsi="Times New Roman" w:cs="Times New Roman"/>
          <w:sz w:val="24"/>
          <w:szCs w:val="24"/>
        </w:rPr>
        <w:t>the</w:t>
      </w:r>
      <w:proofErr w:type="gramEnd"/>
      <w:r w:rsidRPr="005C64E9">
        <w:rPr>
          <w:rFonts w:ascii="Times New Roman" w:hAnsi="Times New Roman" w:cs="Times New Roman"/>
          <w:sz w:val="24"/>
          <w:szCs w:val="24"/>
        </w:rPr>
        <w:t xml:space="preserve"> </w:t>
      </w:r>
      <w:r w:rsidR="005C64E9">
        <w:rPr>
          <w:rFonts w:ascii="Times New Roman" w:hAnsi="Times New Roman" w:cs="Times New Roman"/>
          <w:sz w:val="24"/>
          <w:szCs w:val="24"/>
        </w:rPr>
        <w:t>fourth</w:t>
      </w:r>
      <w:r w:rsidRPr="005C64E9">
        <w:rPr>
          <w:rFonts w:ascii="Times New Roman" w:hAnsi="Times New Roman" w:cs="Times New Roman"/>
          <w:sz w:val="24"/>
          <w:szCs w:val="24"/>
        </w:rPr>
        <w:t xml:space="preserve"> defendant shall pay the plaintiff’s costs of suit on the ordinary scale.</w:t>
      </w:r>
    </w:p>
    <w:p w14:paraId="41955657" w14:textId="77777777" w:rsidR="005C64E9" w:rsidRPr="005C64E9" w:rsidRDefault="005C64E9" w:rsidP="005C64E9">
      <w:pPr>
        <w:pStyle w:val="NoSpacing"/>
        <w:spacing w:line="360" w:lineRule="auto"/>
        <w:jc w:val="both"/>
        <w:rPr>
          <w:rFonts w:ascii="Times New Roman" w:hAnsi="Times New Roman" w:cs="Times New Roman"/>
          <w:sz w:val="24"/>
          <w:szCs w:val="24"/>
        </w:rPr>
      </w:pPr>
    </w:p>
    <w:p w14:paraId="2C995831" w14:textId="77777777" w:rsidR="00D719B0" w:rsidRPr="005C64E9" w:rsidRDefault="00D719B0" w:rsidP="005C64E9">
      <w:pPr>
        <w:pStyle w:val="NoSpacing"/>
        <w:spacing w:line="360" w:lineRule="auto"/>
        <w:jc w:val="both"/>
        <w:rPr>
          <w:rFonts w:ascii="Times New Roman" w:hAnsi="Times New Roman" w:cs="Times New Roman"/>
          <w:sz w:val="24"/>
          <w:szCs w:val="24"/>
        </w:rPr>
      </w:pPr>
    </w:p>
    <w:p w14:paraId="11D91F4E" w14:textId="1B80AE07" w:rsidR="00083873" w:rsidRPr="005C64E9" w:rsidRDefault="005C64E9" w:rsidP="005C64E9">
      <w:pPr>
        <w:pStyle w:val="NoSpacing"/>
        <w:spacing w:line="360" w:lineRule="auto"/>
        <w:jc w:val="both"/>
        <w:rPr>
          <w:rFonts w:ascii="Times New Roman" w:hAnsi="Times New Roman" w:cs="Times New Roman"/>
          <w:b/>
          <w:smallCaps/>
          <w:sz w:val="24"/>
          <w:szCs w:val="24"/>
        </w:rPr>
      </w:pPr>
      <w:proofErr w:type="spellStart"/>
      <w:r w:rsidRPr="005C64E9">
        <w:rPr>
          <w:rFonts w:ascii="Times New Roman" w:hAnsi="Times New Roman" w:cs="Times New Roman"/>
          <w:b/>
          <w:smallCaps/>
          <w:sz w:val="24"/>
          <w:szCs w:val="24"/>
        </w:rPr>
        <w:t>Mambara</w:t>
      </w:r>
      <w:proofErr w:type="spellEnd"/>
      <w:r w:rsidRPr="005C64E9">
        <w:rPr>
          <w:rFonts w:ascii="Times New Roman" w:hAnsi="Times New Roman" w:cs="Times New Roman"/>
          <w:b/>
          <w:smallCaps/>
          <w:sz w:val="24"/>
          <w:szCs w:val="24"/>
        </w:rPr>
        <w:t xml:space="preserve"> J………………………………………….</w:t>
      </w:r>
    </w:p>
    <w:p w14:paraId="4682A320" w14:textId="7D99BBF5" w:rsidR="0028399A" w:rsidRPr="005C64E9" w:rsidRDefault="0028399A" w:rsidP="005C64E9">
      <w:pPr>
        <w:pStyle w:val="NoSpacing"/>
        <w:jc w:val="both"/>
        <w:rPr>
          <w:rFonts w:ascii="Times New Roman" w:hAnsi="Times New Roman" w:cs="Times New Roman"/>
          <w:sz w:val="24"/>
          <w:szCs w:val="24"/>
        </w:rPr>
      </w:pPr>
      <w:proofErr w:type="spellStart"/>
      <w:r w:rsidRPr="005C64E9">
        <w:rPr>
          <w:rFonts w:ascii="Times New Roman" w:hAnsi="Times New Roman" w:cs="Times New Roman"/>
          <w:i/>
          <w:iCs/>
          <w:sz w:val="24"/>
          <w:szCs w:val="24"/>
        </w:rPr>
        <w:t>Mutandiro</w:t>
      </w:r>
      <w:proofErr w:type="spellEnd"/>
      <w:r w:rsidRPr="005C64E9">
        <w:rPr>
          <w:rFonts w:ascii="Times New Roman" w:hAnsi="Times New Roman" w:cs="Times New Roman"/>
          <w:i/>
          <w:iCs/>
          <w:sz w:val="24"/>
          <w:szCs w:val="24"/>
        </w:rPr>
        <w:t xml:space="preserve">, </w:t>
      </w:r>
      <w:proofErr w:type="spellStart"/>
      <w:r w:rsidRPr="005C64E9">
        <w:rPr>
          <w:rFonts w:ascii="Times New Roman" w:hAnsi="Times New Roman" w:cs="Times New Roman"/>
          <w:i/>
          <w:iCs/>
          <w:sz w:val="24"/>
          <w:szCs w:val="24"/>
        </w:rPr>
        <w:t>Chitsanga</w:t>
      </w:r>
      <w:proofErr w:type="spellEnd"/>
      <w:r w:rsidRPr="005C64E9">
        <w:rPr>
          <w:rFonts w:ascii="Times New Roman" w:hAnsi="Times New Roman" w:cs="Times New Roman"/>
          <w:i/>
          <w:iCs/>
          <w:sz w:val="24"/>
          <w:szCs w:val="24"/>
        </w:rPr>
        <w:t xml:space="preserve"> &amp; </w:t>
      </w:r>
      <w:proofErr w:type="spellStart"/>
      <w:r w:rsidRPr="005C64E9">
        <w:rPr>
          <w:rFonts w:ascii="Times New Roman" w:hAnsi="Times New Roman" w:cs="Times New Roman"/>
          <w:i/>
          <w:iCs/>
          <w:sz w:val="24"/>
          <w:szCs w:val="24"/>
        </w:rPr>
        <w:t>Chitima</w:t>
      </w:r>
      <w:proofErr w:type="spellEnd"/>
      <w:r w:rsidRPr="005C64E9">
        <w:rPr>
          <w:rFonts w:ascii="Times New Roman" w:hAnsi="Times New Roman" w:cs="Times New Roman"/>
          <w:sz w:val="24"/>
          <w:szCs w:val="24"/>
        </w:rPr>
        <w:t>, plaintiff’s legal practitioners</w:t>
      </w:r>
    </w:p>
    <w:p w14:paraId="0DCCAF20" w14:textId="2C058947" w:rsidR="0028399A" w:rsidRPr="005C64E9" w:rsidRDefault="0028399A" w:rsidP="005C64E9">
      <w:pPr>
        <w:pStyle w:val="NoSpacing"/>
        <w:jc w:val="both"/>
        <w:rPr>
          <w:rFonts w:ascii="Times New Roman" w:hAnsi="Times New Roman" w:cs="Times New Roman"/>
          <w:sz w:val="24"/>
          <w:szCs w:val="24"/>
        </w:rPr>
      </w:pPr>
      <w:proofErr w:type="spellStart"/>
      <w:r w:rsidRPr="005C64E9">
        <w:rPr>
          <w:rFonts w:ascii="Times New Roman" w:hAnsi="Times New Roman" w:cs="Times New Roman"/>
          <w:i/>
          <w:iCs/>
          <w:sz w:val="24"/>
          <w:szCs w:val="24"/>
        </w:rPr>
        <w:t>Rubaya</w:t>
      </w:r>
      <w:proofErr w:type="spellEnd"/>
      <w:r w:rsidRPr="005C64E9">
        <w:rPr>
          <w:rFonts w:ascii="Times New Roman" w:hAnsi="Times New Roman" w:cs="Times New Roman"/>
          <w:i/>
          <w:iCs/>
          <w:sz w:val="24"/>
          <w:szCs w:val="24"/>
        </w:rPr>
        <w:t xml:space="preserve"> &amp; </w:t>
      </w:r>
      <w:proofErr w:type="spellStart"/>
      <w:r w:rsidRPr="005C64E9">
        <w:rPr>
          <w:rFonts w:ascii="Times New Roman" w:hAnsi="Times New Roman" w:cs="Times New Roman"/>
          <w:i/>
          <w:iCs/>
          <w:sz w:val="24"/>
          <w:szCs w:val="24"/>
        </w:rPr>
        <w:t>Chatambudza</w:t>
      </w:r>
      <w:proofErr w:type="spellEnd"/>
      <w:r w:rsidRPr="005C64E9">
        <w:rPr>
          <w:rFonts w:ascii="Times New Roman" w:hAnsi="Times New Roman" w:cs="Times New Roman"/>
          <w:sz w:val="24"/>
          <w:szCs w:val="24"/>
        </w:rPr>
        <w:t xml:space="preserve">, </w:t>
      </w:r>
      <w:proofErr w:type="gramStart"/>
      <w:r w:rsidR="00AE2D15">
        <w:rPr>
          <w:rFonts w:ascii="Times New Roman" w:hAnsi="Times New Roman" w:cs="Times New Roman"/>
          <w:sz w:val="24"/>
          <w:szCs w:val="24"/>
        </w:rPr>
        <w:t>4</w:t>
      </w:r>
      <w:r w:rsidR="00AE2D15" w:rsidRPr="00AE2D15">
        <w:rPr>
          <w:rFonts w:ascii="Times New Roman" w:hAnsi="Times New Roman" w:cs="Times New Roman"/>
          <w:sz w:val="24"/>
          <w:szCs w:val="24"/>
          <w:vertAlign w:val="superscript"/>
        </w:rPr>
        <w:t>th</w:t>
      </w:r>
      <w:r w:rsidR="00AE2D15">
        <w:rPr>
          <w:rFonts w:ascii="Times New Roman" w:hAnsi="Times New Roman" w:cs="Times New Roman"/>
          <w:sz w:val="24"/>
          <w:szCs w:val="24"/>
        </w:rPr>
        <w:t xml:space="preserve"> </w:t>
      </w:r>
      <w:r w:rsidR="00CD38CE" w:rsidRPr="005C64E9">
        <w:rPr>
          <w:rFonts w:ascii="Times New Roman" w:hAnsi="Times New Roman" w:cs="Times New Roman"/>
          <w:sz w:val="24"/>
          <w:szCs w:val="24"/>
        </w:rPr>
        <w:t xml:space="preserve"> defendant’s</w:t>
      </w:r>
      <w:proofErr w:type="gramEnd"/>
      <w:r w:rsidRPr="005C64E9">
        <w:rPr>
          <w:rFonts w:ascii="Times New Roman" w:hAnsi="Times New Roman" w:cs="Times New Roman"/>
          <w:sz w:val="24"/>
          <w:szCs w:val="24"/>
        </w:rPr>
        <w:t xml:space="preserve"> legal practitioners</w:t>
      </w:r>
    </w:p>
    <w:sectPr w:rsidR="0028399A" w:rsidRPr="005C64E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9167E" w14:textId="77777777" w:rsidR="0081502A" w:rsidRDefault="0081502A" w:rsidP="005C64E9">
      <w:pPr>
        <w:spacing w:after="0" w:line="240" w:lineRule="auto"/>
      </w:pPr>
      <w:r>
        <w:separator/>
      </w:r>
    </w:p>
  </w:endnote>
  <w:endnote w:type="continuationSeparator" w:id="0">
    <w:p w14:paraId="73E8293C" w14:textId="77777777" w:rsidR="0081502A" w:rsidRDefault="0081502A" w:rsidP="005C6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7E47D" w14:textId="77777777" w:rsidR="0081502A" w:rsidRDefault="0081502A" w:rsidP="005C64E9">
      <w:pPr>
        <w:spacing w:after="0" w:line="240" w:lineRule="auto"/>
      </w:pPr>
      <w:r>
        <w:separator/>
      </w:r>
    </w:p>
  </w:footnote>
  <w:footnote w:type="continuationSeparator" w:id="0">
    <w:p w14:paraId="2B9F2E83" w14:textId="77777777" w:rsidR="0081502A" w:rsidRDefault="0081502A" w:rsidP="005C6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531750"/>
      <w:docPartObj>
        <w:docPartGallery w:val="Page Numbers (Top of Page)"/>
        <w:docPartUnique/>
      </w:docPartObj>
    </w:sdtPr>
    <w:sdtEndPr>
      <w:rPr>
        <w:rFonts w:cstheme="minorHAnsi"/>
        <w:noProof/>
      </w:rPr>
    </w:sdtEndPr>
    <w:sdtContent>
      <w:p w14:paraId="61710E70" w14:textId="3B3D9602" w:rsidR="005C64E9" w:rsidRPr="00272B35" w:rsidRDefault="005C64E9" w:rsidP="005C64E9">
        <w:pPr>
          <w:pStyle w:val="Header"/>
          <w:jc w:val="right"/>
          <w:rPr>
            <w:rFonts w:cstheme="minorHAnsi"/>
            <w:noProof/>
          </w:rPr>
        </w:pPr>
        <w:r w:rsidRPr="00272B35">
          <w:rPr>
            <w:rFonts w:cstheme="minorHAnsi"/>
          </w:rPr>
          <w:fldChar w:fldCharType="begin"/>
        </w:r>
        <w:r w:rsidRPr="00272B35">
          <w:rPr>
            <w:rFonts w:cstheme="minorHAnsi"/>
          </w:rPr>
          <w:instrText xml:space="preserve"> PAGE   \* MERGEFORMAT </w:instrText>
        </w:r>
        <w:r w:rsidRPr="00272B35">
          <w:rPr>
            <w:rFonts w:cstheme="minorHAnsi"/>
          </w:rPr>
          <w:fldChar w:fldCharType="separate"/>
        </w:r>
        <w:r w:rsidR="006602F8">
          <w:rPr>
            <w:rFonts w:cstheme="minorHAnsi"/>
            <w:noProof/>
          </w:rPr>
          <w:t>1</w:t>
        </w:r>
        <w:r w:rsidRPr="00272B35">
          <w:rPr>
            <w:rFonts w:cstheme="minorHAnsi"/>
            <w:noProof/>
          </w:rPr>
          <w:fldChar w:fldCharType="end"/>
        </w:r>
      </w:p>
      <w:p w14:paraId="3D2712C6" w14:textId="51B1784A" w:rsidR="005C64E9" w:rsidRPr="00272B35" w:rsidRDefault="005C64E9" w:rsidP="005C64E9">
        <w:pPr>
          <w:pStyle w:val="Header"/>
          <w:jc w:val="right"/>
          <w:rPr>
            <w:rFonts w:cstheme="minorHAnsi"/>
            <w:noProof/>
          </w:rPr>
        </w:pPr>
        <w:r w:rsidRPr="00272B35">
          <w:rPr>
            <w:rFonts w:cstheme="minorHAnsi"/>
            <w:noProof/>
          </w:rPr>
          <w:t>HH</w:t>
        </w:r>
        <w:r w:rsidR="00272B35">
          <w:rPr>
            <w:rFonts w:cstheme="minorHAnsi"/>
            <w:noProof/>
          </w:rPr>
          <w:t xml:space="preserve"> 3</w:t>
        </w:r>
        <w:r w:rsidR="00272B35" w:rsidRPr="00272B35">
          <w:rPr>
            <w:rFonts w:cstheme="minorHAnsi"/>
            <w:noProof/>
          </w:rPr>
          <w:t>6</w:t>
        </w:r>
        <w:r w:rsidR="00272B35">
          <w:rPr>
            <w:rFonts w:cstheme="minorHAnsi"/>
            <w:noProof/>
          </w:rPr>
          <w:t>7</w:t>
        </w:r>
        <w:r w:rsidR="00272B35" w:rsidRPr="00272B35">
          <w:rPr>
            <w:rFonts w:cstheme="minorHAnsi"/>
            <w:noProof/>
          </w:rPr>
          <w:t>-26</w:t>
        </w:r>
      </w:p>
    </w:sdtContent>
  </w:sdt>
  <w:p w14:paraId="3AC23930" w14:textId="5F78ECF3" w:rsidR="005C64E9" w:rsidRPr="00272B35" w:rsidRDefault="005C64E9" w:rsidP="005C64E9">
    <w:pPr>
      <w:pStyle w:val="NoSpacing"/>
      <w:jc w:val="right"/>
      <w:rPr>
        <w:rFonts w:cstheme="minorHAnsi"/>
      </w:rPr>
    </w:pPr>
    <w:r w:rsidRPr="00272B35">
      <w:rPr>
        <w:rFonts w:cstheme="minorHAnsi"/>
      </w:rPr>
      <w:t xml:space="preserve"> Case No. HCH 1223/25</w:t>
    </w:r>
  </w:p>
  <w:p w14:paraId="5C31BB25" w14:textId="5C892BF2" w:rsidR="005C64E9" w:rsidRPr="005C64E9" w:rsidRDefault="005C64E9" w:rsidP="005C64E9">
    <w:pPr>
      <w:pStyle w:val="Header"/>
      <w:jc w:val="right"/>
      <w:rPr>
        <w:rFonts w:ascii="Times New Roman" w:hAnsi="Times New Roman" w:cs="Times New Roman"/>
      </w:rPr>
    </w:pPr>
  </w:p>
  <w:p w14:paraId="1B8AE922" w14:textId="77777777" w:rsidR="005C64E9" w:rsidRDefault="005C64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9B0"/>
    <w:rsid w:val="00083873"/>
    <w:rsid w:val="001F2FB6"/>
    <w:rsid w:val="00272B35"/>
    <w:rsid w:val="0028399A"/>
    <w:rsid w:val="005C64E9"/>
    <w:rsid w:val="006602F8"/>
    <w:rsid w:val="006E0917"/>
    <w:rsid w:val="00756D17"/>
    <w:rsid w:val="00762B8A"/>
    <w:rsid w:val="0081502A"/>
    <w:rsid w:val="00943B3E"/>
    <w:rsid w:val="009C1E3A"/>
    <w:rsid w:val="00AE2D15"/>
    <w:rsid w:val="00BC57F2"/>
    <w:rsid w:val="00CD38CE"/>
    <w:rsid w:val="00D66196"/>
    <w:rsid w:val="00D719B0"/>
    <w:rsid w:val="00F02F05"/>
    <w:rsid w:val="00F758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64E9"/>
    <w:pPr>
      <w:spacing w:after="0" w:line="240" w:lineRule="auto"/>
    </w:pPr>
  </w:style>
  <w:style w:type="paragraph" w:styleId="Header">
    <w:name w:val="header"/>
    <w:basedOn w:val="Normal"/>
    <w:link w:val="HeaderChar"/>
    <w:uiPriority w:val="99"/>
    <w:unhideWhenUsed/>
    <w:rsid w:val="005C64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4E9"/>
  </w:style>
  <w:style w:type="paragraph" w:styleId="Footer">
    <w:name w:val="footer"/>
    <w:basedOn w:val="Normal"/>
    <w:link w:val="FooterChar"/>
    <w:uiPriority w:val="99"/>
    <w:unhideWhenUsed/>
    <w:rsid w:val="005C64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64E9"/>
    <w:pPr>
      <w:spacing w:after="0" w:line="240" w:lineRule="auto"/>
    </w:pPr>
  </w:style>
  <w:style w:type="paragraph" w:styleId="Header">
    <w:name w:val="header"/>
    <w:basedOn w:val="Normal"/>
    <w:link w:val="HeaderChar"/>
    <w:uiPriority w:val="99"/>
    <w:unhideWhenUsed/>
    <w:rsid w:val="005C64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4E9"/>
  </w:style>
  <w:style w:type="paragraph" w:styleId="Footer">
    <w:name w:val="footer"/>
    <w:basedOn w:val="Normal"/>
    <w:link w:val="FooterChar"/>
    <w:uiPriority w:val="99"/>
    <w:unhideWhenUsed/>
    <w:rsid w:val="005C64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3042</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2026-05-22T11:35:00Z</dcterms:created>
  <dcterms:modified xsi:type="dcterms:W3CDTF">2026-05-22T11:35:00Z</dcterms:modified>
</cp:coreProperties>
</file>