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9E9E4" w14:textId="77777777" w:rsidR="00C50660" w:rsidRDefault="00EA7C09">
      <w:pPr>
        <w:spacing w:after="0" w:line="259" w:lineRule="auto"/>
        <w:ind w:left="0" w:right="0" w:firstLine="0"/>
        <w:jc w:val="left"/>
      </w:pPr>
      <w:r>
        <w:rPr>
          <w:b/>
        </w:rPr>
        <w:t xml:space="preserve"> </w:t>
      </w:r>
    </w:p>
    <w:p w14:paraId="1D2E869A" w14:textId="5806E308" w:rsidR="00C50660" w:rsidRDefault="00EA7C09">
      <w:pPr>
        <w:tabs>
          <w:tab w:val="center" w:pos="6684"/>
        </w:tabs>
        <w:spacing w:after="6" w:line="249" w:lineRule="auto"/>
        <w:ind w:left="-15" w:right="0" w:firstLine="0"/>
        <w:jc w:val="left"/>
      </w:pPr>
      <w:r>
        <w:rPr>
          <w:b/>
        </w:rPr>
        <w:t xml:space="preserve">IN THE LABOUR COURT OF ZIMBABWE </w:t>
      </w:r>
      <w:r>
        <w:rPr>
          <w:b/>
        </w:rPr>
        <w:tab/>
        <w:t xml:space="preserve">          JUDGMENT, NO LC/H/</w:t>
      </w:r>
      <w:r w:rsidR="009E7BAE">
        <w:rPr>
          <w:b/>
        </w:rPr>
        <w:t>48/26</w:t>
      </w:r>
      <w:r>
        <w:rPr>
          <w:b/>
        </w:rPr>
        <w:t xml:space="preserve"> </w:t>
      </w:r>
    </w:p>
    <w:p w14:paraId="1CEE9352" w14:textId="77777777" w:rsidR="00C50660" w:rsidRDefault="00EA7C09">
      <w:pPr>
        <w:spacing w:after="0" w:line="259" w:lineRule="auto"/>
        <w:ind w:left="0" w:right="0" w:firstLine="0"/>
        <w:jc w:val="left"/>
      </w:pPr>
      <w:r>
        <w:rPr>
          <w:b/>
        </w:rPr>
        <w:t xml:space="preserve"> </w:t>
      </w:r>
    </w:p>
    <w:p w14:paraId="07966E4F" w14:textId="77777777" w:rsidR="00C50660" w:rsidRDefault="00EA7C09">
      <w:pPr>
        <w:spacing w:after="6" w:line="249" w:lineRule="auto"/>
        <w:ind w:left="-5" w:right="662"/>
        <w:jc w:val="left"/>
      </w:pPr>
      <w:r>
        <w:rPr>
          <w:b/>
        </w:rPr>
        <w:t xml:space="preserve">HELD AT HARARE                                                             CASE NO LC/H/1351/25 </w:t>
      </w:r>
    </w:p>
    <w:p w14:paraId="3112850C" w14:textId="77777777" w:rsidR="00C50660" w:rsidRDefault="00EA7C09">
      <w:pPr>
        <w:spacing w:after="0" w:line="259" w:lineRule="auto"/>
        <w:ind w:left="0" w:right="0" w:firstLine="0"/>
        <w:jc w:val="left"/>
      </w:pPr>
      <w:r>
        <w:rPr>
          <w:b/>
        </w:rPr>
        <w:t xml:space="preserve"> </w:t>
      </w:r>
    </w:p>
    <w:p w14:paraId="2E86E79D" w14:textId="77777777" w:rsidR="00C50660" w:rsidRDefault="00EA7C09">
      <w:pPr>
        <w:spacing w:after="6" w:line="249" w:lineRule="auto"/>
        <w:ind w:left="-5" w:right="662"/>
        <w:jc w:val="left"/>
      </w:pPr>
      <w:r>
        <w:rPr>
          <w:b/>
        </w:rPr>
        <w:t xml:space="preserve">04 FEBRUARY 2026 </w:t>
      </w:r>
    </w:p>
    <w:p w14:paraId="08704C1A" w14:textId="77777777" w:rsidR="00C50660" w:rsidRDefault="00EA7C09">
      <w:pPr>
        <w:spacing w:after="6" w:line="249" w:lineRule="auto"/>
        <w:ind w:left="-5" w:right="662"/>
        <w:jc w:val="left"/>
      </w:pPr>
      <w:r>
        <w:rPr>
          <w:b/>
        </w:rPr>
        <w:t xml:space="preserve">&amp; 9 FEBRUARY 2026                             </w:t>
      </w:r>
    </w:p>
    <w:p w14:paraId="572441A8" w14:textId="77777777" w:rsidR="00C50660" w:rsidRDefault="00EA7C09">
      <w:pPr>
        <w:spacing w:after="0" w:line="259" w:lineRule="auto"/>
        <w:ind w:left="0" w:right="-35" w:firstLine="0"/>
      </w:pPr>
      <w:r>
        <w:rPr>
          <w:b/>
        </w:rPr>
        <w:t xml:space="preserve">                                                                                                                                                                               </w:t>
      </w:r>
    </w:p>
    <w:p w14:paraId="24F7BD6C" w14:textId="77777777" w:rsidR="00C50660" w:rsidRDefault="00EA7C09">
      <w:pPr>
        <w:spacing w:after="0" w:line="259" w:lineRule="auto"/>
        <w:ind w:left="0" w:righ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4F2AA795" w14:textId="77777777" w:rsidR="00C50660" w:rsidRDefault="00EA7C09">
      <w:pPr>
        <w:spacing w:after="0" w:line="259" w:lineRule="auto"/>
        <w:ind w:left="0" w:right="-35" w:firstLine="0"/>
      </w:pPr>
      <w:r>
        <w:rPr>
          <w:b/>
        </w:rPr>
        <w:t xml:space="preserve"> </w:t>
      </w:r>
      <w:r>
        <w:rPr>
          <w:b/>
        </w:rPr>
        <w:tab/>
        <w:t xml:space="preserve"> </w:t>
      </w:r>
      <w:r>
        <w:rPr>
          <w:b/>
        </w:rPr>
        <w:tab/>
        <w:t xml:space="preserve">                                           </w:t>
      </w:r>
    </w:p>
    <w:p w14:paraId="326BE6AE" w14:textId="71F02334" w:rsidR="00C50660" w:rsidRDefault="00EA7C09">
      <w:pPr>
        <w:spacing w:after="6" w:line="249" w:lineRule="auto"/>
        <w:ind w:left="-5" w:right="662"/>
        <w:jc w:val="left"/>
      </w:pPr>
      <w:r>
        <w:rPr>
          <w:b/>
        </w:rPr>
        <w:t xml:space="preserve">TONIA JARA                                                                                 </w:t>
      </w:r>
      <w:r w:rsidR="003B1EA0">
        <w:rPr>
          <w:b/>
        </w:rPr>
        <w:t xml:space="preserve">               </w:t>
      </w:r>
      <w:r>
        <w:rPr>
          <w:b/>
        </w:rPr>
        <w:t xml:space="preserve"> 1</w:t>
      </w:r>
      <w:r>
        <w:rPr>
          <w:b/>
          <w:vertAlign w:val="superscript"/>
        </w:rPr>
        <w:t>st</w:t>
      </w:r>
      <w:r>
        <w:rPr>
          <w:b/>
        </w:rPr>
        <w:t xml:space="preserve"> APPLICANT </w:t>
      </w:r>
      <w:r w:rsidR="003B1EA0">
        <w:rPr>
          <w:b/>
        </w:rPr>
        <w:t xml:space="preserve">      </w:t>
      </w:r>
      <w:r>
        <w:rPr>
          <w:b/>
        </w:rPr>
        <w:t>GIVEMORE FUNGURO                                                                              2</w:t>
      </w:r>
      <w:r>
        <w:rPr>
          <w:b/>
          <w:vertAlign w:val="superscript"/>
        </w:rPr>
        <w:t>nd</w:t>
      </w:r>
      <w:r>
        <w:rPr>
          <w:b/>
        </w:rPr>
        <w:t xml:space="preserve"> APPLICANT </w:t>
      </w:r>
    </w:p>
    <w:p w14:paraId="707D7C19" w14:textId="77777777" w:rsidR="00C50660" w:rsidRDefault="00EA7C09">
      <w:pPr>
        <w:spacing w:after="6" w:line="249" w:lineRule="auto"/>
        <w:ind w:left="-5" w:right="662"/>
        <w:jc w:val="left"/>
      </w:pPr>
      <w:r>
        <w:rPr>
          <w:b/>
        </w:rPr>
        <w:t>RICHARD SANDO                                                                                        3</w:t>
      </w:r>
      <w:r>
        <w:rPr>
          <w:b/>
          <w:vertAlign w:val="superscript"/>
        </w:rPr>
        <w:t>rd</w:t>
      </w:r>
      <w:r>
        <w:rPr>
          <w:b/>
        </w:rPr>
        <w:t xml:space="preserve"> APPLICANT </w:t>
      </w:r>
    </w:p>
    <w:p w14:paraId="190EB196" w14:textId="77777777" w:rsidR="00C50660" w:rsidRDefault="00EA7C09">
      <w:pPr>
        <w:spacing w:after="6" w:line="249" w:lineRule="auto"/>
        <w:ind w:left="-5" w:right="662"/>
        <w:jc w:val="left"/>
      </w:pPr>
      <w:r>
        <w:rPr>
          <w:b/>
        </w:rPr>
        <w:t>PRINCE MARIMBE                                                                                     4</w:t>
      </w:r>
      <w:r>
        <w:rPr>
          <w:b/>
          <w:vertAlign w:val="superscript"/>
        </w:rPr>
        <w:t>th</w:t>
      </w:r>
      <w:r>
        <w:rPr>
          <w:b/>
        </w:rPr>
        <w:t xml:space="preserve"> APPLICANT CEPHAS MUCHISA                                                                                     5</w:t>
      </w:r>
      <w:r>
        <w:rPr>
          <w:b/>
          <w:vertAlign w:val="superscript"/>
        </w:rPr>
        <w:t>th</w:t>
      </w:r>
      <w:r>
        <w:rPr>
          <w:b/>
        </w:rPr>
        <w:t xml:space="preserve"> APPLICANT </w:t>
      </w:r>
    </w:p>
    <w:p w14:paraId="63BF8D8C" w14:textId="77777777" w:rsidR="00C50660" w:rsidRDefault="00EA7C09">
      <w:pPr>
        <w:spacing w:after="6" w:line="249" w:lineRule="auto"/>
        <w:ind w:left="-5" w:right="662"/>
        <w:jc w:val="left"/>
      </w:pPr>
      <w:r>
        <w:rPr>
          <w:b/>
        </w:rPr>
        <w:t>LEADMORE SIWOMU                                                                               6</w:t>
      </w:r>
      <w:r>
        <w:rPr>
          <w:b/>
          <w:vertAlign w:val="superscript"/>
        </w:rPr>
        <w:t>th</w:t>
      </w:r>
      <w:r>
        <w:rPr>
          <w:b/>
        </w:rPr>
        <w:t xml:space="preserve"> APPLICANT </w:t>
      </w:r>
    </w:p>
    <w:p w14:paraId="46A62DB1" w14:textId="77777777" w:rsidR="00C50660" w:rsidRDefault="00EA7C09">
      <w:pPr>
        <w:spacing w:after="6" w:line="249" w:lineRule="auto"/>
        <w:ind w:left="-5" w:right="662"/>
        <w:jc w:val="left"/>
      </w:pPr>
      <w:r>
        <w:rPr>
          <w:b/>
        </w:rPr>
        <w:t>DAVID GUMBO                                                                                            7</w:t>
      </w:r>
      <w:r>
        <w:rPr>
          <w:b/>
          <w:vertAlign w:val="superscript"/>
        </w:rPr>
        <w:t>th</w:t>
      </w:r>
      <w:r>
        <w:rPr>
          <w:b/>
        </w:rPr>
        <w:t xml:space="preserve"> APPLICANT </w:t>
      </w:r>
    </w:p>
    <w:p w14:paraId="7033C679" w14:textId="77777777" w:rsidR="00C50660" w:rsidRDefault="00EA7C09">
      <w:pPr>
        <w:spacing w:after="6" w:line="249" w:lineRule="auto"/>
        <w:ind w:left="-5" w:right="662"/>
        <w:jc w:val="left"/>
      </w:pPr>
      <w:r>
        <w:rPr>
          <w:b/>
        </w:rPr>
        <w:t>NICHOLAS KANYIMO                                                                               8</w:t>
      </w:r>
      <w:r>
        <w:rPr>
          <w:b/>
          <w:vertAlign w:val="superscript"/>
        </w:rPr>
        <w:t>th</w:t>
      </w:r>
      <w:r>
        <w:rPr>
          <w:b/>
        </w:rPr>
        <w:t xml:space="preserve"> APPLICANT </w:t>
      </w:r>
    </w:p>
    <w:p w14:paraId="0D5214BC" w14:textId="77777777" w:rsidR="00C50660" w:rsidRDefault="00EA7C09">
      <w:pPr>
        <w:spacing w:after="6" w:line="249" w:lineRule="auto"/>
        <w:ind w:left="-5" w:right="662"/>
        <w:jc w:val="left"/>
      </w:pPr>
      <w:r>
        <w:rPr>
          <w:b/>
        </w:rPr>
        <w:t>MAIROS MUTINIWA                                                                                  9</w:t>
      </w:r>
      <w:r>
        <w:rPr>
          <w:b/>
          <w:vertAlign w:val="superscript"/>
        </w:rPr>
        <w:t>th</w:t>
      </w:r>
      <w:r>
        <w:rPr>
          <w:b/>
        </w:rPr>
        <w:t xml:space="preserve"> APPLICANT </w:t>
      </w:r>
    </w:p>
    <w:p w14:paraId="20F21EAE" w14:textId="77777777" w:rsidR="00C50660" w:rsidRDefault="00EA7C09">
      <w:pPr>
        <w:spacing w:after="6" w:line="249" w:lineRule="auto"/>
        <w:ind w:left="-5" w:right="662"/>
        <w:jc w:val="left"/>
      </w:pPr>
      <w:r>
        <w:rPr>
          <w:b/>
        </w:rPr>
        <w:t>TRYMORE RATO                                                                                       10</w:t>
      </w:r>
      <w:r>
        <w:rPr>
          <w:b/>
          <w:vertAlign w:val="superscript"/>
        </w:rPr>
        <w:t>th</w:t>
      </w:r>
      <w:r>
        <w:rPr>
          <w:b/>
        </w:rPr>
        <w:t xml:space="preserve"> APPLICANT </w:t>
      </w:r>
    </w:p>
    <w:p w14:paraId="038FBD66" w14:textId="77777777" w:rsidR="00C50660" w:rsidRDefault="00EA7C09">
      <w:pPr>
        <w:spacing w:after="6" w:line="249" w:lineRule="auto"/>
        <w:ind w:left="-5" w:right="662"/>
        <w:jc w:val="left"/>
      </w:pPr>
      <w:r>
        <w:rPr>
          <w:b/>
        </w:rPr>
        <w:t>PROSPER MABHACHI                                                                             11</w:t>
      </w:r>
      <w:r>
        <w:rPr>
          <w:b/>
          <w:vertAlign w:val="superscript"/>
        </w:rPr>
        <w:t>th</w:t>
      </w:r>
      <w:r>
        <w:rPr>
          <w:b/>
        </w:rPr>
        <w:t xml:space="preserve"> APPLICANT </w:t>
      </w:r>
    </w:p>
    <w:p w14:paraId="3C61B0C5" w14:textId="77777777" w:rsidR="00C50660" w:rsidRDefault="00EA7C09">
      <w:pPr>
        <w:spacing w:after="6" w:line="249" w:lineRule="auto"/>
        <w:ind w:left="-5" w:right="662"/>
        <w:jc w:val="left"/>
      </w:pPr>
      <w:r>
        <w:rPr>
          <w:b/>
        </w:rPr>
        <w:t>REMEMBER MAYENGWA                                                                     12</w:t>
      </w:r>
      <w:r>
        <w:rPr>
          <w:b/>
          <w:vertAlign w:val="superscript"/>
        </w:rPr>
        <w:t>th</w:t>
      </w:r>
      <w:r>
        <w:rPr>
          <w:b/>
        </w:rPr>
        <w:t xml:space="preserve"> APPLICANT </w:t>
      </w:r>
    </w:p>
    <w:p w14:paraId="0AC750AF" w14:textId="77777777" w:rsidR="00C50660" w:rsidRDefault="00EA7C09">
      <w:pPr>
        <w:spacing w:after="6" w:line="249" w:lineRule="auto"/>
        <w:ind w:left="-5" w:right="662"/>
        <w:jc w:val="left"/>
      </w:pPr>
      <w:r>
        <w:rPr>
          <w:b/>
        </w:rPr>
        <w:t>CASTON HANDRIADE                                                                             13</w:t>
      </w:r>
      <w:r>
        <w:rPr>
          <w:b/>
          <w:vertAlign w:val="superscript"/>
        </w:rPr>
        <w:t>th</w:t>
      </w:r>
      <w:r>
        <w:rPr>
          <w:b/>
        </w:rPr>
        <w:t xml:space="preserve"> APPLICANT </w:t>
      </w:r>
    </w:p>
    <w:p w14:paraId="1B6EF842" w14:textId="77777777" w:rsidR="00C50660" w:rsidRDefault="00EA7C09">
      <w:pPr>
        <w:spacing w:after="6" w:line="249" w:lineRule="auto"/>
        <w:ind w:left="-5" w:right="662"/>
        <w:jc w:val="left"/>
      </w:pPr>
      <w:r>
        <w:rPr>
          <w:b/>
        </w:rPr>
        <w:t>MIKE SIGAUKE                                                                                         14</w:t>
      </w:r>
      <w:r>
        <w:rPr>
          <w:b/>
          <w:vertAlign w:val="superscript"/>
        </w:rPr>
        <w:t>th</w:t>
      </w:r>
      <w:r>
        <w:rPr>
          <w:b/>
        </w:rPr>
        <w:t xml:space="preserve"> APPLICANT </w:t>
      </w:r>
    </w:p>
    <w:p w14:paraId="0B36B5AD" w14:textId="77777777" w:rsidR="00C50660" w:rsidRDefault="00EA7C09">
      <w:pPr>
        <w:spacing w:after="6" w:line="249" w:lineRule="auto"/>
        <w:ind w:left="-5" w:right="662"/>
        <w:jc w:val="left"/>
      </w:pPr>
      <w:r>
        <w:rPr>
          <w:b/>
        </w:rPr>
        <w:t>TAKUDZWA CHAPERA                                                                           15</w:t>
      </w:r>
      <w:r>
        <w:rPr>
          <w:b/>
          <w:vertAlign w:val="superscript"/>
        </w:rPr>
        <w:t>th</w:t>
      </w:r>
      <w:r>
        <w:rPr>
          <w:b/>
        </w:rPr>
        <w:t xml:space="preserve"> APPLICANT </w:t>
      </w:r>
    </w:p>
    <w:p w14:paraId="4CE45C14" w14:textId="77777777" w:rsidR="00C50660" w:rsidRDefault="00EA7C09">
      <w:pPr>
        <w:spacing w:after="6" w:line="249" w:lineRule="auto"/>
        <w:ind w:left="-5" w:right="662"/>
        <w:jc w:val="left"/>
      </w:pPr>
      <w:r>
        <w:rPr>
          <w:b/>
        </w:rPr>
        <w:t>SAM MUSAIDZI                                                                                          16</w:t>
      </w:r>
      <w:r>
        <w:rPr>
          <w:b/>
          <w:vertAlign w:val="superscript"/>
        </w:rPr>
        <w:t>th</w:t>
      </w:r>
      <w:r>
        <w:rPr>
          <w:b/>
        </w:rPr>
        <w:t xml:space="preserve"> APPLICANT MICHAEL JOHN                                                                                        17</w:t>
      </w:r>
      <w:r>
        <w:rPr>
          <w:b/>
          <w:vertAlign w:val="superscript"/>
        </w:rPr>
        <w:t>th</w:t>
      </w:r>
      <w:r>
        <w:rPr>
          <w:b/>
        </w:rPr>
        <w:t xml:space="preserve"> APPLICANT </w:t>
      </w:r>
    </w:p>
    <w:p w14:paraId="6FAD47E0" w14:textId="77777777" w:rsidR="00C50660" w:rsidRDefault="00EA7C09">
      <w:pPr>
        <w:spacing w:after="6" w:line="249" w:lineRule="auto"/>
        <w:ind w:left="-5" w:right="662"/>
        <w:jc w:val="left"/>
      </w:pPr>
      <w:r>
        <w:rPr>
          <w:b/>
        </w:rPr>
        <w:t>TAPERA SABUNETI                                                                                  18</w:t>
      </w:r>
      <w:r>
        <w:rPr>
          <w:b/>
          <w:vertAlign w:val="superscript"/>
        </w:rPr>
        <w:t>th</w:t>
      </w:r>
      <w:r>
        <w:rPr>
          <w:b/>
        </w:rPr>
        <w:t xml:space="preserve"> APPLICANT </w:t>
      </w:r>
    </w:p>
    <w:p w14:paraId="65AB49B2" w14:textId="4B39FFB4" w:rsidR="00C50660" w:rsidRDefault="00EA7C09">
      <w:pPr>
        <w:spacing w:after="6" w:line="249" w:lineRule="auto"/>
        <w:ind w:left="-5" w:right="662"/>
        <w:jc w:val="left"/>
      </w:pPr>
      <w:r>
        <w:rPr>
          <w:b/>
        </w:rPr>
        <w:t>TAPIWA MUZIVI                                                                                        19</w:t>
      </w:r>
      <w:r>
        <w:rPr>
          <w:b/>
          <w:vertAlign w:val="superscript"/>
        </w:rPr>
        <w:t>th</w:t>
      </w:r>
      <w:r>
        <w:rPr>
          <w:b/>
        </w:rPr>
        <w:t xml:space="preserve"> APPLICANT </w:t>
      </w:r>
    </w:p>
    <w:p w14:paraId="77370C19" w14:textId="77777777" w:rsidR="00C50660" w:rsidRDefault="00EA7C09">
      <w:pPr>
        <w:spacing w:after="6" w:line="249" w:lineRule="auto"/>
        <w:ind w:left="-5" w:right="662"/>
        <w:jc w:val="left"/>
      </w:pPr>
      <w:r>
        <w:rPr>
          <w:b/>
        </w:rPr>
        <w:t>TAPIWA KARONGA                                                                                 20</w:t>
      </w:r>
      <w:r>
        <w:rPr>
          <w:b/>
          <w:vertAlign w:val="superscript"/>
        </w:rPr>
        <w:t>th</w:t>
      </w:r>
      <w:r>
        <w:rPr>
          <w:b/>
        </w:rPr>
        <w:t xml:space="preserve"> APPLICANT </w:t>
      </w:r>
    </w:p>
    <w:p w14:paraId="15D82481" w14:textId="77777777" w:rsidR="00C50660" w:rsidRDefault="00EA7C09">
      <w:pPr>
        <w:spacing w:after="6" w:line="249" w:lineRule="auto"/>
        <w:ind w:left="-5" w:right="662"/>
        <w:jc w:val="left"/>
      </w:pPr>
      <w:r>
        <w:rPr>
          <w:b/>
        </w:rPr>
        <w:t>ENOCK SAMU                                                                                            21</w:t>
      </w:r>
      <w:r>
        <w:rPr>
          <w:b/>
          <w:vertAlign w:val="superscript"/>
        </w:rPr>
        <w:t>st</w:t>
      </w:r>
      <w:r>
        <w:rPr>
          <w:b/>
        </w:rPr>
        <w:t xml:space="preserve"> APPLICANT </w:t>
      </w:r>
    </w:p>
    <w:p w14:paraId="1FFD2149" w14:textId="77777777" w:rsidR="00C50660" w:rsidRDefault="00EA7C09">
      <w:pPr>
        <w:spacing w:after="6" w:line="249" w:lineRule="auto"/>
        <w:ind w:left="-5" w:right="662"/>
        <w:jc w:val="left"/>
      </w:pPr>
      <w:r>
        <w:rPr>
          <w:b/>
        </w:rPr>
        <w:t>LAWRENCE DOZA                                                                                    22</w:t>
      </w:r>
      <w:r>
        <w:rPr>
          <w:b/>
          <w:vertAlign w:val="superscript"/>
        </w:rPr>
        <w:t>nd</w:t>
      </w:r>
      <w:r>
        <w:rPr>
          <w:b/>
        </w:rPr>
        <w:t xml:space="preserve"> APPLICANT </w:t>
      </w:r>
    </w:p>
    <w:p w14:paraId="4CF2BEBE" w14:textId="77777777" w:rsidR="00C50660" w:rsidRDefault="00EA7C09">
      <w:pPr>
        <w:spacing w:after="6" w:line="249" w:lineRule="auto"/>
        <w:ind w:left="-5" w:right="662"/>
        <w:jc w:val="left"/>
      </w:pPr>
      <w:r>
        <w:rPr>
          <w:b/>
        </w:rPr>
        <w:t>HAILEY MUNAMATI                                                                               23</w:t>
      </w:r>
      <w:r>
        <w:rPr>
          <w:b/>
          <w:vertAlign w:val="superscript"/>
        </w:rPr>
        <w:t>rd</w:t>
      </w:r>
      <w:r>
        <w:rPr>
          <w:b/>
        </w:rPr>
        <w:t xml:space="preserve"> </w:t>
      </w:r>
      <w:proofErr w:type="gramStart"/>
      <w:r>
        <w:rPr>
          <w:b/>
        </w:rPr>
        <w:t>APPLICANT  TINEMIISHE</w:t>
      </w:r>
      <w:proofErr w:type="gramEnd"/>
      <w:r>
        <w:rPr>
          <w:b/>
        </w:rPr>
        <w:t xml:space="preserve"> RUVENGO                                                                         24</w:t>
      </w:r>
      <w:r>
        <w:rPr>
          <w:b/>
          <w:vertAlign w:val="superscript"/>
        </w:rPr>
        <w:t>th</w:t>
      </w:r>
      <w:r>
        <w:rPr>
          <w:b/>
        </w:rPr>
        <w:t xml:space="preserve"> APPLICANT </w:t>
      </w:r>
    </w:p>
    <w:p w14:paraId="178C54F8" w14:textId="77777777" w:rsidR="00C50660" w:rsidRDefault="00EA7C09">
      <w:pPr>
        <w:spacing w:after="6" w:line="249" w:lineRule="auto"/>
        <w:ind w:left="-5" w:right="662"/>
        <w:jc w:val="left"/>
      </w:pPr>
      <w:r>
        <w:rPr>
          <w:b/>
        </w:rPr>
        <w:t>IRVIN MARUZA                                                                                        25</w:t>
      </w:r>
      <w:r>
        <w:rPr>
          <w:b/>
          <w:vertAlign w:val="superscript"/>
        </w:rPr>
        <w:t>th</w:t>
      </w:r>
      <w:r>
        <w:rPr>
          <w:b/>
        </w:rPr>
        <w:t xml:space="preserve"> APPLICANT </w:t>
      </w:r>
    </w:p>
    <w:p w14:paraId="7DA46EAE" w14:textId="77777777" w:rsidR="00C50660" w:rsidRDefault="00EA7C09">
      <w:pPr>
        <w:spacing w:after="6" w:line="249" w:lineRule="auto"/>
        <w:ind w:left="-5" w:right="662"/>
        <w:jc w:val="left"/>
      </w:pPr>
      <w:r>
        <w:rPr>
          <w:b/>
        </w:rPr>
        <w:t>COLLEN SANDO                                                                                       26</w:t>
      </w:r>
      <w:r>
        <w:rPr>
          <w:b/>
          <w:vertAlign w:val="superscript"/>
        </w:rPr>
        <w:t>th</w:t>
      </w:r>
      <w:r>
        <w:rPr>
          <w:b/>
        </w:rPr>
        <w:t xml:space="preserve"> APPLICANT </w:t>
      </w:r>
    </w:p>
    <w:p w14:paraId="2836F915" w14:textId="77777777" w:rsidR="00C50660" w:rsidRDefault="00EA7C09">
      <w:pPr>
        <w:spacing w:after="6" w:line="249" w:lineRule="auto"/>
        <w:ind w:left="-5" w:right="662"/>
        <w:jc w:val="left"/>
      </w:pPr>
      <w:r>
        <w:rPr>
          <w:b/>
        </w:rPr>
        <w:t>PANASHE MATEYA                                                                                 27</w:t>
      </w:r>
      <w:r>
        <w:rPr>
          <w:b/>
          <w:vertAlign w:val="superscript"/>
        </w:rPr>
        <w:t>th</w:t>
      </w:r>
      <w:r>
        <w:rPr>
          <w:b/>
        </w:rPr>
        <w:t xml:space="preserve"> APPLICANT </w:t>
      </w:r>
    </w:p>
    <w:p w14:paraId="5FFE5572" w14:textId="77777777" w:rsidR="00C50660" w:rsidRDefault="00EA7C09">
      <w:pPr>
        <w:spacing w:after="6" w:line="249" w:lineRule="auto"/>
        <w:ind w:left="-5" w:right="662"/>
        <w:jc w:val="left"/>
      </w:pPr>
      <w:r>
        <w:rPr>
          <w:b/>
        </w:rPr>
        <w:t>EDWIN CHABVARA                                                                                 28</w:t>
      </w:r>
      <w:r>
        <w:rPr>
          <w:b/>
          <w:vertAlign w:val="superscript"/>
        </w:rPr>
        <w:t>th</w:t>
      </w:r>
      <w:r>
        <w:rPr>
          <w:b/>
        </w:rPr>
        <w:t xml:space="preserve"> APPLICANT </w:t>
      </w:r>
    </w:p>
    <w:p w14:paraId="3B20E6CF" w14:textId="3E3FE067" w:rsidR="00C50660" w:rsidRDefault="00EA7C09">
      <w:pPr>
        <w:spacing w:after="6" w:line="249" w:lineRule="auto"/>
        <w:ind w:left="-5" w:right="662"/>
        <w:jc w:val="left"/>
      </w:pPr>
      <w:r>
        <w:rPr>
          <w:b/>
        </w:rPr>
        <w:t xml:space="preserve">JEALOUS SITHOLE </w:t>
      </w:r>
      <w:r>
        <w:rPr>
          <w:b/>
        </w:rPr>
        <w:tab/>
        <w:t xml:space="preserve">                                                           </w:t>
      </w:r>
      <w:r w:rsidR="003B1EA0">
        <w:rPr>
          <w:b/>
        </w:rPr>
        <w:t xml:space="preserve">         </w:t>
      </w:r>
      <w:r>
        <w:rPr>
          <w:b/>
        </w:rPr>
        <w:t xml:space="preserve"> 29</w:t>
      </w:r>
      <w:r>
        <w:rPr>
          <w:b/>
          <w:vertAlign w:val="superscript"/>
        </w:rPr>
        <w:t>th</w:t>
      </w:r>
      <w:r>
        <w:rPr>
          <w:b/>
        </w:rPr>
        <w:t xml:space="preserve"> APPLICANT </w:t>
      </w:r>
      <w:r w:rsidR="003B1EA0">
        <w:rPr>
          <w:b/>
        </w:rPr>
        <w:t xml:space="preserve">      </w:t>
      </w:r>
      <w:r>
        <w:rPr>
          <w:b/>
        </w:rPr>
        <w:t>TATENDA MABAYA                                                                                30</w:t>
      </w:r>
      <w:r>
        <w:rPr>
          <w:b/>
          <w:vertAlign w:val="superscript"/>
        </w:rPr>
        <w:t>th</w:t>
      </w:r>
      <w:r>
        <w:rPr>
          <w:b/>
        </w:rPr>
        <w:t xml:space="preserve"> APPLICANT </w:t>
      </w:r>
    </w:p>
    <w:p w14:paraId="7843585B" w14:textId="77777777" w:rsidR="00C50660" w:rsidRDefault="00EA7C09">
      <w:pPr>
        <w:spacing w:after="6" w:line="249" w:lineRule="auto"/>
        <w:ind w:left="-5" w:right="662"/>
        <w:jc w:val="left"/>
      </w:pPr>
      <w:r>
        <w:rPr>
          <w:b/>
        </w:rPr>
        <w:t>DELON CHITANDO                                                                                 31</w:t>
      </w:r>
      <w:r>
        <w:rPr>
          <w:b/>
          <w:vertAlign w:val="superscript"/>
        </w:rPr>
        <w:t>st</w:t>
      </w:r>
      <w:r>
        <w:rPr>
          <w:b/>
        </w:rPr>
        <w:t xml:space="preserve"> APPLICANT </w:t>
      </w:r>
    </w:p>
    <w:p w14:paraId="4AA18E00" w14:textId="77777777" w:rsidR="00C50660" w:rsidRDefault="00EA7C09">
      <w:pPr>
        <w:spacing w:after="6" w:line="249" w:lineRule="auto"/>
        <w:ind w:left="-5" w:right="662"/>
        <w:jc w:val="left"/>
      </w:pPr>
      <w:r>
        <w:rPr>
          <w:b/>
        </w:rPr>
        <w:t>SHADRECK MWENEWAZVO                                                               32</w:t>
      </w:r>
      <w:r>
        <w:rPr>
          <w:b/>
          <w:vertAlign w:val="superscript"/>
        </w:rPr>
        <w:t>nd</w:t>
      </w:r>
      <w:r>
        <w:rPr>
          <w:b/>
        </w:rPr>
        <w:t xml:space="preserve"> APPLICANT </w:t>
      </w:r>
    </w:p>
    <w:p w14:paraId="32D161E7" w14:textId="77777777" w:rsidR="00C50660" w:rsidRDefault="00EA7C09">
      <w:pPr>
        <w:spacing w:after="6" w:line="249" w:lineRule="auto"/>
        <w:ind w:left="-5" w:right="662"/>
        <w:jc w:val="left"/>
      </w:pPr>
      <w:r>
        <w:rPr>
          <w:b/>
        </w:rPr>
        <w:t>PETER TEMBO                                                                                         33</w:t>
      </w:r>
      <w:r>
        <w:rPr>
          <w:b/>
          <w:vertAlign w:val="superscript"/>
        </w:rPr>
        <w:t>rd</w:t>
      </w:r>
      <w:r>
        <w:rPr>
          <w:b/>
        </w:rPr>
        <w:t xml:space="preserve"> APPLICANT </w:t>
      </w:r>
    </w:p>
    <w:p w14:paraId="25A5B4D5" w14:textId="77777777" w:rsidR="00C50660" w:rsidRDefault="00EA7C09">
      <w:pPr>
        <w:spacing w:after="6" w:line="249" w:lineRule="auto"/>
        <w:ind w:left="-5" w:right="662"/>
        <w:jc w:val="left"/>
      </w:pPr>
      <w:r>
        <w:rPr>
          <w:b/>
        </w:rPr>
        <w:t>JUSTIN CHAKUMANYARA                                                                   34</w:t>
      </w:r>
      <w:r>
        <w:rPr>
          <w:b/>
          <w:vertAlign w:val="superscript"/>
        </w:rPr>
        <w:t>th</w:t>
      </w:r>
      <w:r>
        <w:rPr>
          <w:b/>
        </w:rPr>
        <w:t xml:space="preserve"> APPLICANT </w:t>
      </w:r>
    </w:p>
    <w:p w14:paraId="61172804" w14:textId="77777777" w:rsidR="00C50660" w:rsidRDefault="00EA7C09">
      <w:pPr>
        <w:spacing w:after="6" w:line="249" w:lineRule="auto"/>
        <w:ind w:left="-5" w:right="662"/>
        <w:jc w:val="left"/>
      </w:pPr>
      <w:r>
        <w:rPr>
          <w:b/>
        </w:rPr>
        <w:t>EUNICE BONDAMAKARA                                                                    35</w:t>
      </w:r>
      <w:r>
        <w:rPr>
          <w:b/>
          <w:vertAlign w:val="superscript"/>
        </w:rPr>
        <w:t>th</w:t>
      </w:r>
      <w:r>
        <w:rPr>
          <w:b/>
        </w:rPr>
        <w:t xml:space="preserve"> APPLICANT </w:t>
      </w:r>
    </w:p>
    <w:p w14:paraId="50671D16" w14:textId="3390B4CC" w:rsidR="00C50660" w:rsidRDefault="00EA7C09">
      <w:pPr>
        <w:spacing w:after="6" w:line="249" w:lineRule="auto"/>
        <w:ind w:left="-5" w:right="662"/>
        <w:jc w:val="left"/>
      </w:pPr>
      <w:r>
        <w:rPr>
          <w:b/>
        </w:rPr>
        <w:t>OTILIA CHINYUKU                                                                                36</w:t>
      </w:r>
      <w:r>
        <w:rPr>
          <w:b/>
          <w:vertAlign w:val="superscript"/>
        </w:rPr>
        <w:t>th</w:t>
      </w:r>
      <w:r>
        <w:rPr>
          <w:b/>
        </w:rPr>
        <w:t xml:space="preserve"> </w:t>
      </w:r>
      <w:proofErr w:type="gramStart"/>
      <w:r>
        <w:rPr>
          <w:b/>
        </w:rPr>
        <w:t>APPLICANT</w:t>
      </w:r>
      <w:r w:rsidR="003B1EA0">
        <w:rPr>
          <w:b/>
        </w:rPr>
        <w:t xml:space="preserve"> </w:t>
      </w:r>
      <w:r>
        <w:rPr>
          <w:b/>
        </w:rPr>
        <w:t xml:space="preserve"> PEDRO</w:t>
      </w:r>
      <w:proofErr w:type="gramEnd"/>
      <w:r>
        <w:rPr>
          <w:b/>
        </w:rPr>
        <w:t xml:space="preserve"> KAMBONGA                                                                              37</w:t>
      </w:r>
      <w:r>
        <w:rPr>
          <w:b/>
          <w:vertAlign w:val="superscript"/>
        </w:rPr>
        <w:t>th</w:t>
      </w:r>
      <w:r>
        <w:rPr>
          <w:b/>
        </w:rPr>
        <w:t xml:space="preserve"> APPLICANT </w:t>
      </w:r>
    </w:p>
    <w:p w14:paraId="1ED3A398" w14:textId="77777777" w:rsidR="00C50660" w:rsidRDefault="00EA7C09">
      <w:pPr>
        <w:spacing w:after="0" w:line="259" w:lineRule="auto"/>
        <w:ind w:left="0" w:right="0" w:firstLine="0"/>
        <w:jc w:val="left"/>
      </w:pPr>
      <w:r>
        <w:rPr>
          <w:b/>
        </w:rPr>
        <w:lastRenderedPageBreak/>
        <w:t xml:space="preserve"> </w:t>
      </w:r>
    </w:p>
    <w:p w14:paraId="3837C673" w14:textId="77777777" w:rsidR="00C50660" w:rsidRDefault="00EA7C09">
      <w:pPr>
        <w:spacing w:after="0" w:line="259" w:lineRule="auto"/>
        <w:ind w:left="0" w:right="0" w:firstLine="0"/>
        <w:jc w:val="left"/>
      </w:pPr>
      <w:r>
        <w:rPr>
          <w:b/>
        </w:rPr>
        <w:t xml:space="preserve">  </w:t>
      </w:r>
    </w:p>
    <w:p w14:paraId="4EC50783" w14:textId="77777777" w:rsidR="00C50660" w:rsidRDefault="00EA7C09">
      <w:pPr>
        <w:spacing w:after="6" w:line="249" w:lineRule="auto"/>
        <w:ind w:left="-5" w:right="662"/>
        <w:jc w:val="left"/>
      </w:pPr>
      <w:r>
        <w:rPr>
          <w:b/>
        </w:rPr>
        <w:t xml:space="preserve">AND  </w:t>
      </w:r>
    </w:p>
    <w:p w14:paraId="77BE0F58" w14:textId="77777777" w:rsidR="00C50660" w:rsidRDefault="00EA7C09">
      <w:pPr>
        <w:spacing w:after="0" w:line="259" w:lineRule="auto"/>
        <w:ind w:left="0" w:righ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515F8C3E" w14:textId="77777777" w:rsidR="00C50660" w:rsidRDefault="00EA7C09">
      <w:pPr>
        <w:spacing w:after="6" w:line="249" w:lineRule="auto"/>
        <w:ind w:left="-5" w:right="662"/>
        <w:jc w:val="left"/>
      </w:pPr>
      <w:r>
        <w:rPr>
          <w:b/>
        </w:rPr>
        <w:t xml:space="preserve">SHENGXIANG INVESTMENTS (PVT) LTD                                    RESPONDENT </w:t>
      </w:r>
    </w:p>
    <w:p w14:paraId="5994084E" w14:textId="77777777" w:rsidR="00C50660" w:rsidRDefault="00EA7C09">
      <w:pPr>
        <w:spacing w:after="0" w:line="259" w:lineRule="auto"/>
        <w:ind w:left="0" w:right="0" w:firstLine="0"/>
        <w:jc w:val="left"/>
      </w:pPr>
      <w:r>
        <w:rPr>
          <w:b/>
        </w:rPr>
        <w:t xml:space="preserve"> </w:t>
      </w:r>
    </w:p>
    <w:p w14:paraId="1F0F73C0" w14:textId="77777777" w:rsidR="00C50660" w:rsidRDefault="00EA7C09">
      <w:pPr>
        <w:spacing w:after="0" w:line="259" w:lineRule="auto"/>
        <w:ind w:left="0" w:right="0" w:firstLine="0"/>
        <w:jc w:val="left"/>
      </w:pPr>
      <w:r>
        <w:rPr>
          <w:b/>
        </w:rPr>
        <w:t xml:space="preserve"> </w:t>
      </w:r>
    </w:p>
    <w:p w14:paraId="2ED8574E" w14:textId="77777777" w:rsidR="00C50660" w:rsidRDefault="00EA7C09">
      <w:pPr>
        <w:spacing w:after="6" w:line="249" w:lineRule="auto"/>
        <w:ind w:left="-5" w:right="662"/>
        <w:jc w:val="left"/>
      </w:pPr>
      <w:r>
        <w:rPr>
          <w:b/>
        </w:rPr>
        <w:t xml:space="preserve">Before the </w:t>
      </w:r>
      <w:proofErr w:type="spellStart"/>
      <w:r>
        <w:rPr>
          <w:b/>
        </w:rPr>
        <w:t>Honourable</w:t>
      </w:r>
      <w:proofErr w:type="spellEnd"/>
      <w:r>
        <w:rPr>
          <w:b/>
        </w:rPr>
        <w:t xml:space="preserve"> Justice </w:t>
      </w:r>
      <w:proofErr w:type="spellStart"/>
      <w:r>
        <w:rPr>
          <w:b/>
        </w:rPr>
        <w:t>Tsikwa</w:t>
      </w:r>
      <w:proofErr w:type="spellEnd"/>
      <w:r>
        <w:rPr>
          <w:b/>
        </w:rPr>
        <w:t xml:space="preserve"> </w:t>
      </w:r>
    </w:p>
    <w:p w14:paraId="3C9A1AE9" w14:textId="77777777" w:rsidR="00C50660" w:rsidRDefault="00EA7C09">
      <w:pPr>
        <w:spacing w:after="0" w:line="259" w:lineRule="auto"/>
        <w:ind w:left="0" w:right="0" w:firstLine="0"/>
        <w:jc w:val="left"/>
      </w:pPr>
      <w:r>
        <w:t xml:space="preserve"> </w:t>
      </w:r>
    </w:p>
    <w:p w14:paraId="7F0732BC" w14:textId="77777777" w:rsidR="00C50660" w:rsidRDefault="00EA7C09">
      <w:pPr>
        <w:tabs>
          <w:tab w:val="center" w:pos="3601"/>
        </w:tabs>
        <w:spacing w:after="6" w:line="249" w:lineRule="auto"/>
        <w:ind w:left="-15" w:right="0" w:firstLine="0"/>
        <w:jc w:val="left"/>
      </w:pPr>
      <w:r>
        <w:rPr>
          <w:b/>
        </w:rPr>
        <w:t>For Applicants:</w:t>
      </w:r>
      <w:r>
        <w:t xml:space="preserve"> </w:t>
      </w:r>
      <w:r>
        <w:rPr>
          <w:i/>
        </w:rPr>
        <w:t xml:space="preserve">L. </w:t>
      </w:r>
      <w:proofErr w:type="spellStart"/>
      <w:r>
        <w:rPr>
          <w:i/>
        </w:rPr>
        <w:t>Pwanyiwa</w:t>
      </w:r>
      <w:proofErr w:type="spellEnd"/>
      <w:r>
        <w:rPr>
          <w:i/>
        </w:rPr>
        <w:t xml:space="preserve"> </w:t>
      </w:r>
      <w:r>
        <w:rPr>
          <w:i/>
        </w:rPr>
        <w:tab/>
        <w:t xml:space="preserve">  </w:t>
      </w:r>
    </w:p>
    <w:p w14:paraId="52324B2F" w14:textId="77777777" w:rsidR="00C50660" w:rsidRDefault="00EA7C09">
      <w:pPr>
        <w:spacing w:after="0" w:line="259" w:lineRule="auto"/>
        <w:ind w:left="0" w:right="0" w:firstLine="0"/>
        <w:jc w:val="left"/>
      </w:pPr>
      <w:r>
        <w:rPr>
          <w:i/>
        </w:rPr>
        <w:t xml:space="preserve"> </w:t>
      </w:r>
    </w:p>
    <w:p w14:paraId="6E7B31B3" w14:textId="77777777" w:rsidR="00C50660" w:rsidRDefault="00EA7C09">
      <w:pPr>
        <w:spacing w:after="230" w:line="249" w:lineRule="auto"/>
        <w:ind w:left="-5" w:right="7860"/>
        <w:jc w:val="left"/>
      </w:pPr>
      <w:r>
        <w:rPr>
          <w:b/>
        </w:rPr>
        <w:t>For Respondent</w:t>
      </w:r>
      <w:r>
        <w:rPr>
          <w:i/>
        </w:rPr>
        <w:t xml:space="preserve">: M. Tlou </w:t>
      </w:r>
      <w:r>
        <w:rPr>
          <w:b/>
          <w:i/>
        </w:rPr>
        <w:t xml:space="preserve"> </w:t>
      </w:r>
    </w:p>
    <w:p w14:paraId="072E81E3" w14:textId="77777777" w:rsidR="00C50660" w:rsidRDefault="00EA7C09">
      <w:pPr>
        <w:spacing w:after="238"/>
        <w:ind w:left="-5" w:right="1427"/>
      </w:pPr>
      <w:r>
        <w:rPr>
          <w:b/>
        </w:rPr>
        <w:t xml:space="preserve">TSIKWA, J: </w:t>
      </w:r>
      <w:r>
        <w:t xml:space="preserve">The matter was a chamber application for condonation for late noting of an appeal and extension of time within which to file an appeal, in terms of rule 22 the Labour Court Rules, 2017 [hereinafter the Rules]. The following background facts provide the context for this application. </w:t>
      </w:r>
    </w:p>
    <w:p w14:paraId="1E399D7C" w14:textId="77777777" w:rsidR="00C50660" w:rsidRDefault="00EA7C09">
      <w:pPr>
        <w:spacing w:after="284" w:line="249" w:lineRule="auto"/>
        <w:ind w:left="-5" w:right="662"/>
        <w:jc w:val="left"/>
      </w:pPr>
      <w:r>
        <w:rPr>
          <w:b/>
        </w:rPr>
        <w:t xml:space="preserve">BACKGROUND FACTS  </w:t>
      </w:r>
    </w:p>
    <w:p w14:paraId="235B647B" w14:textId="77777777" w:rsidR="00C50660" w:rsidRDefault="00EA7C09">
      <w:pPr>
        <w:ind w:left="-5" w:right="1427"/>
      </w:pPr>
      <w:r>
        <w:t xml:space="preserve">The applicants were engaged by the respondent on fixed-term contracts in various roles and for varying periods. Although the contracts expired on 31 December 2024, the applicants allege that the employment relationship continued into January 2025, when the respondent terminated the contracts. Following termination, a dispute arose concerning unlawful dismissal, nonpayment of gratuity in lieu of pension, and outstanding leave pay. The matter proceeded to compulsory arbitration, culminating in an award on 17 October 2025. The arbitrator held that the applicants had been prematurely and unlawfully terminated, as their contracts were tacitly renewed when they continued working beyond 31 December 2024. The arbitrator further found them entitled to gratuity and cash in lieu of leave, and quantified the terminal benefits accordingly. Aggrieved by the quantification, the applicants intended to file an appeal. Applicants allege that they failed to note an appeal within the stipulated 21-day period as the applicants are scattered all over Zimbabwe; and it has not been easy to locate them, among other reasons. </w:t>
      </w:r>
    </w:p>
    <w:p w14:paraId="042A92A3" w14:textId="77777777" w:rsidR="00C50660" w:rsidRDefault="00EA7C09">
      <w:pPr>
        <w:spacing w:after="273" w:line="259" w:lineRule="auto"/>
        <w:ind w:left="-5" w:right="1427"/>
      </w:pPr>
      <w:r>
        <w:t xml:space="preserve">In light of the above, the applicants filed the present application for condonation. </w:t>
      </w:r>
    </w:p>
    <w:p w14:paraId="7048236B" w14:textId="77777777" w:rsidR="00C50660" w:rsidRDefault="00EA7C09">
      <w:pPr>
        <w:spacing w:after="274" w:line="259" w:lineRule="auto"/>
        <w:ind w:left="0" w:right="0" w:firstLine="0"/>
        <w:jc w:val="left"/>
      </w:pPr>
      <w:r>
        <w:t xml:space="preserve"> </w:t>
      </w:r>
    </w:p>
    <w:p w14:paraId="1A83C685" w14:textId="77777777" w:rsidR="00C50660" w:rsidRDefault="00EA7C09">
      <w:pPr>
        <w:spacing w:after="317" w:line="249" w:lineRule="auto"/>
        <w:ind w:left="-5" w:right="662"/>
        <w:jc w:val="left"/>
      </w:pPr>
      <w:r>
        <w:rPr>
          <w:b/>
        </w:rPr>
        <w:t xml:space="preserve">RELIEF SOUGHT </w:t>
      </w:r>
    </w:p>
    <w:p w14:paraId="4C639F87" w14:textId="77777777" w:rsidR="00C50660" w:rsidRDefault="00EA7C09">
      <w:pPr>
        <w:spacing w:after="273" w:line="259" w:lineRule="auto"/>
        <w:ind w:left="-5" w:right="1427"/>
      </w:pPr>
      <w:r>
        <w:t xml:space="preserve"> </w:t>
      </w:r>
      <w:r>
        <w:rPr>
          <w:b/>
        </w:rPr>
        <w:t>WHEREFORE</w:t>
      </w:r>
      <w:r>
        <w:t xml:space="preserve">, the applicant’s prayer is for an order that: - </w:t>
      </w:r>
    </w:p>
    <w:p w14:paraId="24EBD543" w14:textId="77777777" w:rsidR="00C50660" w:rsidRDefault="00EA7C09">
      <w:pPr>
        <w:numPr>
          <w:ilvl w:val="0"/>
          <w:numId w:val="1"/>
        </w:numPr>
        <w:spacing w:line="259" w:lineRule="auto"/>
        <w:ind w:right="1427" w:hanging="240"/>
      </w:pPr>
      <w:r>
        <w:lastRenderedPageBreak/>
        <w:t xml:space="preserve">The Application for condonation of late noting of appeal be and is hereby granted.  </w:t>
      </w:r>
    </w:p>
    <w:p w14:paraId="06612F4E" w14:textId="77777777" w:rsidR="00C50660" w:rsidRDefault="00EA7C09">
      <w:pPr>
        <w:numPr>
          <w:ilvl w:val="0"/>
          <w:numId w:val="1"/>
        </w:numPr>
        <w:spacing w:after="273" w:line="259" w:lineRule="auto"/>
        <w:ind w:right="1427" w:hanging="240"/>
      </w:pPr>
      <w:r>
        <w:t xml:space="preserve">Applicants are hereby ordered to file their appeal within 10 days of this order.  </w:t>
      </w:r>
    </w:p>
    <w:p w14:paraId="59606D25" w14:textId="77777777" w:rsidR="00C50660" w:rsidRDefault="00EA7C09">
      <w:pPr>
        <w:numPr>
          <w:ilvl w:val="0"/>
          <w:numId w:val="1"/>
        </w:numPr>
        <w:spacing w:after="275" w:line="259" w:lineRule="auto"/>
        <w:ind w:right="1427" w:hanging="240"/>
      </w:pPr>
      <w:r>
        <w:t xml:space="preserve">Each party to bear its own costs. </w:t>
      </w:r>
    </w:p>
    <w:p w14:paraId="63480BEA" w14:textId="77777777" w:rsidR="00C50660" w:rsidRDefault="00EA7C09">
      <w:pPr>
        <w:pStyle w:val="Heading1"/>
        <w:ind w:left="-5"/>
      </w:pPr>
      <w:r>
        <w:t>ISSUES OF DETERMINATION</w:t>
      </w:r>
      <w:r>
        <w:rPr>
          <w:u w:val="none"/>
        </w:rPr>
        <w:t xml:space="preserve"> </w:t>
      </w:r>
    </w:p>
    <w:p w14:paraId="5DFE0A4A" w14:textId="77777777" w:rsidR="00C50660" w:rsidRDefault="00EA7C09">
      <w:pPr>
        <w:numPr>
          <w:ilvl w:val="0"/>
          <w:numId w:val="2"/>
        </w:numPr>
        <w:spacing w:after="117" w:line="259" w:lineRule="auto"/>
        <w:ind w:right="1427" w:hanging="360"/>
      </w:pPr>
      <w:r>
        <w:t xml:space="preserve">Whether or not the delay is inordinate. </w:t>
      </w:r>
    </w:p>
    <w:p w14:paraId="75DDA381" w14:textId="77777777" w:rsidR="00C50660" w:rsidRDefault="00EA7C09">
      <w:pPr>
        <w:numPr>
          <w:ilvl w:val="0"/>
          <w:numId w:val="2"/>
        </w:numPr>
        <w:spacing w:after="117" w:line="259" w:lineRule="auto"/>
        <w:ind w:right="1427" w:hanging="360"/>
      </w:pPr>
      <w:r>
        <w:t xml:space="preserve">Whether or not the applicant has a reasonable explanation for the delay. </w:t>
      </w:r>
    </w:p>
    <w:p w14:paraId="52D677E9" w14:textId="77777777" w:rsidR="00C50660" w:rsidRDefault="00EA7C09">
      <w:pPr>
        <w:numPr>
          <w:ilvl w:val="0"/>
          <w:numId w:val="2"/>
        </w:numPr>
        <w:spacing w:after="273" w:line="259" w:lineRule="auto"/>
        <w:ind w:right="1427" w:hanging="360"/>
      </w:pPr>
      <w:r>
        <w:t xml:space="preserve">Whether or not the applicant has prospects of success on the appeal. </w:t>
      </w:r>
    </w:p>
    <w:p w14:paraId="08C2FCA4" w14:textId="77777777" w:rsidR="00C50660" w:rsidRDefault="00EA7C09">
      <w:pPr>
        <w:pStyle w:val="Heading1"/>
        <w:ind w:left="-5"/>
      </w:pPr>
      <w:r>
        <w:t>THE RELEVANT LAW</w:t>
      </w:r>
      <w:r>
        <w:rPr>
          <w:u w:val="none"/>
        </w:rPr>
        <w:t xml:space="preserve"> </w:t>
      </w:r>
    </w:p>
    <w:p w14:paraId="3B62CEA2" w14:textId="77777777" w:rsidR="00C50660" w:rsidRDefault="00EA7C09">
      <w:pPr>
        <w:ind w:left="-5" w:right="1427"/>
      </w:pPr>
      <w:r>
        <w:t xml:space="preserve">The procedure for lodging an application for condonation is set out in rule 22 of the Labour Court Rules, 2017. It reads as follows: </w:t>
      </w:r>
    </w:p>
    <w:p w14:paraId="589DF963" w14:textId="77777777" w:rsidR="00C50660" w:rsidRDefault="00EA7C09">
      <w:pPr>
        <w:spacing w:after="157" w:line="358" w:lineRule="auto"/>
        <w:ind w:left="-5" w:right="1428"/>
      </w:pPr>
      <w:r>
        <w:rPr>
          <w:i/>
        </w:rPr>
        <w:t xml:space="preserve">“22. (1) A party wishing to apply for condonation of the late noting of an appeal or review shall do so in form LC 1.  </w:t>
      </w:r>
    </w:p>
    <w:p w14:paraId="3F753151" w14:textId="77777777" w:rsidR="00C50660" w:rsidRDefault="00EA7C09">
      <w:pPr>
        <w:spacing w:after="157" w:line="358" w:lineRule="auto"/>
        <w:ind w:left="-5" w:right="1428"/>
      </w:pPr>
      <w:r>
        <w:rPr>
          <w:i/>
        </w:rPr>
        <w:t xml:space="preserve">(2) An application in terms of this rule shall be accompanied by a draft of the intended notice of appeal or review.” </w:t>
      </w:r>
    </w:p>
    <w:p w14:paraId="0DF1CEEA" w14:textId="77777777" w:rsidR="00C50660" w:rsidRDefault="00EA7C09">
      <w:pPr>
        <w:ind w:left="-5" w:right="1427"/>
      </w:pPr>
      <w:r>
        <w:t xml:space="preserve">For an application of this nature to succeed, the applicant must explain the extent of delay, the reasonableness of the explanation and the prospects of success on the merits, the convenience of the court, any prejudice and the avoidance of unnecessary delays, among other factors. See </w:t>
      </w:r>
      <w:r>
        <w:rPr>
          <w:b/>
          <w:i/>
        </w:rPr>
        <w:t xml:space="preserve">Kombayi </w:t>
      </w:r>
      <w:r>
        <w:rPr>
          <w:b/>
        </w:rPr>
        <w:t>v</w:t>
      </w:r>
      <w:r>
        <w:rPr>
          <w:b/>
          <w:i/>
        </w:rPr>
        <w:t xml:space="preserve"> </w:t>
      </w:r>
      <w:proofErr w:type="spellStart"/>
      <w:r>
        <w:rPr>
          <w:b/>
          <w:i/>
        </w:rPr>
        <w:t>Berkout</w:t>
      </w:r>
      <w:proofErr w:type="spellEnd"/>
      <w:r>
        <w:rPr>
          <w:b/>
        </w:rPr>
        <w:t xml:space="preserve">, 1998 (1) ZLR 53 (S), </w:t>
      </w:r>
      <w:proofErr w:type="spellStart"/>
      <w:r>
        <w:rPr>
          <w:b/>
          <w:i/>
        </w:rPr>
        <w:t>Bishi</w:t>
      </w:r>
      <w:proofErr w:type="spellEnd"/>
      <w:r>
        <w:rPr>
          <w:b/>
          <w:i/>
        </w:rPr>
        <w:t xml:space="preserve"> </w:t>
      </w:r>
      <w:r>
        <w:rPr>
          <w:b/>
        </w:rPr>
        <w:t>v</w:t>
      </w:r>
      <w:r>
        <w:rPr>
          <w:b/>
          <w:i/>
        </w:rPr>
        <w:t xml:space="preserve"> Secretary for Education</w:t>
      </w:r>
      <w:r>
        <w:rPr>
          <w:b/>
        </w:rPr>
        <w:t xml:space="preserve"> 1989 (2) ZLR 240 (HC) and </w:t>
      </w:r>
      <w:proofErr w:type="spellStart"/>
      <w:r>
        <w:rPr>
          <w:b/>
          <w:i/>
        </w:rPr>
        <w:t>Maheya</w:t>
      </w:r>
      <w:proofErr w:type="spellEnd"/>
      <w:r>
        <w:rPr>
          <w:b/>
          <w:i/>
        </w:rPr>
        <w:t xml:space="preserve"> </w:t>
      </w:r>
      <w:r>
        <w:rPr>
          <w:b/>
        </w:rPr>
        <w:t>v</w:t>
      </w:r>
      <w:r>
        <w:rPr>
          <w:b/>
          <w:i/>
        </w:rPr>
        <w:t xml:space="preserve"> Independent African Church</w:t>
      </w:r>
      <w:r>
        <w:rPr>
          <w:b/>
        </w:rPr>
        <w:t xml:space="preserve"> SC-58-07.  </w:t>
      </w:r>
    </w:p>
    <w:p w14:paraId="109B9C5C" w14:textId="77777777" w:rsidR="00C50660" w:rsidRDefault="00EA7C09">
      <w:pPr>
        <w:spacing w:after="286" w:line="259" w:lineRule="auto"/>
        <w:ind w:left="0" w:right="0" w:firstLine="0"/>
        <w:jc w:val="left"/>
      </w:pPr>
      <w:r>
        <w:t xml:space="preserve">In </w:t>
      </w:r>
      <w:proofErr w:type="spellStart"/>
      <w:r>
        <w:rPr>
          <w:b/>
          <w:i/>
        </w:rPr>
        <w:t>Kodzwa</w:t>
      </w:r>
      <w:proofErr w:type="spellEnd"/>
      <w:r>
        <w:rPr>
          <w:b/>
          <w:i/>
        </w:rPr>
        <w:t xml:space="preserve"> </w:t>
      </w:r>
      <w:r>
        <w:rPr>
          <w:b/>
        </w:rPr>
        <w:t>v</w:t>
      </w:r>
      <w:r>
        <w:rPr>
          <w:b/>
          <w:i/>
        </w:rPr>
        <w:t xml:space="preserve"> Secretary for Health and Another</w:t>
      </w:r>
      <w:r>
        <w:rPr>
          <w:b/>
        </w:rPr>
        <w:t xml:space="preserve"> 1999 (1) ZLR 313 (S</w:t>
      </w:r>
      <w:r>
        <w:t xml:space="preserve">), it was held as follows: </w:t>
      </w:r>
    </w:p>
    <w:p w14:paraId="3CCA357C" w14:textId="77777777" w:rsidR="00C50660" w:rsidRDefault="00EA7C09">
      <w:pPr>
        <w:spacing w:after="11" w:line="358" w:lineRule="auto"/>
        <w:ind w:left="-5" w:right="1428"/>
      </w:pPr>
      <w:r>
        <w:rPr>
          <w:i/>
        </w:rPr>
        <w:t xml:space="preserve">“Condonation for non-observance of the rules is by no means a mere formality. It is for the applicant to satisfy the court that there is sufficient cause to excuse him from compliance. The </w:t>
      </w:r>
    </w:p>
    <w:p w14:paraId="3472BB80" w14:textId="77777777" w:rsidR="00C50660" w:rsidRDefault="00EA7C09">
      <w:pPr>
        <w:spacing w:after="157" w:line="358" w:lineRule="auto"/>
        <w:ind w:left="-5" w:right="1428"/>
      </w:pPr>
      <w:r>
        <w:rPr>
          <w:i/>
        </w:rPr>
        <w:t>Court’s power to grant relief should not be exercised arbitrarily and upon the mere asking, but with proper judicial discretion and satisfactory grounds being shown by the applicant</w:t>
      </w:r>
      <w:r>
        <w:t xml:space="preserve">.” </w:t>
      </w:r>
    </w:p>
    <w:p w14:paraId="308FF518" w14:textId="77777777" w:rsidR="00C50660" w:rsidRDefault="00EA7C09">
      <w:pPr>
        <w:spacing w:after="273" w:line="259" w:lineRule="auto"/>
        <w:ind w:left="-5" w:right="1427"/>
      </w:pPr>
      <w:r>
        <w:t xml:space="preserve">Thus, condonation is a discretionary remedy awarded to a party upon showing good cause.  </w:t>
      </w:r>
    </w:p>
    <w:p w14:paraId="1DBA5A29" w14:textId="77777777" w:rsidR="00C50660" w:rsidRDefault="00EA7C09">
      <w:pPr>
        <w:spacing w:after="325" w:line="259" w:lineRule="auto"/>
        <w:ind w:left="0" w:right="0" w:firstLine="0"/>
        <w:jc w:val="left"/>
      </w:pPr>
      <w:r>
        <w:rPr>
          <w:b/>
        </w:rPr>
        <w:t xml:space="preserve"> </w:t>
      </w:r>
    </w:p>
    <w:p w14:paraId="11219277" w14:textId="77777777" w:rsidR="00C50660" w:rsidRDefault="00EA7C09">
      <w:pPr>
        <w:spacing w:after="284" w:line="249" w:lineRule="auto"/>
        <w:ind w:left="-5" w:right="662"/>
        <w:jc w:val="left"/>
      </w:pPr>
      <w:r>
        <w:rPr>
          <w:b/>
        </w:rPr>
        <w:t xml:space="preserve">APPLICANT’S SUBMISSIONS </w:t>
      </w:r>
    </w:p>
    <w:p w14:paraId="4FFCA237" w14:textId="77777777" w:rsidR="00C50660" w:rsidRDefault="00EA7C09">
      <w:pPr>
        <w:ind w:left="-5" w:right="1427"/>
      </w:pPr>
      <w:r>
        <w:lastRenderedPageBreak/>
        <w:t xml:space="preserve">The applicants submitted that the law on condonation is well established, with case law consistently affirming that a litigant’s default may only be cured through a formal application for condonation so as to protect the right to be heard under the </w:t>
      </w:r>
      <w:proofErr w:type="spellStart"/>
      <w:r>
        <w:t>audi</w:t>
      </w:r>
      <w:proofErr w:type="spellEnd"/>
      <w:r>
        <w:t xml:space="preserve"> alteram partem doctrine. Referring to </w:t>
      </w:r>
      <w:r>
        <w:rPr>
          <w:b/>
          <w:i/>
        </w:rPr>
        <w:t xml:space="preserve">Herbstein &amp; Van </w:t>
      </w:r>
      <w:proofErr w:type="spellStart"/>
      <w:r>
        <w:rPr>
          <w:b/>
          <w:i/>
        </w:rPr>
        <w:t>Winsen</w:t>
      </w:r>
      <w:proofErr w:type="spellEnd"/>
      <w:r>
        <w:rPr>
          <w:b/>
        </w:rPr>
        <w:t xml:space="preserve"> and </w:t>
      </w:r>
      <w:r>
        <w:rPr>
          <w:b/>
          <w:i/>
        </w:rPr>
        <w:t xml:space="preserve">Bessie </w:t>
      </w:r>
      <w:proofErr w:type="spellStart"/>
      <w:r>
        <w:rPr>
          <w:b/>
          <w:i/>
        </w:rPr>
        <w:t>Maheya</w:t>
      </w:r>
      <w:proofErr w:type="spellEnd"/>
      <w:r>
        <w:rPr>
          <w:b/>
          <w:i/>
        </w:rPr>
        <w:t xml:space="preserve"> </w:t>
      </w:r>
      <w:r>
        <w:rPr>
          <w:b/>
        </w:rPr>
        <w:t>v</w:t>
      </w:r>
      <w:r>
        <w:rPr>
          <w:b/>
          <w:i/>
        </w:rPr>
        <w:t xml:space="preserve"> Independent Africa Church </w:t>
      </w:r>
      <w:r>
        <w:rPr>
          <w:b/>
        </w:rPr>
        <w:t>SC58-07</w:t>
      </w:r>
      <w:r>
        <w:t xml:space="preserve">, they maintained that the relevant factors are settled and were properly addressed in their founding affidavit. They further relied on </w:t>
      </w:r>
      <w:r>
        <w:rPr>
          <w:b/>
          <w:i/>
        </w:rPr>
        <w:t>Lunat v Patel SC47/22</w:t>
      </w:r>
      <w:r>
        <w:t xml:space="preserve"> to emphasize that condonation is not granted for the mere asking, but requires good and sufficient cause, which they had demonstrated by providing valid reasons for their delay. </w:t>
      </w:r>
    </w:p>
    <w:p w14:paraId="29E800A8" w14:textId="77777777" w:rsidR="00C50660" w:rsidRDefault="00EA7C09">
      <w:pPr>
        <w:ind w:left="-5" w:right="1427"/>
      </w:pPr>
      <w:r>
        <w:t xml:space="preserve">The applicants submitted that they received the arbitration award on 17 October 2025 and had 21 days to file an appeal, which was due on 17 November 2025. Thus, it was submitted that the appeal was 25 days out of time. They contended that the explanation for the delay is justified, as they had lost employment and were compelled to seek alternative means of livelihood in different locations. They further submitted that they only terminated their former union’s mandate on 10 November 2025, thereafter engaging the current union, which received the record of proceedings on 12 December 2025 before filing with this Court. In these circumstances, the applicants argue that the delay was unavoidable and excusable. upon </w:t>
      </w:r>
      <w:proofErr w:type="spellStart"/>
      <w:r>
        <w:t>realising</w:t>
      </w:r>
      <w:proofErr w:type="spellEnd"/>
      <w:r>
        <w:t xml:space="preserve"> their appeal was out of time, they acted promptly in filing the present application, and that the twenty-five-day delay is neither excessive nor unreasonable </w:t>
      </w:r>
    </w:p>
    <w:p w14:paraId="446DFD5B" w14:textId="77777777" w:rsidR="00C50660" w:rsidRDefault="00EA7C09">
      <w:pPr>
        <w:ind w:left="-5" w:right="1427"/>
      </w:pPr>
      <w:r>
        <w:t xml:space="preserve">The applicants submitted that they have clear prospects of success as the tribunal a quo exceeded its mandate by quantifying damages and benefits instead of merely determining entitlement. They argued that no submissions on quantification were invited and that the arbitrator acted outside the terms of reference. It was the applicants’ submission that the quantification itself was flawed as the arbitrator relied on salary rates which were lower than those applicable in the mining industry. They further contended that the arbitrator failed to account for correct contract durations for the fixed-term contracts. According to the applicants, another error by the arbitrator was that one applicant was treated as though he was on a </w:t>
      </w:r>
      <w:proofErr w:type="spellStart"/>
      <w:r>
        <w:t>fixedterm</w:t>
      </w:r>
      <w:proofErr w:type="spellEnd"/>
      <w:r>
        <w:t xml:space="preserve"> contract when he was in fact on a contract without limit of time. It was also alleged that the arbitrator excluded thirteen applicants from the award without justification. In these circumstances, the applicants submitted that the award is fatally flawed and the appeal has merit. </w:t>
      </w:r>
    </w:p>
    <w:p w14:paraId="4A9D5B1C" w14:textId="77777777" w:rsidR="00C50660" w:rsidRDefault="00EA7C09">
      <w:pPr>
        <w:spacing w:after="208"/>
        <w:ind w:left="-5" w:right="1427"/>
      </w:pPr>
      <w:r>
        <w:t xml:space="preserve">Further, the applicants submitted that this matter is of vital importance to them as it concerns fair compensation for their labour, given that they were wrongfully discharged, underpaid, and </w:t>
      </w:r>
      <w:r>
        <w:lastRenderedPageBreak/>
        <w:t xml:space="preserve">denied statutory benefits. They contended that no inconvenienced is occasioned to the Court nor prejudice suffered by the respondent, and that the indulgence sought merely allows scrutiny of the arbitrator’s determination against the applicable facts and legal principles. The applicants further submitted that granting the application upholds their fundamental right to be heard under the doctrine of </w:t>
      </w:r>
      <w:proofErr w:type="spellStart"/>
      <w:r>
        <w:rPr>
          <w:i/>
        </w:rPr>
        <w:t>audi</w:t>
      </w:r>
      <w:proofErr w:type="spellEnd"/>
      <w:r>
        <w:rPr>
          <w:i/>
        </w:rPr>
        <w:t xml:space="preserve"> alteram partem</w:t>
      </w:r>
      <w:r>
        <w:t xml:space="preserve">. </w:t>
      </w:r>
    </w:p>
    <w:p w14:paraId="11BD0CDA" w14:textId="77777777" w:rsidR="00C50660" w:rsidRDefault="00EA7C09">
      <w:pPr>
        <w:spacing w:after="285" w:line="249" w:lineRule="auto"/>
        <w:ind w:left="-5" w:right="662"/>
        <w:jc w:val="left"/>
      </w:pPr>
      <w:r>
        <w:rPr>
          <w:b/>
        </w:rPr>
        <w:t xml:space="preserve">RESPONDENT’S SUBMISSIONS </w:t>
      </w:r>
    </w:p>
    <w:p w14:paraId="1CA2CC35" w14:textId="77777777" w:rsidR="00C50660" w:rsidRDefault="00EA7C09">
      <w:pPr>
        <w:ind w:left="-5" w:right="1427"/>
      </w:pPr>
      <w:r>
        <w:t xml:space="preserve">The respondent submitted, with reliance on </w:t>
      </w:r>
      <w:r>
        <w:rPr>
          <w:b/>
          <w:i/>
        </w:rPr>
        <w:t>Viking Woodwork (Pvt) Ltd v Blue Bells</w:t>
      </w:r>
      <w:r>
        <w:rPr>
          <w:i/>
        </w:rPr>
        <w:t xml:space="preserve"> </w:t>
      </w:r>
      <w:r>
        <w:rPr>
          <w:b/>
          <w:i/>
        </w:rPr>
        <w:t>Enterprises (Pvt) Ltd 1998 (2) ZLR 249 (S)</w:t>
      </w:r>
      <w:r>
        <w:t xml:space="preserve">, that condonation must be sought promptly upon </w:t>
      </w:r>
      <w:proofErr w:type="spellStart"/>
      <w:r>
        <w:t>realising</w:t>
      </w:r>
      <w:proofErr w:type="spellEnd"/>
      <w:r>
        <w:t xml:space="preserve"> non-compliance, and any delay must be adequately explained. The respondent contended the applicants misrepresented the extent of their delay. According to the respondent, the applicants received the arbitral award on 17 October 2025, with the </w:t>
      </w:r>
      <w:r>
        <w:rPr>
          <w:i/>
        </w:rPr>
        <w:t xml:space="preserve">dies </w:t>
      </w:r>
      <w:proofErr w:type="spellStart"/>
      <w:r>
        <w:rPr>
          <w:i/>
        </w:rPr>
        <w:t>inducia</w:t>
      </w:r>
      <w:proofErr w:type="spellEnd"/>
      <w:r>
        <w:t xml:space="preserve"> expiring on 17 November 2025, yet only filed for condonation on 23 December 2025, over a month later. The respondent argued that the applicants failed to act with urgency and remained inactive despite being aware of and dissatisfied with the award. They submit that the delay is attributable solely to the applicants’ dilatoriness, now obscured by an inaccurate narrative. </w:t>
      </w:r>
    </w:p>
    <w:p w14:paraId="2C80CBE5" w14:textId="77777777" w:rsidR="00C50660" w:rsidRDefault="00EA7C09">
      <w:pPr>
        <w:ind w:left="-5" w:right="1427"/>
      </w:pPr>
      <w:r>
        <w:t xml:space="preserve">Relying on </w:t>
      </w:r>
      <w:proofErr w:type="spellStart"/>
      <w:r>
        <w:rPr>
          <w:b/>
          <w:i/>
        </w:rPr>
        <w:t>Zimslate</w:t>
      </w:r>
      <w:proofErr w:type="spellEnd"/>
      <w:r>
        <w:rPr>
          <w:b/>
          <w:i/>
        </w:rPr>
        <w:t xml:space="preserve"> Quartzite (Pvt) Ltd </w:t>
      </w:r>
      <w:r>
        <w:rPr>
          <w:b/>
        </w:rPr>
        <w:t>v</w:t>
      </w:r>
      <w:r>
        <w:rPr>
          <w:b/>
          <w:i/>
        </w:rPr>
        <w:t xml:space="preserve"> Central African Building Society</w:t>
      </w:r>
      <w:r>
        <w:rPr>
          <w:b/>
        </w:rPr>
        <w:t xml:space="preserve"> SC-34-17</w:t>
      </w:r>
      <w:r>
        <w:t xml:space="preserve"> and other authorities, the respondent submitted that the applicants must provide a full and honest explanation for their default. They argued that claims of applicants being scattered are contradicted by membership records which, by the addresses provided by the applicants, show that majority of the applicants resided in Goromonzi.  Further, the respondent contended that the applicants offered vague and unsubstantiated reasons such as “network challenges,” and failed to provide evidence or specific details. It was the respondent’s assertion that the alleged conflict with previous representatives remains unexplained. Accordingly, they submitted that by 30 October 2025, the current representatives had already assumed the mandate on behalf of the applicants. It was argued that even if the previous mandate was only terminated on 10 November 2025, it was still within the appeal period yet the applicants did not file the appeal with urgency. They further submitted that the applicants failed to account for both the delay in noting the appeal and in seeking condonation. In light of these omissions, contradictions, and lack of </w:t>
      </w:r>
      <w:proofErr w:type="spellStart"/>
      <w:r>
        <w:t>candour</w:t>
      </w:r>
      <w:proofErr w:type="spellEnd"/>
      <w:r>
        <w:t xml:space="preserve">, the respondents argued that the explanation is not bona fide and the application must fail. </w:t>
      </w:r>
    </w:p>
    <w:p w14:paraId="641AE456" w14:textId="77777777" w:rsidR="00C50660" w:rsidRDefault="00EA7C09">
      <w:pPr>
        <w:ind w:left="-5" w:right="1427"/>
      </w:pPr>
      <w:r>
        <w:t xml:space="preserve">The respondent submitted that even if the court were to overlook the defective explanation, the application fails on prospects of success. They argued that the arbitrator acted within the terms </w:t>
      </w:r>
      <w:r>
        <w:lastRenderedPageBreak/>
        <w:t xml:space="preserve">of reference, which included entitlement to terminal benefits and the appropriate remedy, which necessarily required quantification. They contended that judgments must be final and executable and that a remedy without quantification would be unenforceable.  </w:t>
      </w:r>
    </w:p>
    <w:p w14:paraId="76B69067" w14:textId="77777777" w:rsidR="00C50660" w:rsidRDefault="00EA7C09">
      <w:pPr>
        <w:ind w:left="-5" w:right="1427"/>
      </w:pPr>
      <w:r>
        <w:t xml:space="preserve">In addition to that, the respondent argued that the arbitrator could not be faulted for relying on the documents placed before him. Thus, they argued that reliance on contractual salary figures was proper since no valid collective bargaining agreement or proof of sectoral minimums was produced. They further submitted that awards were correctly limited to applicants with valid NSSA forms, which were the only objective proof of continued employment and tacit relocation.  </w:t>
      </w:r>
    </w:p>
    <w:p w14:paraId="54CEC577" w14:textId="77777777" w:rsidR="00C50660" w:rsidRDefault="00EA7C09">
      <w:pPr>
        <w:ind w:left="-5" w:right="1427"/>
      </w:pPr>
      <w:r>
        <w:t xml:space="preserve">Lastly, the respondent submitted that the sole omission of the 3rd applicant was rectifiable under the Arbitration Act in terms of article 33 rather than through an appeal. Accordingly, the respondents argued that the application for condonation is devoid of merit and should be dismissed.  </w:t>
      </w:r>
    </w:p>
    <w:p w14:paraId="1B7A3E6C" w14:textId="77777777" w:rsidR="00C50660" w:rsidRDefault="00EA7C09">
      <w:pPr>
        <w:ind w:left="-5" w:right="1427"/>
      </w:pPr>
      <w:r>
        <w:t xml:space="preserve">On the issue of prejudice, the respondent submitted that they are entitled to finality to litigation instead of being subjected to unnecessary litigation and incurring expenses. It was argued that the computation errors ought to have been dealt with by the arbitrator and not by way of appeal. Therefore, they prayed that the application be dismissed with costs at it constitutes an abuse of process.  </w:t>
      </w:r>
    </w:p>
    <w:p w14:paraId="3BB9870F" w14:textId="77777777" w:rsidR="00C50660" w:rsidRDefault="00EA7C09">
      <w:pPr>
        <w:pStyle w:val="Heading1"/>
        <w:ind w:left="-5"/>
      </w:pPr>
      <w:r>
        <w:t>ANALYSIS</w:t>
      </w:r>
      <w:r>
        <w:rPr>
          <w:u w:val="none"/>
        </w:rPr>
        <w:t xml:space="preserve"> </w:t>
      </w:r>
    </w:p>
    <w:p w14:paraId="577F0B69" w14:textId="77777777" w:rsidR="00C50660" w:rsidRDefault="00EA7C09">
      <w:pPr>
        <w:spacing w:after="284" w:line="249" w:lineRule="auto"/>
        <w:ind w:left="-5" w:right="662"/>
        <w:jc w:val="left"/>
      </w:pPr>
      <w:r>
        <w:rPr>
          <w:b/>
        </w:rPr>
        <w:t xml:space="preserve">EXTENT OF DELAY AND REASONABLENESS OF EXPLANTION </w:t>
      </w:r>
    </w:p>
    <w:p w14:paraId="3FE5A77E" w14:textId="77777777" w:rsidR="00C50660" w:rsidRDefault="00EA7C09">
      <w:pPr>
        <w:ind w:left="-5" w:right="1427"/>
      </w:pPr>
      <w:r>
        <w:t xml:space="preserve">The applicants received the arbitral award on 17 October 2025. In terms of rule 19 of the Labour Court Rules 2017, the applicants had 21 days to note an appeal, which expired on 17 November 2025. The application for condonation was filed on 23 December 2025. The applicants are therefore 25 days out of time. </w:t>
      </w:r>
    </w:p>
    <w:p w14:paraId="68575946" w14:textId="77777777" w:rsidR="00C50660" w:rsidRDefault="00EA7C09">
      <w:pPr>
        <w:ind w:left="-5" w:right="1427"/>
      </w:pPr>
      <w:r>
        <w:t xml:space="preserve">While a delay of 25 days cannot, in isolation, be </w:t>
      </w:r>
      <w:proofErr w:type="spellStart"/>
      <w:r>
        <w:t>characterised</w:t>
      </w:r>
      <w:proofErr w:type="spellEnd"/>
      <w:r>
        <w:t xml:space="preserve"> as inordinate, it must be considered in light of the explanation tendered. The applicants do not adequately explain what steps, if any, were taken between 17 October 2025 and 17 November 2025. The explanation is silent on whether they sought advice or attempted to note an appeal during this period. Even if the court was to accept that the applicants terminated their former union’s mandate on 10 November 2025, there is no detailed explanation as to why such termination occurred. The reasons advanced such as financial hardship, network challenges and the applicants being </w:t>
      </w:r>
      <w:r>
        <w:lastRenderedPageBreak/>
        <w:t xml:space="preserve">scattered are vague and unsubstantiated. Moreover, the applicants do not clearly distinguish between the delay in noting the appeal and the delay in seeking condonation. In </w:t>
      </w:r>
      <w:r>
        <w:rPr>
          <w:b/>
          <w:i/>
        </w:rPr>
        <w:t xml:space="preserve">David </w:t>
      </w:r>
      <w:proofErr w:type="spellStart"/>
      <w:r>
        <w:rPr>
          <w:b/>
          <w:i/>
        </w:rPr>
        <w:t>Chiweza</w:t>
      </w:r>
      <w:proofErr w:type="spellEnd"/>
      <w:r>
        <w:rPr>
          <w:i/>
        </w:rPr>
        <w:t xml:space="preserve"> </w:t>
      </w:r>
      <w:r>
        <w:rPr>
          <w:b/>
        </w:rPr>
        <w:t>v</w:t>
      </w:r>
      <w:r>
        <w:rPr>
          <w:b/>
          <w:i/>
        </w:rPr>
        <w:t xml:space="preserve"> Munyaradzi Mangwana &amp; Ors</w:t>
      </w:r>
      <w:r>
        <w:rPr>
          <w:b/>
        </w:rPr>
        <w:t xml:space="preserve"> HH-186-17</w:t>
      </w:r>
      <w:r>
        <w:t xml:space="preserve">, the court held as follows: </w:t>
      </w:r>
    </w:p>
    <w:p w14:paraId="7A08BDB9" w14:textId="77777777" w:rsidR="00C50660" w:rsidRDefault="00EA7C09">
      <w:pPr>
        <w:spacing w:after="157" w:line="358" w:lineRule="auto"/>
        <w:ind w:left="730" w:right="1428"/>
      </w:pPr>
      <w:r>
        <w:rPr>
          <w:i/>
        </w:rPr>
        <w:t xml:space="preserve">“The applicant is required to give a full, detailed and reasonable explanation for the delay in bringing the application. The full period of the delay and the date when action was eventually taken should be spelt out in the application to assist the court in determining the degree of non – compliance.” </w:t>
      </w:r>
    </w:p>
    <w:p w14:paraId="3C63669B" w14:textId="77777777" w:rsidR="00C50660" w:rsidRDefault="00EA7C09">
      <w:pPr>
        <w:ind w:left="-5" w:right="1427"/>
      </w:pPr>
      <w:r>
        <w:t xml:space="preserve">Thus, the law requires that both periods be explained. The applicants were found wanting in this regard. They took lackadaisical approach to the whole issue. They failed to note an appeal within 21 days from the date they received the arbitral award. It again took them another month to file the current application. The extent of the delay and the reasons given are quite unreasonable.  </w:t>
      </w:r>
    </w:p>
    <w:p w14:paraId="4C6420A6" w14:textId="77777777" w:rsidR="00C50660" w:rsidRDefault="00EA7C09">
      <w:pPr>
        <w:spacing w:after="284" w:line="249" w:lineRule="auto"/>
        <w:ind w:left="-5" w:right="662"/>
        <w:jc w:val="left"/>
      </w:pPr>
      <w:r>
        <w:rPr>
          <w:b/>
        </w:rPr>
        <w:t xml:space="preserve">PROSPECTS OF SUCCESS </w:t>
      </w:r>
    </w:p>
    <w:p w14:paraId="38456010" w14:textId="77777777" w:rsidR="00C50660" w:rsidRDefault="00EA7C09">
      <w:pPr>
        <w:ind w:left="-5" w:right="1427"/>
      </w:pPr>
      <w:r>
        <w:t xml:space="preserve">Even assuming the explanation for delay were acceptable, the applicants must still demonstrate reasonable prospects of success on appeal. Upon closer scrutiny of the grounds advanced, such prospects appear weak and show lack of success on appeal. </w:t>
      </w:r>
    </w:p>
    <w:p w14:paraId="588324E5" w14:textId="77777777" w:rsidR="00C50660" w:rsidRDefault="00EA7C09">
      <w:pPr>
        <w:ind w:left="-5" w:right="1427"/>
      </w:pPr>
      <w:r>
        <w:t xml:space="preserve">To begin with, the contention that the arbitrator exceeded his mandate by quantifying damages is not persuasive. The terms of reference placed before the arbitrator expressly included determination of entitlement to terminal benefits together with an appropriate remedy. The inclusion of an appropriate remedy necessarily empowered the arbitrator not only to determine liability but also to provide a practical and enforceable outcome. In </w:t>
      </w:r>
      <w:r>
        <w:rPr>
          <w:b/>
          <w:i/>
        </w:rPr>
        <w:t xml:space="preserve">Inter-Agric (Pvt) Ltd </w:t>
      </w:r>
      <w:r>
        <w:rPr>
          <w:b/>
        </w:rPr>
        <w:t>v</w:t>
      </w:r>
      <w:r>
        <w:rPr>
          <w:i/>
        </w:rPr>
        <w:t xml:space="preserve"> </w:t>
      </w:r>
      <w:r>
        <w:rPr>
          <w:b/>
          <w:i/>
        </w:rPr>
        <w:t xml:space="preserve">Mudavanhu &amp; </w:t>
      </w:r>
      <w:proofErr w:type="spellStart"/>
      <w:r>
        <w:rPr>
          <w:b/>
          <w:i/>
        </w:rPr>
        <w:t>Ors</w:t>
      </w:r>
      <w:proofErr w:type="spellEnd"/>
      <w:r>
        <w:rPr>
          <w:b/>
        </w:rPr>
        <w:t xml:space="preserve"> SC-09-15</w:t>
      </w:r>
      <w:r>
        <w:t xml:space="preserve">, the court held as follows: </w:t>
      </w:r>
    </w:p>
    <w:p w14:paraId="3A2B524A" w14:textId="77777777" w:rsidR="00C50660" w:rsidRDefault="00EA7C09">
      <w:pPr>
        <w:spacing w:after="157" w:line="358" w:lineRule="auto"/>
        <w:ind w:left="730" w:right="1428"/>
      </w:pPr>
      <w:r>
        <w:rPr>
          <w:i/>
        </w:rPr>
        <w:t xml:space="preserve">“In addition, at law, the arbitrator was only competent to determine the dispute between such parties as had been referred to him by the labour officer. Thus, he was confined to his terms of reference. He had no mandate beyond that which had been referred to him.” </w:t>
      </w:r>
    </w:p>
    <w:p w14:paraId="2B00A658" w14:textId="77777777" w:rsidR="00C50660" w:rsidRDefault="00EA7C09">
      <w:pPr>
        <w:ind w:left="-5" w:right="1427"/>
      </w:pPr>
      <w:r>
        <w:t xml:space="preserve"> In these circumstances, the quantification of damages cannot reasonably be </w:t>
      </w:r>
      <w:proofErr w:type="spellStart"/>
      <w:r>
        <w:t>characterised</w:t>
      </w:r>
      <w:proofErr w:type="spellEnd"/>
      <w:r>
        <w:t xml:space="preserve"> as an excess of jurisdiction but rather as a proper exercise of the mandate conferred upon the arbitrator. </w:t>
      </w:r>
    </w:p>
    <w:p w14:paraId="52FA400E" w14:textId="77777777" w:rsidR="00C50660" w:rsidRDefault="00EA7C09">
      <w:pPr>
        <w:ind w:left="-5" w:right="1427"/>
      </w:pPr>
      <w:r>
        <w:t xml:space="preserve">Secondly, the applicants’ submissions regarding alleged omissions from the award lack consistency. Differing figures were advanced concerning the number of applicants allegedly </w:t>
      </w:r>
      <w:r>
        <w:lastRenderedPageBreak/>
        <w:t>excluded. In the 1</w:t>
      </w:r>
      <w:r>
        <w:rPr>
          <w:vertAlign w:val="superscript"/>
        </w:rPr>
        <w:t>st</w:t>
      </w:r>
      <w:r>
        <w:t xml:space="preserve"> applicant’s founding affidavit, it was indicated that 7 of the applicants were excluded from the final quantum by the arbitrator. However, the number changed to 13 applicants in the heads of argument and during oral submissions. Such inconsistency undermines the reliability of the applicants’ argument and suggests a lack of precision in their case. A court of appeal is unlikely to interfere with an arbitral award on the basis of assertions that are themselves uncertain or contradictory. </w:t>
      </w:r>
    </w:p>
    <w:p w14:paraId="65783ADE" w14:textId="77777777" w:rsidR="00C50660" w:rsidRDefault="00EA7C09">
      <w:pPr>
        <w:ind w:left="-5" w:right="1427"/>
      </w:pPr>
      <w:r>
        <w:t xml:space="preserve">Thirdly, the allegation that the arbitrator failed to consider correct contract durations is framed in general terms without identifying the precise contractual periods involved, or the documentary basis for asserting error. Without concrete particulars, the argument remains speculative. </w:t>
      </w:r>
    </w:p>
    <w:p w14:paraId="5077320F" w14:textId="77777777" w:rsidR="00C50660" w:rsidRDefault="00EA7C09">
      <w:pPr>
        <w:ind w:left="-5" w:right="1427"/>
      </w:pPr>
      <w:r>
        <w:t>Further, to the extent that there may have been clerical errors, omissions, or ambiguities in the award, these are matters capable of rectification by the arbitrator under article 33 of the Arbitration Act [</w:t>
      </w:r>
      <w:r>
        <w:rPr>
          <w:i/>
        </w:rPr>
        <w:t>Chapter 7:15</w:t>
      </w:r>
      <w:r>
        <w:t xml:space="preserve">], which provides a mechanism for correction or interpretation of awards. Resorting to appellate proceedings, rather than </w:t>
      </w:r>
      <w:proofErr w:type="spellStart"/>
      <w:r>
        <w:t>utilising</w:t>
      </w:r>
      <w:proofErr w:type="spellEnd"/>
      <w:r>
        <w:t xml:space="preserve"> this targeted statutory remedy, suggests that the present application may be misplaced. </w:t>
      </w:r>
    </w:p>
    <w:p w14:paraId="07C85A5F" w14:textId="77777777" w:rsidR="00C50660" w:rsidRDefault="00EA7C09">
      <w:pPr>
        <w:ind w:left="-5" w:right="1427"/>
      </w:pPr>
      <w:r>
        <w:t xml:space="preserve">The arbitrator cannot reasonably be faulted for relying on the documentary material placed before him. The salary figures contained in written contracts constitute primary evidence of agreed remuneration. Where applicants contend that higher sectoral or collective bargaining rates applied, the evidential burden rests upon them to produce the relevant instruments. In the absence of such material, reliance on contractual salary figures was a rational evidentiary choice. Similarly, the limitation of awards to applicants supported by objective employment documentation, such as statutory employment records, reflects a cautious evidentiary approach rather than misdirection </w:t>
      </w:r>
    </w:p>
    <w:p w14:paraId="2C3F97B9" w14:textId="77777777" w:rsidR="00C50660" w:rsidRDefault="00EA7C09">
      <w:pPr>
        <w:spacing w:after="284" w:line="249" w:lineRule="auto"/>
        <w:ind w:left="-5" w:right="662"/>
        <w:jc w:val="left"/>
      </w:pPr>
      <w:r>
        <w:rPr>
          <w:b/>
        </w:rPr>
        <w:t xml:space="preserve">PREJUDICE </w:t>
      </w:r>
    </w:p>
    <w:p w14:paraId="1EAC6A4D" w14:textId="77777777" w:rsidR="00C50660" w:rsidRDefault="00EA7C09">
      <w:pPr>
        <w:ind w:left="-5" w:right="1427"/>
      </w:pPr>
      <w:r>
        <w:t xml:space="preserve">The respondent will obviously be prejudiced through endless litigation and incurring costs and failing to dedicate time to other productive areas. Had there been prospects of success it could have been said it is in the interest of justice to give applicants their day in court. These unwarranted applications cause unnecessary delays in the administration of justice. </w:t>
      </w:r>
    </w:p>
    <w:p w14:paraId="5776DA7F" w14:textId="77777777" w:rsidR="00C50660" w:rsidRDefault="00EA7C09">
      <w:pPr>
        <w:spacing w:after="284" w:line="249" w:lineRule="auto"/>
        <w:ind w:left="-5" w:right="662"/>
        <w:jc w:val="left"/>
      </w:pPr>
      <w:r>
        <w:rPr>
          <w:b/>
        </w:rPr>
        <w:t xml:space="preserve">DISPOSITION </w:t>
      </w:r>
    </w:p>
    <w:p w14:paraId="05A921C4" w14:textId="77777777" w:rsidR="00C50660" w:rsidRDefault="00EA7C09">
      <w:pPr>
        <w:ind w:left="-5" w:right="1427"/>
      </w:pPr>
      <w:r>
        <w:t xml:space="preserve">When these factors are considered cumulatively, it is clear that the applicants have failed to satisfy the requirements for an application of this nature. The explanation does not cover the </w:t>
      </w:r>
      <w:r>
        <w:lastRenderedPageBreak/>
        <w:t xml:space="preserve">entire period of delay and is vague. Further, the prospects of success in the intended appeal are weak. Granting condonation in circumstances where the explanation is deficient and where the prospects of success are limited would undermine the principle that rules of the court are to be observed as well as respondent’s need for finality to litigation. As was stated in </w:t>
      </w:r>
      <w:proofErr w:type="spellStart"/>
      <w:r>
        <w:t>Kodzwa</w:t>
      </w:r>
      <w:proofErr w:type="spellEnd"/>
      <w:r>
        <w:t xml:space="preserve"> v Secretary for Health and Anor (supra), that the court’s power to grant condonation must not be exercised arbitrarily and upon mere asking but with proper discretion and upon sufficient cause being shown. </w:t>
      </w:r>
    </w:p>
    <w:p w14:paraId="448117B2" w14:textId="77777777" w:rsidR="00C50660" w:rsidRDefault="00EA7C09">
      <w:pPr>
        <w:spacing w:after="273" w:line="259" w:lineRule="auto"/>
        <w:ind w:left="0" w:right="0" w:firstLine="0"/>
        <w:jc w:val="left"/>
      </w:pPr>
      <w:r>
        <w:t xml:space="preserve"> </w:t>
      </w:r>
    </w:p>
    <w:p w14:paraId="2776EA0C" w14:textId="77777777" w:rsidR="00C50660" w:rsidRDefault="00EA7C09">
      <w:pPr>
        <w:spacing w:after="54" w:line="311" w:lineRule="auto"/>
        <w:ind w:left="0" w:right="792" w:firstLine="0"/>
        <w:jc w:val="left"/>
      </w:pPr>
      <w:r>
        <w:t>In view of the foregoing, the Court finds that the application for condonation for late noting of appeal and extension of time within which to note an appeal is meritless and bound to fail and grants the following order:</w:t>
      </w:r>
      <w:r>
        <w:rPr>
          <w:rFonts w:ascii="Calibri" w:eastAsia="Calibri" w:hAnsi="Calibri" w:cs="Calibri"/>
          <w:sz w:val="31"/>
          <w:vertAlign w:val="subscript"/>
        </w:rPr>
        <w:t xml:space="preserve"> </w:t>
      </w:r>
    </w:p>
    <w:p w14:paraId="17FD94CB" w14:textId="77777777" w:rsidR="00C50660" w:rsidRDefault="00EA7C09">
      <w:pPr>
        <w:spacing w:after="14" w:line="259" w:lineRule="auto"/>
        <w:ind w:left="0" w:right="0" w:firstLine="0"/>
        <w:jc w:val="left"/>
      </w:pPr>
      <w:r>
        <w:rPr>
          <w:rFonts w:ascii="Calibri" w:eastAsia="Calibri" w:hAnsi="Calibri" w:cs="Calibri"/>
          <w:sz w:val="20"/>
        </w:rPr>
        <w:t xml:space="preserve"> </w:t>
      </w:r>
    </w:p>
    <w:p w14:paraId="7641FFB1" w14:textId="77777777" w:rsidR="00C50660" w:rsidRDefault="00EA7C09">
      <w:pPr>
        <w:spacing w:after="79" w:line="259" w:lineRule="auto"/>
        <w:ind w:left="-5" w:right="1427"/>
      </w:pPr>
      <w:r>
        <w:t xml:space="preserve">Wherefore, it is ordered as follows: </w:t>
      </w:r>
    </w:p>
    <w:p w14:paraId="5CFB223C" w14:textId="77777777" w:rsidR="00C50660" w:rsidRDefault="00EA7C09">
      <w:pPr>
        <w:spacing w:after="17" w:line="259" w:lineRule="auto"/>
        <w:ind w:left="0" w:right="0" w:firstLine="0"/>
        <w:jc w:val="left"/>
      </w:pPr>
      <w:r>
        <w:rPr>
          <w:rFonts w:ascii="Calibri" w:eastAsia="Calibri" w:hAnsi="Calibri" w:cs="Calibri"/>
          <w:sz w:val="20"/>
        </w:rPr>
        <w:t xml:space="preserve"> </w:t>
      </w:r>
    </w:p>
    <w:p w14:paraId="295D3815" w14:textId="77777777" w:rsidR="00C50660" w:rsidRDefault="00EA7C09">
      <w:pPr>
        <w:numPr>
          <w:ilvl w:val="0"/>
          <w:numId w:val="3"/>
        </w:numPr>
        <w:spacing w:after="13" w:line="259" w:lineRule="auto"/>
        <w:ind w:right="1433" w:hanging="360"/>
      </w:pPr>
      <w:r>
        <w:t xml:space="preserve">The Application for condonation for late noting of an appeal be and is hereby dismissed. </w:t>
      </w:r>
      <w:r>
        <w:rPr>
          <w:rFonts w:ascii="Calibri" w:eastAsia="Calibri" w:hAnsi="Calibri" w:cs="Calibri"/>
          <w:sz w:val="31"/>
          <w:vertAlign w:val="subscript"/>
        </w:rPr>
        <w:t xml:space="preserve"> </w:t>
      </w:r>
    </w:p>
    <w:p w14:paraId="783D40C3" w14:textId="77777777" w:rsidR="00C50660" w:rsidRDefault="00EA7C09">
      <w:pPr>
        <w:numPr>
          <w:ilvl w:val="0"/>
          <w:numId w:val="3"/>
        </w:numPr>
        <w:spacing w:after="274" w:line="259" w:lineRule="auto"/>
        <w:ind w:right="1433" w:hanging="360"/>
      </w:pPr>
      <w:r>
        <w:t xml:space="preserve">Each party to meet its own cost. </w:t>
      </w:r>
    </w:p>
    <w:p w14:paraId="60EA6F73" w14:textId="77777777" w:rsidR="00C50660" w:rsidRDefault="00EA7C09">
      <w:pPr>
        <w:spacing w:after="274" w:line="259" w:lineRule="auto"/>
        <w:ind w:left="0" w:right="0" w:firstLine="0"/>
        <w:jc w:val="left"/>
      </w:pPr>
      <w:r>
        <w:t xml:space="preserve"> </w:t>
      </w:r>
    </w:p>
    <w:p w14:paraId="1CC27D4D" w14:textId="77777777" w:rsidR="00C50660" w:rsidRDefault="00EA7C09">
      <w:pPr>
        <w:spacing w:after="274" w:line="259" w:lineRule="auto"/>
        <w:ind w:left="-5" w:right="1427"/>
      </w:pPr>
      <w:proofErr w:type="spellStart"/>
      <w:r>
        <w:t>Machekano</w:t>
      </w:r>
      <w:proofErr w:type="spellEnd"/>
      <w:r>
        <w:t xml:space="preserve"> Legal Practice, Applicant’s Legal Practitioners. </w:t>
      </w:r>
    </w:p>
    <w:p w14:paraId="6C4DA360" w14:textId="77777777" w:rsidR="00C50660" w:rsidRDefault="00EA7C09">
      <w:pPr>
        <w:spacing w:after="275" w:line="259" w:lineRule="auto"/>
        <w:ind w:left="-5" w:right="1427"/>
      </w:pPr>
      <w:r>
        <w:t xml:space="preserve">Mining Workers Union of Zimbabwe, Respondent’s Representatives. </w:t>
      </w:r>
    </w:p>
    <w:p w14:paraId="798180C0" w14:textId="77777777" w:rsidR="00C50660" w:rsidRDefault="00EA7C09">
      <w:pPr>
        <w:spacing w:after="273" w:line="259" w:lineRule="auto"/>
        <w:ind w:left="0" w:right="1378" w:firstLine="0"/>
        <w:jc w:val="center"/>
      </w:pPr>
      <w:r>
        <w:t xml:space="preserve"> </w:t>
      </w:r>
    </w:p>
    <w:p w14:paraId="78352EB9" w14:textId="77777777" w:rsidR="00C50660" w:rsidRDefault="00EA7C09">
      <w:pPr>
        <w:spacing w:after="0" w:line="259" w:lineRule="auto"/>
        <w:ind w:left="0" w:right="1440" w:firstLine="0"/>
        <w:jc w:val="center"/>
      </w:pPr>
      <w:r>
        <w:t xml:space="preserve">TSIKWA J  </w:t>
      </w:r>
    </w:p>
    <w:sectPr w:rsidR="00C50660">
      <w:pgSz w:w="11906" w:h="16838"/>
      <w:pgMar w:top="1451" w:right="0" w:bottom="158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70AB4"/>
    <w:multiLevelType w:val="hybridMultilevel"/>
    <w:tmpl w:val="FFFFFFFF"/>
    <w:lvl w:ilvl="0" w:tplc="8654D4F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B031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D8AA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CA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8E34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9804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7807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1638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560B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A4C79C1"/>
    <w:multiLevelType w:val="hybridMultilevel"/>
    <w:tmpl w:val="FFFFFFFF"/>
    <w:lvl w:ilvl="0" w:tplc="42901C8E">
      <w:start w:val="1"/>
      <w:numFmt w:val="decimal"/>
      <w:lvlText w:val="%1."/>
      <w:lvlJc w:val="left"/>
      <w:pPr>
        <w:ind w:left="5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AB48F2A">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C64BD94">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766C362">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4C24912">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22A522A">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77EE836">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4460128">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AB88D6E">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FA26F7D"/>
    <w:multiLevelType w:val="hybridMultilevel"/>
    <w:tmpl w:val="FFFFFFFF"/>
    <w:lvl w:ilvl="0" w:tplc="A4F0377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C4BCD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8AAAE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54A10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F839E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4EF83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54C9F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D0329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E4A5B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102681742">
    <w:abstractNumId w:val="0"/>
  </w:num>
  <w:num w:numId="2" w16cid:durableId="1055392949">
    <w:abstractNumId w:val="2"/>
  </w:num>
  <w:num w:numId="3" w16cid:durableId="346905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660"/>
    <w:rsid w:val="003B1EA0"/>
    <w:rsid w:val="009E0D08"/>
    <w:rsid w:val="009E7BAE"/>
    <w:rsid w:val="00C50660"/>
    <w:rsid w:val="00D47BCC"/>
    <w:rsid w:val="00EA7C0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5849B"/>
  <w15:docId w15:val="{B2D3D029-F873-6B4B-BF00-3C2B7F04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6" w:line="360" w:lineRule="auto"/>
      <w:ind w:left="10" w:right="1438" w:hanging="10"/>
      <w:jc w:val="both"/>
    </w:pPr>
    <w:rPr>
      <w:rFonts w:ascii="Times New Roman" w:eastAsia="Times New Roman" w:hAnsi="Times New Roman" w:cs="Times New Roman"/>
      <w:color w:val="000000"/>
      <w:lang w:val="en-US" w:eastAsia="en-US" w:bidi="en-US"/>
    </w:rPr>
  </w:style>
  <w:style w:type="paragraph" w:styleId="Heading1">
    <w:name w:val="heading 1"/>
    <w:next w:val="Normal"/>
    <w:link w:val="Heading1Char"/>
    <w:uiPriority w:val="9"/>
    <w:qFormat/>
    <w:pPr>
      <w:keepNext/>
      <w:keepLines/>
      <w:spacing w:after="275" w:line="259" w:lineRule="auto"/>
      <w:ind w:left="10" w:hanging="10"/>
      <w:outlineLvl w:val="0"/>
    </w:pPr>
    <w:rPr>
      <w:rFonts w:ascii="Times New Roman" w:eastAsia="Times New Roman" w:hAnsi="Times New Roman" w:cs="Times New Roman"/>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3321</Words>
  <Characters>18935</Characters>
  <Application>Microsoft Office Word</Application>
  <DocSecurity>0</DocSecurity>
  <Lines>157</Lines>
  <Paragraphs>44</Paragraphs>
  <ScaleCrop>false</ScaleCrop>
  <Company/>
  <LinksUpToDate>false</LinksUpToDate>
  <CharactersWithSpaces>22212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JUDGES CLERKS</dc:creator>
  <cp:keywords/>
  <cp:lastModifiedBy>RESEARCHER</cp:lastModifiedBy>
  <cp:revision>2</cp:revision>
  <dcterms:created xsi:type="dcterms:W3CDTF">2026-02-13T09:31:00Z</dcterms:created>
  <dcterms:modified xsi:type="dcterms:W3CDTF">2026-02-13T09:31:00Z</dcterms:modified>
</cp:coreProperties>
</file>